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gco-20260801.htm"/>
      <w:bookmarkStart w:id="1" w:name="ksgco20260801"/>
      <w:bookmarkEnd w:id="0"/>
      <w:bookmarkEnd w:id="1"/>
      <w:r>
        <w:rPr/>
        <w:t> </w:t>
      </w:r>
      <w:r>
        <mc:AlternateContent>
          <mc:Choice Requires="wps">
            <w:drawing>
              <wp:anchor behindDoc="0" distT="0" distB="0" distL="0" distR="0" simplePos="0" locked="0" layoutInCell="1" allowOverlap="1" relativeHeight="2">
                <wp:simplePos x="0" y="0"/>
                <wp:positionH relativeFrom="page">
                  <wp:posOffset>0</wp:posOffset>
                </wp:positionH>
                <wp:positionV relativeFrom="page">
                  <wp:posOffset>1783080</wp:posOffset>
                </wp:positionV>
                <wp:extent cx="7560310" cy="175260"/>
                <wp:effectExtent l="0" t="0" r="0" b="0"/>
                <wp:wrapNone/>
                <wp:docPr id="1" name="Frame1"/>
                <a:graphic xmlns:a="http://schemas.openxmlformats.org/drawingml/2006/main">
                  <a:graphicData uri="http://schemas.microsoft.com/office/word/2010/wordprocessingShape">
                    <wps:wsp>
                      <wps:cNvSpPr txBox="1"/>
                      <wps:spPr>
                        <a:xfrm>
                          <a:off x="0" y="0"/>
                          <a:ext cx="756031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595.3pt;height:13.8pt;mso-wrap-distance-left:0pt;mso-wrap-distance-right:0pt;mso-wrap-distance-top:0pt;mso-wrap-distance-bottom:0pt;margin-top:140.4pt;mso-position-vertical-relative:page;margin-left:0pt;mso-position-horizontal-relative:page">
                <v:textbox inset="0in,0in,0in,0in">
                  <w:txbxContent>
                    <w:p>
                      <w:pPr>
                        <w:pStyle w:val="TextBody"/>
                        <w:bidi w:val="0"/>
                        <w:spacing w:before="0" w:after="283"/>
                        <w:jc w:val="left"/>
                        <w:rPr/>
                      </w:pPr>
                      <w:r>
                        <w:rPr/>
                        <w:t> </w:t>
                      </w:r>
                    </w:p>
                  </w:txbxContent>
                </v:textbox>
                <w10:wrap type="none"/>
              </v:rect>
            </w:pict>
          </mc:Fallback>
        </mc:AlternateConten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center"/>
        <w:rPr>
          <w:rFonts w:ascii="Times New Roman" w:hAnsi="Times New Roman"/>
          <w:sz w:val="36"/>
        </w:rPr>
      </w:pPr>
      <w:r>
        <w:rPr>
          <w:rFonts w:ascii="Times New Roman" w:hAnsi="Times New Roman"/>
          <w:b/>
          <w:color w:val="000000"/>
          <w:sz w:val="36"/>
        </w:rPr>
        <w:t>FORM</w:t>
      </w:r>
      <w:r>
        <w:rPr>
          <w:rFonts w:ascii="Times New Roman" w:hAnsi="Times New Roman"/>
          <w:color w:val="000000"/>
          <w:sz w:val="36"/>
        </w:rPr>
        <w:t xml:space="preserve"> </w:t>
      </w:r>
      <w:r>
        <w:rPr>
          <w:rFonts w:ascii="Times New Roman" w:hAnsi="Times New Roman"/>
          <w:b/>
          <w:color w:val="000000"/>
          <w:sz w:val="36"/>
        </w:rPr>
        <w:t>10-Q</w:t>
      </w:r>
    </w:p>
    <w:p>
      <w:pPr>
        <w:pStyle w:val="TextBody"/>
        <w:bidi w:val="0"/>
        <w:jc w:val="left"/>
        <w:rPr>
          <w:rFonts w:ascii="Times New Roman" w:hAnsi="Times New Roman"/>
          <w:color w:val="000000"/>
          <w:sz w:val="14"/>
        </w:rPr>
      </w:pPr>
      <w:r>
        <w:rPr>
          <w:rFonts w:ascii="Times New Roman" w:hAnsi="Times New Roman"/>
          <w:color w:val="000000"/>
          <w:sz w:val="14"/>
        </w:rPr>
        <w:t>(Mark One)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QUARTERLY REPORT PURSUANT TO SECTION 13 OR 15(d) OF THE SECURITIES EXCHANGE ACT OF 1934 For the Quarter Ended</w:t>
            </w:r>
            <w:r>
              <w:rPr>
                <w:rFonts w:ascii="Times New Roman" w:hAnsi="Times New Roman"/>
                <w:color w:val="000000"/>
                <w:sz w:val="20"/>
              </w:rPr>
              <w:t xml:space="preserve"> </w:t>
            </w:r>
            <w:r>
              <w:rPr>
                <w:rFonts w:ascii="Times New Roman" w:hAnsi="Times New Roman"/>
                <w:b/>
                <w:color w:val="000000"/>
                <w:sz w:val="20"/>
              </w:rPr>
              <w:t>August 1, 2026</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TRANSITION REPORT PURSUANT TO SECTION 13 OR 15(d) OF THE SECURITIES EXCHANGE ACT OF 1934 For the transition period from to</w:t>
            </w:r>
            <w:r>
              <w:rPr>
                <w:rFonts w:ascii="Times New Roman" w:hAnsi="Times New Roman"/>
                <w:color w:val="000000"/>
                <w:sz w:val="20"/>
              </w:rPr>
              <w:t xml:space="preserve"> </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No. 1-3083</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Genesco Inc.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tbl>
      <w:tblPr>
        <w:tblW w:w="4064" w:type="dxa"/>
        <w:jc w:val="left"/>
        <w:tblInd w:w="0" w:type="dxa"/>
        <w:tblLayout w:type="fixed"/>
        <w:tblCellMar>
          <w:top w:w="28" w:type="dxa"/>
          <w:left w:w="28" w:type="dxa"/>
          <w:bottom w:w="28" w:type="dxa"/>
          <w:right w:w="28" w:type="dxa"/>
        </w:tblCellMar>
      </w:tblPr>
      <w:tblGrid>
        <w:gridCol w:w="961"/>
        <w:gridCol w:w="1741"/>
        <w:gridCol w:w="146"/>
        <w:gridCol w:w="1216"/>
      </w:tblGrid>
      <w:tr>
        <w:trPr/>
        <w:tc>
          <w:tcPr>
            <w:tcW w:w="961"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2702"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Tennessee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62-0211340</w:t>
            </w:r>
          </w:p>
        </w:tc>
      </w:tr>
      <w:tr>
        <w:trPr/>
        <w:tc>
          <w:tcPr>
            <w:tcW w:w="2702" w:type="dxa"/>
            <w:gridSpan w:val="2"/>
            <w:tcBorders/>
            <w:tcMar>
              <w:top w:w="0" w:type="dxa"/>
              <w:left w:w="0" w:type="dxa"/>
              <w:bottom w:w="0" w:type="dxa"/>
              <w:right w:w="0" w:type="dxa"/>
            </w:tcMar>
            <w:vAlign w:val="center"/>
          </w:tcPr>
          <w:p>
            <w:pPr>
              <w:pStyle w:val="TableContents"/>
              <w:bidi w:val="0"/>
              <w:jc w:val="center"/>
              <w:rPr>
                <w:rFonts w:ascii="Times New Roman" w:hAnsi="Times New Roman"/>
                <w:color w:val="000000"/>
                <w:sz w:val="14"/>
              </w:rPr>
            </w:pPr>
            <w:r>
              <w:rPr>
                <w:rFonts w:ascii="Times New Roman" w:hAnsi="Times New Roman"/>
                <w:color w:val="000000"/>
                <w:sz w:val="14"/>
              </w:rPr>
              <w:t>(State or other jurisdiction of</w:t>
            </w:r>
          </w:p>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4"/>
              </w:rPr>
            </w:pPr>
            <w:r>
              <w:rPr>
                <w:rFonts w:ascii="Times New Roman" w:hAnsi="Times New Roman"/>
                <w:color w:val="000000"/>
                <w:sz w:val="14"/>
              </w:rPr>
              <w:t>(I.R.S. Employer</w:t>
            </w:r>
          </w:p>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Identification No.)</w:t>
            </w:r>
          </w:p>
        </w:tc>
      </w:tr>
      <w:tr>
        <w:trPr/>
        <w:tc>
          <w:tcPr>
            <w:tcW w:w="270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535 Marriott Drive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37214</w:t>
            </w:r>
          </w:p>
        </w:tc>
      </w:tr>
      <w:tr>
        <w:trPr/>
        <w:tc>
          <w:tcPr>
            <w:tcW w:w="9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Nashville,</w:t>
            </w:r>
          </w:p>
        </w:tc>
        <w:tc>
          <w:tcPr>
            <w:tcW w:w="17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Tennessee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(Zip Code)</w:t>
            </w:r>
          </w:p>
        </w:tc>
      </w:tr>
      <w:tr>
        <w:trPr/>
        <w:tc>
          <w:tcPr>
            <w:tcW w:w="2702"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(615) 367-7000</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left"/>
        <w:rPr/>
      </w:pPr>
      <w:r>
        <w:rPr/>
        <w:t> </w:t>
      </w:r>
    </w:p>
    <w:tbl>
      <w:tblPr>
        <w:tblW w:w="8238" w:type="dxa"/>
        <w:jc w:val="left"/>
        <w:tblInd w:w="0" w:type="dxa"/>
        <w:tblLayout w:type="fixed"/>
        <w:tblCellMar>
          <w:top w:w="28" w:type="dxa"/>
          <w:left w:w="28" w:type="dxa"/>
          <w:bottom w:w="28" w:type="dxa"/>
          <w:right w:w="28" w:type="dxa"/>
        </w:tblCellMar>
      </w:tblPr>
      <w:tblGrid>
        <w:gridCol w:w="2851"/>
        <w:gridCol w:w="1651"/>
        <w:gridCol w:w="3736"/>
      </w:tblGrid>
      <w:tr>
        <w:trPr/>
        <w:tc>
          <w:tcPr>
            <w:tcW w:w="2851"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3736" w:type="dxa"/>
            <w:tcBorders/>
            <w:vAlign w:val="center"/>
          </w:tcPr>
          <w:p>
            <w:pPr>
              <w:pStyle w:val="TableContents"/>
              <w:bidi w:val="0"/>
              <w:spacing w:before="0" w:after="283"/>
              <w:ind w:left="0" w:right="0" w:firstLine="30"/>
              <w:jc w:val="left"/>
              <w:rPr>
                <w:sz w:val="4"/>
                <w:szCs w:val="4"/>
              </w:rPr>
            </w:pPr>
            <w:r>
              <w:rPr>
                <w:sz w:val="4"/>
                <w:szCs w:val="4"/>
              </w:rPr>
            </w:r>
          </w:p>
        </w:tc>
      </w:tr>
      <w:tr>
        <w:trPr/>
        <w:tc>
          <w:tcPr>
            <w:tcW w:w="285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Title of each class</w:t>
            </w:r>
          </w:p>
        </w:tc>
        <w:tc>
          <w:tcPr>
            <w:tcW w:w="165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Trading Symbol(s)</w:t>
            </w:r>
          </w:p>
        </w:tc>
        <w:tc>
          <w:tcPr>
            <w:tcW w:w="373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285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b/>
                <w:color w:val="000000"/>
                <w:sz w:val="20"/>
              </w:rPr>
            </w:pPr>
            <w:r>
              <w:rPr>
                <w:rFonts w:ascii="Times New Roman" w:hAnsi="Times New Roman"/>
                <w:b/>
                <w:color w:val="000000"/>
                <w:sz w:val="20"/>
              </w:rPr>
              <w:t>Common Stock, $1.00 par value</w:t>
            </w:r>
          </w:p>
        </w:tc>
        <w:tc>
          <w:tcPr>
            <w:tcW w:w="165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b/>
                <w:color w:val="000000"/>
                <w:sz w:val="20"/>
              </w:rPr>
            </w:pPr>
            <w:r>
              <w:rPr>
                <w:rFonts w:ascii="Times New Roman" w:hAnsi="Times New Roman"/>
                <w:b/>
                <w:color w:val="000000"/>
                <w:sz w:val="20"/>
              </w:rPr>
              <w:t>GCO</w:t>
            </w:r>
          </w:p>
        </w:tc>
        <w:tc>
          <w:tcPr>
            <w:tcW w:w="373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b/>
                <w:color w:val="000000"/>
                <w:sz w:val="20"/>
              </w:rPr>
            </w:pPr>
            <w:r>
              <w:rPr>
                <w:rFonts w:ascii="Times New Roman" w:hAnsi="Times New Roman"/>
                <w:b/>
                <w:color w:val="000000"/>
                <w:sz w:val="20"/>
              </w:rPr>
              <w:t>New York Stock Exchange</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 and (2) has been subject to such filing requirements for the past 90 days. Yes ☒ No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jc w:val="left"/>
        <w:rPr/>
      </w:pPr>
      <w:r>
        <w:rPr/>
        <w:t> </w:t>
      </w:r>
    </w:p>
    <w:tbl>
      <w:tblPr>
        <w:tblW w:w="5666" w:type="dxa"/>
        <w:jc w:val="left"/>
        <w:tblInd w:w="0" w:type="dxa"/>
        <w:tblLayout w:type="fixed"/>
        <w:tblCellMar>
          <w:top w:w="28" w:type="dxa"/>
          <w:left w:w="28" w:type="dxa"/>
          <w:bottom w:w="28" w:type="dxa"/>
          <w:right w:w="28" w:type="dxa"/>
        </w:tblCellMar>
      </w:tblPr>
      <w:tblGrid>
        <w:gridCol w:w="2356"/>
        <w:gridCol w:w="116"/>
        <w:gridCol w:w="346"/>
        <w:gridCol w:w="116"/>
        <w:gridCol w:w="2341"/>
        <w:gridCol w:w="391"/>
      </w:tblGrid>
      <w:tr>
        <w:trPr/>
        <w:tc>
          <w:tcPr>
            <w:tcW w:w="235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ind w:left="0" w:right="0" w:firstLine="30"/>
              <w:jc w:val="left"/>
              <w:rPr>
                <w:sz w:val="4"/>
                <w:szCs w:val="4"/>
              </w:rPr>
            </w:pPr>
            <w:r>
              <w:rPr>
                <w:sz w:val="4"/>
                <w:szCs w:val="4"/>
              </w:rPr>
            </w:r>
          </w:p>
        </w:tc>
      </w:tr>
      <w:tr>
        <w:trPr/>
        <w:tc>
          <w:tcPr>
            <w:tcW w:w="235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Large accelerated filer</w:t>
            </w:r>
          </w:p>
        </w:tc>
        <w:tc>
          <w:tcPr>
            <w:tcW w:w="11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ind w:left="0" w:right="0" w:firstLine="30"/>
              <w:jc w:val="left"/>
              <w:rPr>
                <w:color w:val="000000"/>
              </w:rPr>
            </w:pPr>
            <w:r>
              <w:rPr>
                <w:color w:val="000000"/>
              </w:rPr>
              <w:t>☐</w:t>
            </w:r>
          </w:p>
        </w:tc>
        <w:tc>
          <w:tcPr>
            <w:tcW w:w="11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234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Accelerated filer</w:t>
            </w:r>
          </w:p>
        </w:tc>
        <w:tc>
          <w:tcPr>
            <w:tcW w:w="391" w:type="dxa"/>
            <w:tcBorders/>
            <w:tcMar>
              <w:top w:w="0" w:type="dxa"/>
              <w:left w:w="0" w:type="dxa"/>
              <w:bottom w:w="0" w:type="dxa"/>
              <w:right w:w="0" w:type="dxa"/>
            </w:tcMar>
            <w:vAlign w:val="center"/>
          </w:tcPr>
          <w:p>
            <w:pPr>
              <w:pStyle w:val="TableContents"/>
              <w:bidi w:val="0"/>
              <w:spacing w:before="0" w:after="283"/>
              <w:ind w:left="0" w:right="0" w:firstLine="30"/>
              <w:jc w:val="left"/>
              <w:rPr>
                <w:color w:val="000000"/>
              </w:rPr>
            </w:pPr>
            <w:r>
              <w:rPr>
                <w:color w:val="000000"/>
              </w:rPr>
              <w:t>☒</w:t>
            </w:r>
          </w:p>
        </w:tc>
      </w:tr>
      <w:tr>
        <w:trPr/>
        <w:tc>
          <w:tcPr>
            <w:tcW w:w="247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235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Non-accelerated filer</w:t>
            </w:r>
          </w:p>
        </w:tc>
        <w:tc>
          <w:tcPr>
            <w:tcW w:w="11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ind w:left="0" w:right="0" w:firstLine="30"/>
              <w:jc w:val="left"/>
              <w:rPr>
                <w:color w:val="000000"/>
              </w:rPr>
            </w:pPr>
            <w:r>
              <w:rPr>
                <w:color w:val="000000"/>
              </w:rPr>
              <w:t>☐</w:t>
            </w:r>
          </w:p>
        </w:tc>
        <w:tc>
          <w:tcPr>
            <w:tcW w:w="11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234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Smaller reporting company</w:t>
            </w:r>
          </w:p>
        </w:tc>
        <w:tc>
          <w:tcPr>
            <w:tcW w:w="391" w:type="dxa"/>
            <w:tcBorders/>
            <w:tcMar>
              <w:top w:w="0" w:type="dxa"/>
              <w:left w:w="0" w:type="dxa"/>
              <w:bottom w:w="0" w:type="dxa"/>
              <w:right w:w="0" w:type="dxa"/>
            </w:tcMar>
            <w:vAlign w:val="center"/>
          </w:tcPr>
          <w:p>
            <w:pPr>
              <w:pStyle w:val="TableContents"/>
              <w:bidi w:val="0"/>
              <w:spacing w:before="0" w:after="283"/>
              <w:ind w:left="0" w:right="0" w:firstLine="30"/>
              <w:jc w:val="left"/>
              <w:rPr>
                <w:color w:val="000000"/>
              </w:rPr>
            </w:pPr>
            <w:r>
              <w:rPr>
                <w:color w:val="000000"/>
              </w:rPr>
              <w:t>☐</w:t>
            </w:r>
          </w:p>
        </w:tc>
      </w:tr>
      <w:tr>
        <w:trPr/>
        <w:tc>
          <w:tcPr>
            <w:tcW w:w="247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235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Emerging growth company</w:t>
            </w:r>
          </w:p>
        </w:tc>
        <w:tc>
          <w:tcPr>
            <w:tcW w:w="11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ind w:left="0" w:right="0" w:firstLine="30"/>
              <w:jc w:val="left"/>
              <w:rPr>
                <w:color w:val="000000"/>
              </w:rPr>
            </w:pPr>
            <w:r>
              <w:rPr>
                <w:color w:val="000000"/>
              </w:rPr>
              <w:t>☐</w:t>
            </w:r>
          </w:p>
        </w:tc>
        <w:tc>
          <w:tcPr>
            <w:tcW w:w="11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234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August 28, 2026, there were 10,820,152 shares of the registrant's common stock outstanding.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 w:name="index"/>
      <w:bookmarkEnd w:id="2"/>
      <w:r>
        <w:rPr>
          <w:rFonts w:ascii="Times New Roman" w:hAnsi="Times New Roman"/>
          <w:b/>
          <w:color w:val="000000"/>
          <w:sz w:val="20"/>
        </w:rPr>
        <w:t>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649"/>
        <w:gridCol w:w="556"/>
      </w:tblGrid>
      <w:tr>
        <w:trPr/>
        <w:tc>
          <w:tcPr>
            <w:tcW w:w="964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9649"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49" w:type="dxa"/>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b/>
                  <w:color w:val="0000FF"/>
                  <w:sz w:val="20"/>
                  <w:u w:val="single"/>
                </w:rPr>
                <w:t>Part I. Financial Information</w:t>
              </w:r>
            </w:hyperlink>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49"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_unaudited">
              <w:r>
                <w:rPr>
                  <w:rStyle w:val="InternetLink"/>
                  <w:rFonts w:ascii="Times New Roman" w:hAnsi="Times New Roman"/>
                  <w:color w:val="0000FF"/>
                  <w:sz w:val="20"/>
                  <w:u w:val="single"/>
                </w:rPr>
                <w:t>Item 1. Financial Statements:</w:t>
              </w:r>
            </w:hyperlink>
          </w:p>
        </w:tc>
        <w:tc>
          <w:tcPr>
            <w:tcW w:w="556" w:type="dxa"/>
            <w:tcBorders/>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9649" w:type="dxa"/>
            <w:tcBorders/>
            <w:tcMar>
              <w:top w:w="0" w:type="dxa"/>
              <w:left w:w="0" w:type="dxa"/>
              <w:bottom w:w="0" w:type="dxa"/>
              <w:right w:w="0" w:type="dxa"/>
            </w:tcMar>
            <w:vAlign w:val="center"/>
          </w:tcPr>
          <w:p>
            <w:pPr>
              <w:pStyle w:val="TableContents"/>
              <w:bidi w:val="0"/>
              <w:spacing w:before="0" w:after="283"/>
              <w:ind w:left="0" w:right="0" w:firstLine="300"/>
              <w:jc w:val="left"/>
              <w:rPr/>
            </w:pPr>
            <w:hyperlink w:anchor="condensed_consolidated_balance_sheets">
              <w:r>
                <w:rPr>
                  <w:rStyle w:val="InternetLink"/>
                  <w:rFonts w:ascii="Times New Roman" w:hAnsi="Times New Roman"/>
                  <w:color w:val="0000FF"/>
                  <w:sz w:val="20"/>
                  <w:u w:val="single"/>
                </w:rPr>
                <w:t>Condensed Consolidated Balance Sheets - August 1, 2026, January 31, 2026 and August 2, 2025</w:t>
              </w:r>
            </w:hyperlink>
          </w:p>
        </w:tc>
        <w:tc>
          <w:tcPr>
            <w:tcW w:w="556" w:type="dxa"/>
            <w:tcBorders/>
            <w:tcMar>
              <w:top w:w="0" w:type="dxa"/>
              <w:left w:w="0" w:type="dxa"/>
              <w:bottom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4</w:t>
            </w:r>
          </w:p>
        </w:tc>
      </w:tr>
      <w:tr>
        <w:trPr/>
        <w:tc>
          <w:tcPr>
            <w:tcW w:w="9649" w:type="dxa"/>
            <w:tcBorders/>
            <w:tcMar>
              <w:top w:w="0" w:type="dxa"/>
              <w:left w:w="0" w:type="dxa"/>
              <w:bottom w:w="0" w:type="dxa"/>
              <w:right w:w="0" w:type="dxa"/>
            </w:tcMar>
            <w:vAlign w:val="center"/>
          </w:tcPr>
          <w:p>
            <w:pPr>
              <w:pStyle w:val="TableContents"/>
              <w:bidi w:val="0"/>
              <w:spacing w:before="0" w:after="283"/>
              <w:ind w:left="0" w:right="0" w:firstLine="300"/>
              <w:jc w:val="left"/>
              <w:rPr/>
            </w:pPr>
            <w:hyperlink w:anchor="condensed_consolidated_statements_operat">
              <w:r>
                <w:rPr>
                  <w:rStyle w:val="InternetLink"/>
                  <w:rFonts w:ascii="Times New Roman" w:hAnsi="Times New Roman"/>
                  <w:color w:val="0000FF"/>
                  <w:sz w:val="20"/>
                  <w:u w:val="single"/>
                </w:rPr>
                <w:t>Condensed Consolidated Statements of Operations - Three and Six Months ended August 1, 2026 and August 2, 2025</w:t>
              </w:r>
            </w:hyperlink>
          </w:p>
        </w:tc>
        <w:tc>
          <w:tcPr>
            <w:tcW w:w="556" w:type="dxa"/>
            <w:tcBorders/>
            <w:tcMar>
              <w:top w:w="0" w:type="dxa"/>
              <w:left w:w="0" w:type="dxa"/>
              <w:bottom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5</w:t>
            </w:r>
          </w:p>
        </w:tc>
      </w:tr>
      <w:tr>
        <w:trPr/>
        <w:tc>
          <w:tcPr>
            <w:tcW w:w="9649" w:type="dxa"/>
            <w:tcBorders/>
            <w:tcMar>
              <w:top w:w="0" w:type="dxa"/>
              <w:left w:w="0" w:type="dxa"/>
              <w:bottom w:w="0" w:type="dxa"/>
              <w:right w:w="0" w:type="dxa"/>
            </w:tcMar>
            <w:vAlign w:val="center"/>
          </w:tcPr>
          <w:p>
            <w:pPr>
              <w:pStyle w:val="TableContents"/>
              <w:bidi w:val="0"/>
              <w:spacing w:before="0" w:after="283"/>
              <w:ind w:left="0" w:right="0" w:firstLine="300"/>
              <w:jc w:val="left"/>
              <w:rPr/>
            </w:pPr>
            <w:hyperlink w:anchor="condensed_consolidated_statements_compre">
              <w:r>
                <w:rPr>
                  <w:rStyle w:val="InternetLink"/>
                  <w:rFonts w:ascii="Times New Roman" w:hAnsi="Times New Roman"/>
                  <w:color w:val="0000FF"/>
                  <w:sz w:val="20"/>
                  <w:u w:val="single"/>
                </w:rPr>
                <w:t>Condensed Consolidated Statements of Comprehensive Income (Loss) - Three and Six Months ended August 1, 2026 and August 2, 2025</w:t>
              </w:r>
            </w:hyperlink>
          </w:p>
        </w:tc>
        <w:tc>
          <w:tcPr>
            <w:tcW w:w="556" w:type="dxa"/>
            <w:tcBorders/>
            <w:tcMar>
              <w:top w:w="0" w:type="dxa"/>
              <w:left w:w="0" w:type="dxa"/>
              <w:bottom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6</w:t>
            </w:r>
          </w:p>
        </w:tc>
      </w:tr>
      <w:tr>
        <w:trPr/>
        <w:tc>
          <w:tcPr>
            <w:tcW w:w="9649" w:type="dxa"/>
            <w:tcBorders/>
            <w:tcMar>
              <w:top w:w="0" w:type="dxa"/>
              <w:left w:w="0" w:type="dxa"/>
              <w:bottom w:w="0" w:type="dxa"/>
              <w:right w:w="0" w:type="dxa"/>
            </w:tcMar>
            <w:vAlign w:val="center"/>
          </w:tcPr>
          <w:p>
            <w:pPr>
              <w:pStyle w:val="TableContents"/>
              <w:bidi w:val="0"/>
              <w:spacing w:before="0" w:after="283"/>
              <w:ind w:left="0" w:right="0" w:firstLine="300"/>
              <w:jc w:val="left"/>
              <w:rPr/>
            </w:pPr>
            <w:hyperlink w:anchor="condensed_consolidated_statements_cash_f">
              <w:r>
                <w:rPr>
                  <w:rStyle w:val="InternetLink"/>
                  <w:rFonts w:ascii="Times New Roman" w:hAnsi="Times New Roman"/>
                  <w:color w:val="0000FF"/>
                  <w:sz w:val="20"/>
                  <w:u w:val="single"/>
                </w:rPr>
                <w:t>Condensed Consolidated Statements of Cash Flows - Six Months ended August 1, 2026 and August 2, 2025</w:t>
              </w:r>
            </w:hyperlink>
          </w:p>
        </w:tc>
        <w:tc>
          <w:tcPr>
            <w:tcW w:w="556" w:type="dxa"/>
            <w:tcBorders/>
            <w:tcMar>
              <w:top w:w="0" w:type="dxa"/>
              <w:left w:w="0" w:type="dxa"/>
              <w:bottom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7</w:t>
            </w:r>
          </w:p>
        </w:tc>
      </w:tr>
      <w:tr>
        <w:trPr/>
        <w:tc>
          <w:tcPr>
            <w:tcW w:w="9649" w:type="dxa"/>
            <w:tcBorders/>
            <w:tcMar>
              <w:top w:w="0" w:type="dxa"/>
              <w:left w:w="0" w:type="dxa"/>
              <w:bottom w:w="0" w:type="dxa"/>
              <w:right w:w="0" w:type="dxa"/>
            </w:tcMar>
            <w:vAlign w:val="center"/>
          </w:tcPr>
          <w:p>
            <w:pPr>
              <w:pStyle w:val="TableContents"/>
              <w:bidi w:val="0"/>
              <w:spacing w:before="0" w:after="283"/>
              <w:ind w:left="0" w:right="0" w:firstLine="300"/>
              <w:jc w:val="left"/>
              <w:rPr/>
            </w:pPr>
            <w:hyperlink w:anchor="condensed_consolidated_statements_equity">
              <w:r>
                <w:rPr>
                  <w:rStyle w:val="InternetLink"/>
                  <w:rFonts w:ascii="Times New Roman" w:hAnsi="Times New Roman"/>
                  <w:color w:val="0000FF"/>
                  <w:sz w:val="20"/>
                  <w:u w:val="single"/>
                </w:rPr>
                <w:t>Condensed Consolidated Statements of Equity - Three and Six Months ended August 1, 2026 and August 2, 2025</w:t>
              </w:r>
            </w:hyperlink>
          </w:p>
        </w:tc>
        <w:tc>
          <w:tcPr>
            <w:tcW w:w="556" w:type="dxa"/>
            <w:tcBorders/>
            <w:tcMar>
              <w:top w:w="0" w:type="dxa"/>
              <w:left w:w="0" w:type="dxa"/>
              <w:bottom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8</w:t>
            </w:r>
          </w:p>
        </w:tc>
      </w:tr>
      <w:tr>
        <w:trPr/>
        <w:tc>
          <w:tcPr>
            <w:tcW w:w="9649" w:type="dxa"/>
            <w:tcBorders/>
            <w:tcMar>
              <w:top w:w="0" w:type="dxa"/>
              <w:left w:w="0" w:type="dxa"/>
              <w:bottom w:w="0" w:type="dxa"/>
              <w:right w:w="0" w:type="dxa"/>
            </w:tcMar>
            <w:vAlign w:val="center"/>
          </w:tcPr>
          <w:p>
            <w:pPr>
              <w:pStyle w:val="TableContents"/>
              <w:bidi w:val="0"/>
              <w:spacing w:before="0" w:after="283"/>
              <w:ind w:left="0" w:right="0" w:firstLine="300"/>
              <w:jc w:val="left"/>
              <w:rPr/>
            </w:pPr>
            <w:hyperlink w:anchor="notes_to_financial_statements">
              <w:r>
                <w:rPr>
                  <w:rStyle w:val="InternetLink"/>
                  <w:rFonts w:ascii="Times New Roman" w:hAnsi="Times New Roman"/>
                  <w:color w:val="0000FF"/>
                  <w:sz w:val="20"/>
                  <w:u w:val="single"/>
                </w:rPr>
                <w:t>Notes to Condensed Consolidated Financial Statements</w:t>
              </w:r>
            </w:hyperlink>
            <w:hyperlink w:anchor="notes_to_financial_statements">
              <w:r>
                <w:rPr>
                  <w:rStyle w:val="InternetLink"/>
                  <w:rFonts w:ascii="Times New Roman" w:hAnsi="Times New Roman"/>
                  <w:color w:val="0000FF"/>
                  <w:sz w:val="20"/>
                </w:rPr>
                <w:t xml:space="preserve"> </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9649" w:type="dxa"/>
            <w:tcBorders/>
            <w:tcMar>
              <w:top w:w="0" w:type="dxa"/>
              <w:left w:w="0" w:type="dxa"/>
              <w:bottom w:w="0" w:type="dxa"/>
              <w:right w:w="0" w:type="dxa"/>
            </w:tcMar>
            <w:vAlign w:val="center"/>
          </w:tcPr>
          <w:p>
            <w:pPr>
              <w:pStyle w:val="TableContents"/>
              <w:bidi w:val="0"/>
              <w:spacing w:before="0" w:after="283"/>
              <w:jc w:val="left"/>
              <w:rPr/>
            </w:pPr>
            <w:hyperlink w:anchor="item_2_mda">
              <w:r>
                <w:rPr>
                  <w:rStyle w:val="InternetLink"/>
                  <w:rFonts w:ascii="Times New Roman" w:hAnsi="Times New Roman"/>
                  <w:color w:val="0000FF"/>
                  <w:sz w:val="20"/>
                  <w:u w:val="single"/>
                </w:rPr>
                <w:t>Item 2. Management's Discussion and Analysis of Financial Condition and Results of Operations</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9649"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Item 3. Quantitative and Qualitative Disclosures about Market Risk</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9649"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Item 4. Controls and Procedures</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9649" w:type="dxa"/>
            <w:tcBorders/>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Times New Roman" w:hAnsi="Times New Roman"/>
                  <w:b/>
                  <w:color w:val="0000FF"/>
                  <w:sz w:val="20"/>
                  <w:u w:val="single"/>
                </w:rPr>
                <w:t>Part II. Other Information</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9649"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Item 1. Legal Proceedings</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9649"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Item 1A. Risk Factors</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9649" w:type="dxa"/>
            <w:tcBorders/>
            <w:tcMar>
              <w:top w:w="0" w:type="dxa"/>
              <w:left w:w="0" w:type="dxa"/>
              <w:bottom w:w="0" w:type="dxa"/>
              <w:right w:w="0" w:type="dxa"/>
            </w:tcMar>
            <w:vAlign w:val="center"/>
          </w:tcPr>
          <w:p>
            <w:pPr>
              <w:pStyle w:val="TableContents"/>
              <w:bidi w:val="0"/>
              <w:spacing w:before="0" w:after="283"/>
              <w:jc w:val="left"/>
              <w:rPr/>
            </w:pPr>
            <w:hyperlink w:anchor="item_2_unregistered_sales">
              <w:r>
                <w:rPr>
                  <w:rStyle w:val="InternetLink"/>
                  <w:rFonts w:ascii="Times New Roman" w:hAnsi="Times New Roman"/>
                  <w:color w:val="0000FF"/>
                  <w:sz w:val="20"/>
                  <w:u w:val="single"/>
                </w:rPr>
                <w:t>Item 2. Unregistered Sales of Equity Securities and Use of Proceeds</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9649"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Item 5. Other Information</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9649"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Item 6. Exhibits</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9649" w:type="dxa"/>
            <w:tcBorders/>
            <w:tcMar>
              <w:top w:w="0" w:type="dxa"/>
              <w:left w:w="0" w:type="dxa"/>
              <w:bottom w:w="0" w:type="dxa"/>
              <w:right w:w="0" w:type="dxa"/>
            </w:tcMar>
            <w:vAlign w:val="center"/>
          </w:tcPr>
          <w:p>
            <w:pPr>
              <w:pStyle w:val="TableContents"/>
              <w:bidi w:val="0"/>
              <w:spacing w:before="0" w:after="283"/>
              <w:jc w:val="left"/>
              <w:rPr/>
            </w:pPr>
            <w:hyperlink w:anchor="signature">
              <w:r>
                <w:rPr>
                  <w:rStyle w:val="InternetLink"/>
                  <w:rFonts w:ascii="Times New Roman" w:hAnsi="Times New Roman"/>
                  <w:color w:val="0000FF"/>
                  <w:sz w:val="20"/>
                  <w:u w:val="single"/>
                </w:rPr>
                <w:t>Signature</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9649"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4"/>
        </w:rPr>
      </w:pPr>
      <w:r>
        <w:rPr>
          <w:rFonts w:ascii="Times New Roman" w:hAnsi="Times New Roman"/>
          <w:b/>
          <w:caps/>
          <w:color w:val="212529"/>
          <w:sz w:val="24"/>
        </w:rPr>
        <w:t>cautionary notice regarding forward-looking statements</w:t>
      </w:r>
      <w:r>
        <w:rPr>
          <w:rFonts w:ascii="Times New Roman" w:hAnsi="Times New Roman"/>
          <w:caps/>
          <w:color w:val="212529"/>
          <w:sz w:val="24"/>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Statements in this Quarterly Report on Form 10-Q include certain forward-looking statements, which include statements regarding our intent, belief or expectations and all statements other than those made solely with respect to historical fact. Actual results could differ materially from those reflected by the forward-looking statements in this Quarterly Report on Form 10-Q and a number of factors may adversely affect the forward-looking statements and our future results, liquidity, capital resources or prospects. These include, but are not limited to, adjustments to projections reflected in forward-looking statements, including those resulting from weakness in store, e-commerce and shopping mall traffic, restrictions on operations imposed by government entities and/or landlords, and limitations on our ability to adequately staff and operate stores. Differences from expectations could also result from store closures and effects on the business as a result of the level of consumer spending on our merchandise and interest in our brands and in general; the level and timing of promotional activity necessary to maintain inventories at appropriate levels; our ability to pass on price increases to our customers; the imposition of tariffs (including the timing and amount thereof) on products imported by us or our vendors as well as the ability and costs to move production of products in response to tariffs; our ability to obtain from suppliers products that are in-demand on a timely basis and effectively manage disruptions in product supply or distribution, including disruptions as a result of pandemics or geopolitical events, including disruptions near crucial trade routes; unfavorable trends in fuel costs, foreign exchange rates, foreign labor and material costs, and other factors affecting the cost of products; a disruption in shipping or increase in cost of our imported products, and other factors affecting the cost of products; our dependence on third-party vendors and licensors for the products we sell; store closures and effects on the business as a result of civil disturbances; our ability to renew our license agreements; impacts of the ongoing geopolitical conflicts around the world including without limitation, the conflict with Iran; other sources of market weakness in the locations in which we operate; the effectiveness of our omni-channel initiatives; costs associated with proxy contest; costs associated with changes in minimum wage and overtime requirements; wage pressures; labor shortages; the effects of inflation; the evolving regulatory landscape related to our use of social media; weakness in the consumer economy and retail industry; competition and fashion trends in our markets, including trends with respect to the popularity of casual and dress footwear; any failure to increase sales at our existing stores, given our high fixed expense cost structure, and in our e-commerce businesses; risks related to the potential for terrorist events; changes in buying patterns by significant wholesale customers; changes in consumer preferences; our ability to continue to complete and integrate acquisitions; our ability to expand our business and diversify our product base; impairment of goodwill in connection with acquisitions; payment related risks that could increase our operating cost, expose us to fraud or theft, subject us to potential liability and disrupt our business; and changes in the timing of holidays or in the onset of seasonal weather affecting period-to-period sales comparisons. Additional factors that could cause differences from expectations include the ability to secure allocations to refine product assortments to address consumer demand; the ability to renew leases in existing stores and control or lower occupancy costs, to open or close stores in the number and on the planned schedule, and to conduct required remodeling or refurbishment on schedule and at expected expense levels; our ability to realize anticipated cost savings, including rent savings; our ability to realize anticipated cost savings in connection with the restructuring of our information technology functions; amount and timing of share repurchases; our ability to make our occupancy costs more variable; our ability to achieve expected digital gains and gain market share; deterioration in the performance of individual businesses or of our market value relative to our book value, resulting in impairments of fixed assets, operating lease right of use assets or intangible assets or other adverse financial consequences and the timing and amount of such impairments or other consequences; unexpected changes to the market for our shares or for the retail sector in general; costs and reputational harm as a result of disruptions in our business or information technology systems either by security breaches and incidents or by potential problems associated with the implementation of new or upgraded systems or as the result of the restructuring of our information technology functions; risks that our efforts to integrate AI into our business operations may not be successful and could result in reputational harm and /or liability; changes in tax laws and tax rates and our ability to realize any anticipated tax benefits in both the amount and timeframe anticipated; and the cost and outcome of litigation, investigations, environmental matters and other disputes that involve us. For a full discussion of risk factors, see Part II, Item 1A, "Risk Factors" of this Quarterly Report on Form 10-Q.</w:t>
      </w:r>
    </w:p>
    <w:p>
      <w:pPr>
        <w:pStyle w:val="TextBody"/>
        <w:bidi w:val="0"/>
        <w:spacing w:before="200" w:after="283"/>
        <w:jc w:val="both"/>
        <w:rPr>
          <w:rFonts w:ascii="Times New Roman" w:hAnsi="Times New Roman"/>
          <w:sz w:val="20"/>
        </w:rPr>
      </w:pPr>
      <w:r>
        <w:rPr>
          <w:rFonts w:ascii="Times New Roman" w:hAnsi="Times New Roman"/>
          <w:color w:val="212529"/>
          <w:sz w:val="20"/>
        </w:rPr>
        <w:t xml:space="preserve">Readers are cautioned not to place undue reliance on forward-looking statements as such statements speak only as of the date they were made and involve risks and uncertainties that could cause actual events or results to differ materially from the events or results described in the forward-looking statements. The most important factors which could cause our actual results to differ from our forward-looking statements are set forth in our description of risk factors in Part I, Item 1A </w:t>
      </w:r>
      <w:r>
        <w:rPr>
          <w:rFonts w:ascii="Times New Roman" w:hAnsi="Times New Roman"/>
          <w:color w:val="000000"/>
          <w:sz w:val="20"/>
        </w:rPr>
        <w:t xml:space="preserve">contained in our Annual Report on Form 10-K for the fiscal year ended January 31, 2026 </w:t>
      </w:r>
      <w:r>
        <w:rPr>
          <w:rFonts w:ascii="Times New Roman" w:hAnsi="Times New Roman"/>
          <w:color w:val="212529"/>
          <w:sz w:val="20"/>
        </w:rPr>
        <w:t>which should be read in conjunction with the risk factors in Part II, Item 1A and the forward-looking statements in this Quarterly Report on Form 10-Q. Forward-looking statements speak only as of the date they are made, and we do not undertake any obligation to update any forward-looking statement.</w:t>
      </w:r>
    </w:p>
    <w:p>
      <w:pPr>
        <w:pStyle w:val="TextBody"/>
        <w:bidi w:val="0"/>
        <w:spacing w:before="200" w:after="283"/>
        <w:jc w:val="both"/>
        <w:rPr>
          <w:rFonts w:ascii="Times New Roman" w:hAnsi="Times New Roman"/>
          <w:color w:val="212529"/>
          <w:sz w:val="20"/>
        </w:rPr>
      </w:pPr>
      <w:r>
        <w:rPr>
          <w:rFonts w:ascii="Times New Roman" w:hAnsi="Times New Roman"/>
          <w:color w:val="212529"/>
          <w:sz w:val="20"/>
        </w:rPr>
        <w:t xml:space="preserve">The events described in the forward-looking statements might not occur or might occur to a different extent or at a different time than we have described. As a result, our actual results may differ materially from the results contemplated by these forward-looking statements. </w:t>
      </w:r>
    </w:p>
    <w:p>
      <w:pPr>
        <w:pStyle w:val="TextBody"/>
        <w:bidi w:val="0"/>
        <w:spacing w:before="200" w:after="283"/>
        <w:jc w:val="both"/>
        <w:rPr>
          <w:rFonts w:ascii="Times New Roman" w:hAnsi="Times New Roman"/>
          <w:sz w:val="20"/>
        </w:rPr>
      </w:pPr>
      <w:r>
        <w:rPr>
          <w:rFonts w:ascii="Times New Roman" w:hAnsi="Times New Roman"/>
          <w:color w:val="212529"/>
          <w:sz w:val="20"/>
        </w:rPr>
        <w:t xml:space="preserve">We maintain a website at </w:t>
      </w:r>
      <w:r>
        <w:rPr>
          <w:rFonts w:ascii="Times New Roman" w:hAnsi="Times New Roman"/>
          <w:i/>
          <w:color w:val="212529"/>
          <w:sz w:val="20"/>
        </w:rPr>
        <w:t>www.genesco.com</w:t>
      </w:r>
      <w:r>
        <w:rPr>
          <w:rFonts w:ascii="Times New Roman" w:hAnsi="Times New Roman"/>
          <w:color w:val="212529"/>
          <w:sz w:val="20"/>
        </w:rPr>
        <w:t xml:space="preserve"> where investors and other interested parties may obtain, free of charge, press releases and other information as well as gain access to our periodic filings with the Securities and Exchange Commission (“SEC”). The information contained on this website should not be considered to be a part of this or any other report filed with or furnished to the SEC.</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bookmarkStart w:id="3" w:name="part_i_financial_information"/>
      <w:bookmarkEnd w:id="3"/>
      <w:r>
        <w:rPr>
          <w:rFonts w:ascii="Times New Roman" w:hAnsi="Times New Roman"/>
          <w:b/>
          <w:color w:val="000000"/>
          <w:sz w:val="24"/>
        </w:rPr>
        <w:t>PART I - FINANCIAL INFORMATION</w:t>
      </w:r>
    </w:p>
    <w:p>
      <w:pPr>
        <w:pStyle w:val="TextBody"/>
        <w:bidi w:val="0"/>
        <w:jc w:val="center"/>
        <w:rPr>
          <w:rFonts w:ascii="Times New Roman" w:hAnsi="Times New Roman"/>
          <w:b/>
          <w:color w:val="000000"/>
          <w:sz w:val="24"/>
        </w:rPr>
      </w:pPr>
      <w:bookmarkStart w:id="4" w:name="item_1_financial_statements_unaudited"/>
      <w:bookmarkEnd w:id="4"/>
      <w:r>
        <w:rPr>
          <w:rFonts w:ascii="Times New Roman" w:hAnsi="Times New Roman"/>
          <w:b/>
          <w:color w:val="000000"/>
          <w:sz w:val="24"/>
        </w:rPr>
        <w:t>Item 1. Financial Statements (unaudited)</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Genesco Inc. and Subsidiaries</w:t>
      </w:r>
    </w:p>
    <w:p>
      <w:pPr>
        <w:pStyle w:val="TextBody"/>
        <w:bidi w:val="0"/>
        <w:jc w:val="center"/>
        <w:rPr>
          <w:rFonts w:ascii="Times New Roman" w:hAnsi="Times New Roman"/>
          <w:color w:val="000000"/>
          <w:sz w:val="24"/>
        </w:rPr>
      </w:pPr>
      <w:bookmarkStart w:id="5" w:name="condensed_consolidated_balance_sheets"/>
      <w:bookmarkEnd w:id="5"/>
      <w:r>
        <w:rPr>
          <w:rFonts w:ascii="Times New Roman" w:hAnsi="Times New Roman"/>
          <w:color w:val="000000"/>
          <w:sz w:val="24"/>
        </w:rPr>
        <w:t>Condensed Consolidated Balance Sheets</w:t>
      </w:r>
    </w:p>
    <w:p>
      <w:pPr>
        <w:pStyle w:val="TextBody"/>
        <w:bidi w:val="0"/>
        <w:jc w:val="center"/>
        <w:rPr>
          <w:rFonts w:ascii="Times New Roman" w:hAnsi="Times New Roman"/>
          <w:color w:val="000000"/>
          <w:sz w:val="24"/>
        </w:rPr>
      </w:pPr>
      <w:r>
        <w:rPr>
          <w:rFonts w:ascii="Times New Roman" w:hAnsi="Times New Roman"/>
          <w:color w:val="000000"/>
          <w:sz w:val="24"/>
        </w:rPr>
        <w:t>(In thousands, except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642"/>
        <w:gridCol w:w="146"/>
        <w:gridCol w:w="239"/>
        <w:gridCol w:w="1057"/>
        <w:gridCol w:w="166"/>
        <w:gridCol w:w="146"/>
        <w:gridCol w:w="260"/>
        <w:gridCol w:w="1148"/>
        <w:gridCol w:w="166"/>
        <w:gridCol w:w="146"/>
        <w:gridCol w:w="239"/>
        <w:gridCol w:w="1057"/>
        <w:gridCol w:w="793"/>
      </w:tblGrid>
      <w:tr>
        <w:trPr/>
        <w:tc>
          <w:tcPr>
            <w:tcW w:w="46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464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29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August 1, 2026</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08"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January 31, 2026</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29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August 2, 2025</w:t>
            </w:r>
          </w:p>
        </w:tc>
        <w:tc>
          <w:tcPr>
            <w:tcW w:w="79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46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40,989</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 of allowances of $1,867 at August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2"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$2,377 at January 31, 2026 and $2,745 at August 2,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39,716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54,322</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539,670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433,878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501,008</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Prepaids and other current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39,773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49,572</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676,292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618,516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645,891</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242,315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237,656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238,626</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 of 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523,777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472,815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475,221</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9,336</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intangibles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27,136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27,408</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25,278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25,054</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5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1,504,233</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6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4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1,392,978</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5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1,421,925</w:t>
            </w:r>
          </w:p>
        </w:tc>
        <w:tc>
          <w:tcPr>
            <w:tcW w:w="79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4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216,726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193,016</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13,275</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108,694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123,106</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101,335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84,958</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5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426,755</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26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14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376,342</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5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414,355</w:t>
            </w:r>
          </w:p>
        </w:tc>
        <w:tc>
          <w:tcPr>
            <w:tcW w:w="79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4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15,798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57,677</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459,420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398,788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395,186</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45,285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48,335</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5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947,258</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26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14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825,934</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5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915,553</w:t>
            </w:r>
          </w:p>
        </w:tc>
        <w:tc>
          <w:tcPr>
            <w:tcW w:w="79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4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Non-redeemable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6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Common stock, $1 par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464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Authorized: 80,000,000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464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color w:val="000000"/>
              </w:rPr>
            </w:pPr>
            <w:r>
              <w:rPr>
                <w:color w:val="000000"/>
              </w:rPr>
              <w:t> </w:t>
            </w:r>
            <w:r>
              <w:rPr>
                <w:rFonts w:ascii="Times New Roman" w:hAnsi="Times New Roman"/>
                <w:color w:val="000000"/>
                <w:sz w:val="20"/>
              </w:rPr>
              <w:t>Issued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11,606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11,285</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349,135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343,889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337,552</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251,894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265,790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212,977</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(38,638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(38,420</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4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Treasury shares, at cost (488,464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(17,857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(17,857</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equity</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556,975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567,044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506,372</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Equity</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1,504,233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1,392,978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1,421,925</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Genesco Inc. and Subsidiaries</w:t>
      </w:r>
    </w:p>
    <w:p>
      <w:pPr>
        <w:pStyle w:val="TextBody"/>
        <w:bidi w:val="0"/>
        <w:jc w:val="center"/>
        <w:rPr>
          <w:rFonts w:ascii="Times New Roman" w:hAnsi="Times New Roman"/>
          <w:color w:val="000000"/>
          <w:sz w:val="24"/>
        </w:rPr>
      </w:pPr>
      <w:bookmarkStart w:id="6" w:name="condensed_consolidated_statements_operat"/>
      <w:bookmarkEnd w:id="6"/>
      <w:r>
        <w:rPr>
          <w:rFonts w:ascii="Times New Roman" w:hAnsi="Times New Roman"/>
          <w:color w:val="000000"/>
          <w:sz w:val="24"/>
        </w:rPr>
        <w:t>Condensed Consolidated Statements of Operations</w:t>
      </w:r>
    </w:p>
    <w:p>
      <w:pPr>
        <w:pStyle w:val="TextBody"/>
        <w:bidi w:val="0"/>
        <w:jc w:val="center"/>
        <w:rPr>
          <w:rFonts w:ascii="Times New Roman" w:hAnsi="Times New Roman"/>
          <w:color w:val="000000"/>
          <w:sz w:val="24"/>
        </w:rPr>
      </w:pPr>
      <w:r>
        <w:rPr>
          <w:rFonts w:ascii="Times New Roman" w:hAnsi="Times New Roman"/>
          <w:color w:val="000000"/>
          <w:sz w:val="24"/>
        </w:rPr>
        <w:t>(In thousands, except per share amounts)</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53"/>
        <w:gridCol w:w="146"/>
        <w:gridCol w:w="257"/>
        <w:gridCol w:w="952"/>
        <w:gridCol w:w="166"/>
        <w:gridCol w:w="146"/>
        <w:gridCol w:w="257"/>
        <w:gridCol w:w="952"/>
        <w:gridCol w:w="166"/>
        <w:gridCol w:w="146"/>
        <w:gridCol w:w="234"/>
        <w:gridCol w:w="1034"/>
        <w:gridCol w:w="166"/>
        <w:gridCol w:w="146"/>
        <w:gridCol w:w="234"/>
        <w:gridCol w:w="1034"/>
        <w:gridCol w:w="416"/>
      </w:tblGrid>
      <w:tr>
        <w:trPr/>
        <w:tc>
          <w:tcPr>
            <w:tcW w:w="37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375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730"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848"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4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August 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August 2,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August 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August 2, 2025</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7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529,858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545,965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1,016,883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1,019,938</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257,741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296,016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515,847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548,808</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272,117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501,036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471,130</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259,557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264,265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513,960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513,300</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impairments and other, net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(11,760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(42,585</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components of net periodic benefit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2,798</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(loss) from continuing operations before income taxes</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5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5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3,398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5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5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(12,481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(45,711</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(6,043</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(loss)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(11,324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(39,668</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discontinued operations, net of tax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Earnings (Loss)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(11,335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(39,698</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 (loss)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5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Discontinued operations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5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earnings (loss)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(loss)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5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Discontinued operations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5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earnings (loss)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10,537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10,394</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10,394</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Genesco Inc. and Subsidiaries</w:t>
      </w:r>
    </w:p>
    <w:p>
      <w:pPr>
        <w:pStyle w:val="TextBody"/>
        <w:bidi w:val="0"/>
        <w:jc w:val="center"/>
        <w:rPr>
          <w:rFonts w:ascii="Times New Roman" w:hAnsi="Times New Roman"/>
          <w:color w:val="000000"/>
          <w:sz w:val="24"/>
        </w:rPr>
      </w:pPr>
      <w:bookmarkStart w:id="7" w:name="condensed_consolidated_statements_compre"/>
      <w:bookmarkEnd w:id="7"/>
      <w:r>
        <w:rPr>
          <w:rFonts w:ascii="Times New Roman" w:hAnsi="Times New Roman"/>
          <w:color w:val="000000"/>
          <w:sz w:val="24"/>
        </w:rPr>
        <w:t>Condensed Consolidated Statements of Comprehensive Income (Loss)</w:t>
      </w:r>
    </w:p>
    <w:p>
      <w:pPr>
        <w:pStyle w:val="TextBody"/>
        <w:bidi w:val="0"/>
        <w:jc w:val="center"/>
        <w:rPr>
          <w:rFonts w:ascii="Times New Roman" w:hAnsi="Times New Roman"/>
          <w:color w:val="000000"/>
          <w:sz w:val="24"/>
        </w:rPr>
      </w:pPr>
      <w:r>
        <w:rPr>
          <w:rFonts w:ascii="Times New Roman" w:hAnsi="Times New Roman"/>
          <w:color w:val="000000"/>
          <w:sz w:val="24"/>
        </w:rPr>
        <w:t>(In thousands)</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69"/>
        <w:gridCol w:w="146"/>
        <w:gridCol w:w="327"/>
        <w:gridCol w:w="981"/>
        <w:gridCol w:w="166"/>
        <w:gridCol w:w="146"/>
        <w:gridCol w:w="293"/>
        <w:gridCol w:w="1023"/>
        <w:gridCol w:w="166"/>
        <w:gridCol w:w="146"/>
        <w:gridCol w:w="293"/>
        <w:gridCol w:w="1023"/>
        <w:gridCol w:w="166"/>
        <w:gridCol w:w="146"/>
        <w:gridCol w:w="293"/>
        <w:gridCol w:w="1023"/>
        <w:gridCol w:w="398"/>
      </w:tblGrid>
      <w:tr>
        <w:trPr/>
        <w:tc>
          <w:tcPr>
            <w:tcW w:w="34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346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93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944"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39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August 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August 2,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August 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August 2, 2025</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earnings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(11,335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(39,698</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Postretirement liability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6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6,811</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6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comprehensive income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7,004</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Income (Loss)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(32,694</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Genesco Inc. and Subsidiaries</w:t>
      </w:r>
    </w:p>
    <w:p>
      <w:pPr>
        <w:pStyle w:val="TextBody"/>
        <w:bidi w:val="0"/>
        <w:jc w:val="center"/>
        <w:rPr>
          <w:rFonts w:ascii="Times New Roman" w:hAnsi="Times New Roman"/>
          <w:color w:val="000000"/>
          <w:sz w:val="24"/>
        </w:rPr>
      </w:pPr>
      <w:bookmarkStart w:id="8" w:name="condensed_consolidated_statements_cash_f"/>
      <w:bookmarkEnd w:id="8"/>
      <w:r>
        <w:rPr>
          <w:rFonts w:ascii="Times New Roman" w:hAnsi="Times New Roman"/>
          <w:color w:val="000000"/>
          <w:sz w:val="24"/>
        </w:rPr>
        <w:t>Condensed Consolidated Statements of Cash Flows</w:t>
      </w:r>
    </w:p>
    <w:p>
      <w:pPr>
        <w:pStyle w:val="TextBody"/>
        <w:bidi w:val="0"/>
        <w:jc w:val="center"/>
        <w:rPr>
          <w:rFonts w:ascii="Times New Roman" w:hAnsi="Times New Roman"/>
          <w:color w:val="000000"/>
          <w:sz w:val="24"/>
        </w:rPr>
      </w:pPr>
      <w:r>
        <w:rPr>
          <w:rFonts w:ascii="Times New Roman" w:hAnsi="Times New Roman"/>
          <w:color w:val="000000"/>
          <w:sz w:val="24"/>
        </w:rPr>
        <w:t>(In thousands)</w:t>
      </w:r>
    </w:p>
    <w:p>
      <w:pPr>
        <w:pStyle w:val="TextBody"/>
        <w:bidi w:val="0"/>
        <w:jc w:val="left"/>
        <w:rPr/>
      </w:pPr>
      <w:r>
        <w:rPr/>
        <w:t> </w:t>
      </w:r>
    </w:p>
    <w:tbl>
      <w:tblPr>
        <w:tblW w:w="9550" w:type="dxa"/>
        <w:jc w:val="left"/>
        <w:tblInd w:w="0" w:type="dxa"/>
        <w:tblLayout w:type="fixed"/>
        <w:tblCellMar>
          <w:top w:w="28" w:type="dxa"/>
          <w:left w:w="28" w:type="dxa"/>
          <w:bottom w:w="28" w:type="dxa"/>
          <w:right w:w="28" w:type="dxa"/>
        </w:tblCellMar>
      </w:tblPr>
      <w:tblGrid>
        <w:gridCol w:w="5001"/>
        <w:gridCol w:w="346"/>
        <w:gridCol w:w="270"/>
        <w:gridCol w:w="1080"/>
        <w:gridCol w:w="346"/>
        <w:gridCol w:w="346"/>
        <w:gridCol w:w="270"/>
        <w:gridCol w:w="1080"/>
        <w:gridCol w:w="811"/>
      </w:tblGrid>
      <w:tr>
        <w:trPr/>
        <w:tc>
          <w:tcPr>
            <w:tcW w:w="50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50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3392"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Six Months Ended</w:t>
            </w:r>
          </w:p>
        </w:tc>
        <w:tc>
          <w:tcPr>
            <w:tcW w:w="8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50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August 1, 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August 2, 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(11,335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(39,698</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Adjustments to reconcile net loss to net cash used in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operating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Depreciation and amortization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26,430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26,867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Deferred income taxes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477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Impairment of long-lived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Share-based compensation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5,575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5,912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Other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1,498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700</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Changes in working capital and other assets and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Accounts receivable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33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(5,076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Inventories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(107,384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(70,146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Prepaids and other current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(605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51,719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Accounts payable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60,335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25,165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Other accrued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432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(5,461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w:t>
            </w:r>
          </w:p>
        </w:tc>
      </w:tr>
      <w:tr>
        <w:trPr/>
        <w:tc>
          <w:tcPr>
            <w:tcW w:w="50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Other assets and liabilities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(1,423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(5,186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5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cash used in operating activities</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(26,397</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(14,693</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INVESTING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Capital expenditures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(31,743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(33,580</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500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cash used in investing activities</w:t>
            </w:r>
          </w:p>
        </w:tc>
        <w:tc>
          <w:tcPr>
            <w:tcW w:w="3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7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8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(31,743</w:t>
            </w:r>
          </w:p>
        </w:tc>
        <w:tc>
          <w:tcPr>
            <w:tcW w:w="3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3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7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8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(33,580</w:t>
            </w:r>
          </w:p>
        </w:tc>
        <w:tc>
          <w:tcPr>
            <w:tcW w:w="8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FINANCING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Borrowings under revolving credit facility</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135,546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251,276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Payments on revolving credit facility</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(122,941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(180,710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Shares repurchased related to share repurchase plan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(12,566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Shares repurchased related to taxes for share-based awards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(2,561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(1,159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Change in overdraft balances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121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(1,955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Additions to deferred financing costs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(116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0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cash provided by financing activities</w:t>
            </w:r>
          </w:p>
        </w:tc>
        <w:tc>
          <w:tcPr>
            <w:tcW w:w="3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7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8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10,049</w:t>
            </w:r>
          </w:p>
        </w:tc>
        <w:tc>
          <w:tcPr>
            <w:tcW w:w="3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3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7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8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54,886</w:t>
            </w:r>
          </w:p>
        </w:tc>
        <w:tc>
          <w:tcPr>
            <w:tcW w:w="8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5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Effect of foreign exchange rate fluctuations on cash</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(181</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369</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Net increase (decrease) in cash and cash equivalents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(48,272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6,982</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and cash equivalents at beginning of period</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105,405</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34,007</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and cash equivalents at end of period</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0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57,133</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0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40,989</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Supplemental information: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Interest paid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1,096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2,517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Income taxes paid (received)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(2,080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(56,162</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Genesco Inc. and Subsidiaries</w:t>
      </w:r>
    </w:p>
    <w:p>
      <w:pPr>
        <w:pStyle w:val="TextBody"/>
        <w:bidi w:val="0"/>
        <w:jc w:val="center"/>
        <w:rPr>
          <w:rFonts w:ascii="Times New Roman" w:hAnsi="Times New Roman"/>
          <w:color w:val="000000"/>
          <w:sz w:val="24"/>
        </w:rPr>
      </w:pPr>
      <w:bookmarkStart w:id="9" w:name="condensed_consolidated_statements_equity"/>
      <w:bookmarkEnd w:id="9"/>
      <w:r>
        <w:rPr>
          <w:rFonts w:ascii="Times New Roman" w:hAnsi="Times New Roman"/>
          <w:color w:val="000000"/>
          <w:sz w:val="24"/>
        </w:rPr>
        <w:t>Condensed Consolidated Statements of Equity</w:t>
      </w:r>
    </w:p>
    <w:p>
      <w:pPr>
        <w:pStyle w:val="TextBody"/>
        <w:bidi w:val="0"/>
        <w:jc w:val="center"/>
        <w:rPr>
          <w:rFonts w:ascii="Times New Roman" w:hAnsi="Times New Roman"/>
          <w:color w:val="000000"/>
          <w:sz w:val="24"/>
        </w:rPr>
      </w:pPr>
      <w:r>
        <w:rPr>
          <w:rFonts w:ascii="Times New Roman" w:hAnsi="Times New Roman"/>
          <w:color w:val="000000"/>
          <w:sz w:val="24"/>
        </w:rPr>
        <w:t>(In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571"/>
        <w:gridCol w:w="324"/>
        <w:gridCol w:w="622"/>
        <w:gridCol w:w="146"/>
        <w:gridCol w:w="196"/>
        <w:gridCol w:w="601"/>
        <w:gridCol w:w="166"/>
        <w:gridCol w:w="196"/>
        <w:gridCol w:w="691"/>
        <w:gridCol w:w="166"/>
        <w:gridCol w:w="196"/>
        <w:gridCol w:w="691"/>
        <w:gridCol w:w="166"/>
        <w:gridCol w:w="271"/>
        <w:gridCol w:w="915"/>
        <w:gridCol w:w="166"/>
        <w:gridCol w:w="196"/>
        <w:gridCol w:w="661"/>
        <w:gridCol w:w="166"/>
        <w:gridCol w:w="196"/>
        <w:gridCol w:w="691"/>
        <w:gridCol w:w="211"/>
      </w:tblGrid>
      <w:tr>
        <w:trPr/>
        <w:tc>
          <w:tcPr>
            <w:tcW w:w="257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94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Non-</w:t>
              <w:br/>
              <w:t>Redeemable</w:t>
              <w:br/>
              <w:t>Preferred</w:t>
              <w:br/>
              <w:t>Stock</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79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w:t>
              <w:br/>
              <w:t>Stock</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8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Additional</w:t>
              <w:br/>
              <w:t>Paid-In</w:t>
              <w:br/>
              <w:t>Capital</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8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Retained</w:t>
              <w:br/>
              <w:t>Earnings</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18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Accumulated</w:t>
              <w:br/>
              <w:t>Other</w:t>
              <w:br/>
              <w:t>Comprehensive</w:t>
              <w:br/>
              <w:t>Loss</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85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Treasury</w:t>
              <w:br/>
              <w:t>Shares</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8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w:t>
              <w:br/>
              <w:t>Equity</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February 1, 2025</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331,756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265,887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546,970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income</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Share-based compensation expense</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stock issuance</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shares withheld for taxes</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repurchased</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Balance May 3, 2025</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334,651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232,035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522,232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income</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Share-based compensation expense</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stock issuance</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Excise taxes related to repurchases of common stock</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shares withheld for taxes</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August 2, 2025</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337,552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212,977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(38,420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506,372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Non-</w:t>
              <w:br/>
              <w:t>Redeemable</w:t>
              <w:br/>
              <w:t>Preferred</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w:t>
              <w:b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Additional</w:t>
              <w:br/>
              <w:t>Paid-In</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Retained</w:t>
              <w:b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Accumulated</w:t>
              <w:br/>
              <w:t>Other</w:t>
              <w:br/>
              <w:t>Comprehensive</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Treasury</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January 31, 2026</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343,889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265,790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567,044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loss</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Share-based compensation expense</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stock issuance</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shares withheld for taxes</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Balance May 2, 2026</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346,389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248,870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552,437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earnings</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loss</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Share-based compensation expense</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stock issuance</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shares withheld for taxes</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Balance August 1, 2026</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11,606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349,135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251,894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(38,638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(17,857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556,975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4"/>
        </w:rPr>
      </w:pPr>
      <w:r>
        <w:rPr>
          <w:rFonts w:ascii="Times New Roman" w:hAnsi="Times New Roman"/>
          <w:b/>
          <w:color w:val="000000"/>
          <w:sz w:val="24"/>
        </w:rPr>
        <w:t>Genesco Inc. and Subsidiaries</w:t>
      </w:r>
    </w:p>
    <w:p>
      <w:pPr>
        <w:pStyle w:val="TextBody"/>
        <w:bidi w:val="0"/>
        <w:jc w:val="center"/>
        <w:rPr>
          <w:rFonts w:ascii="Times New Roman" w:hAnsi="Times New Roman"/>
          <w:b/>
          <w:color w:val="000000"/>
          <w:sz w:val="24"/>
        </w:rPr>
      </w:pPr>
      <w:r>
        <w:rPr>
          <w:rFonts w:ascii="Times New Roman" w:hAnsi="Times New Roman"/>
          <w:b/>
          <w:color w:val="000000"/>
          <w:sz w:val="24"/>
        </w:rPr>
        <w:t>Notes to Condensed Consolidated Financial Statements (unaudited)</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1</w:t>
      </w:r>
    </w:p>
    <w:p>
      <w:pPr>
        <w:pStyle w:val="TextBody"/>
        <w:bidi w:val="0"/>
        <w:jc w:val="both"/>
        <w:rPr>
          <w:rFonts w:ascii="Times New Roman" w:hAnsi="Times New Roman"/>
          <w:b/>
          <w:color w:val="000000"/>
          <w:sz w:val="20"/>
          <w:u w:val="single"/>
        </w:rPr>
      </w:pPr>
      <w:bookmarkStart w:id="10" w:name="notes_to_financial_statements"/>
      <w:bookmarkEnd w:id="10"/>
      <w:r>
        <w:rPr>
          <w:rFonts w:ascii="Times New Roman" w:hAnsi="Times New Roman"/>
          <w:b/>
          <w:color w:val="000000"/>
          <w:sz w:val="20"/>
          <w:u w:val="single"/>
        </w:rPr>
        <w:t>Summary of Significant Accounting Policies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These Condensed Consolidated Financial Statements should be read in conjunction with our Consolidated Financial Statements and Notes for Fiscal 2026, which are contained in our Annual Report on Form 10-K as filed with the SEC on March 25, 2026. The Condensed Consolidated Financial Statements and Notes contained in this report are unaudited but reflect all adjustments, including normal recurring adjustments, necessary for a fair presentation of the results for the interim periods of the fiscal year ending January 30, 2027 ("Fiscal 2027") and of the fiscal year ended January 31, 2026 ("Fiscal 2026"), both of which are 52-week fiscal years. All subsidiaries are consolidated in the Condensed Consolidated Financial Statements. All significant intercompany transactions and accounts have been eliminated. The results of operations for any interim period are not necessarily indicative of results for the full year. The Condensed Consolidated Financial Statements and the related Notes have been prepared in accordance with the instructions to Form 10-Q and do not include all of the information and notes required by U.S. Generally Accepted Accounting Principles (“GAAP”) for complete financial statements. The Condensed Consolidated Balance Sheet as of January 31, 2026 has been derived from the audited financial statements at that date.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Nature of Operations</w:t>
      </w:r>
    </w:p>
    <w:p>
      <w:pPr>
        <w:pStyle w:val="TextBody"/>
        <w:bidi w:val="0"/>
        <w:spacing w:lineRule="auto" w:line="360" w:before="200" w:after="283"/>
        <w:jc w:val="both"/>
        <w:rPr>
          <w:rFonts w:ascii="Times New Roman" w:hAnsi="Times New Roman"/>
          <w:sz w:val="13"/>
        </w:rPr>
      </w:pPr>
      <w:r>
        <w:rPr>
          <w:rFonts w:ascii="Times New Roman" w:hAnsi="Times New Roman"/>
          <w:color w:val="000000"/>
          <w:sz w:val="20"/>
        </w:rPr>
        <w:t>Genesco Inc. and its subsidiaries (collectively the "Company", "Genesco," "we", "our", or "us") business includes the sourcing and design, marketing and distribution of footwear, apparel and accessories through retail stores in the U.S., Puerto Rico and Canada primarily under the Journeys</w:t>
      </w:r>
      <w:r>
        <w:rPr>
          <w:rFonts w:ascii="Times New Roman" w:hAnsi="Times New Roman"/>
          <w:color w:val="000000"/>
          <w:sz w:val="13"/>
        </w:rPr>
        <w:t>®</w:t>
      </w:r>
      <w:r>
        <w:rPr>
          <w:rFonts w:ascii="Times New Roman" w:hAnsi="Times New Roman"/>
          <w:color w:val="000000"/>
          <w:sz w:val="20"/>
        </w:rPr>
        <w:t>, Journeys Kidz</w:t>
      </w:r>
      <w:r>
        <w:rPr>
          <w:rFonts w:ascii="Times New Roman" w:hAnsi="Times New Roman"/>
          <w:color w:val="000000"/>
          <w:sz w:val="13"/>
        </w:rPr>
        <w:t>®</w:t>
      </w:r>
      <w:r>
        <w:rPr>
          <w:rFonts w:ascii="Times New Roman" w:hAnsi="Times New Roman"/>
          <w:color w:val="000000"/>
          <w:sz w:val="20"/>
        </w:rPr>
        <w:t>, Little Burgundy</w:t>
      </w:r>
      <w:r>
        <w:rPr>
          <w:rFonts w:ascii="Times New Roman" w:hAnsi="Times New Roman"/>
          <w:color w:val="000000"/>
          <w:sz w:val="13"/>
        </w:rPr>
        <w:t xml:space="preserve">® </w:t>
      </w:r>
      <w:r>
        <w:rPr>
          <w:rFonts w:ascii="Times New Roman" w:hAnsi="Times New Roman"/>
          <w:color w:val="000000"/>
          <w:sz w:val="20"/>
        </w:rPr>
        <w:t>and Johnston &amp; Murphy</w:t>
      </w:r>
      <w:r>
        <w:rPr>
          <w:rFonts w:ascii="Times New Roman" w:hAnsi="Times New Roman"/>
          <w:color w:val="000000"/>
          <w:sz w:val="13"/>
        </w:rPr>
        <w:t xml:space="preserve">® </w:t>
      </w:r>
      <w:r>
        <w:rPr>
          <w:rFonts w:ascii="Times New Roman" w:hAnsi="Times New Roman"/>
          <w:color w:val="000000"/>
          <w:sz w:val="20"/>
        </w:rPr>
        <w:t>banners and under the Schuh</w:t>
      </w:r>
      <w:r>
        <w:rPr>
          <w:rFonts w:ascii="Times New Roman" w:hAnsi="Times New Roman"/>
          <w:color w:val="000000"/>
          <w:sz w:val="13"/>
        </w:rPr>
        <w:t xml:space="preserve">® </w:t>
      </w:r>
      <w:r>
        <w:rPr>
          <w:rFonts w:ascii="Times New Roman" w:hAnsi="Times New Roman"/>
          <w:color w:val="000000"/>
          <w:sz w:val="20"/>
        </w:rPr>
        <w:t>banner in the United Kingdom (“U.K.”) and the Republic of Ireland (“ROI”); through e-commerce websites including the following: journeys.com, journeyskidz.com, journeys.ca, littleburgundyshoes.com, schuh.co.uk, schuh.ie, schuh.eu, johnstonmurphy.com and nashvilleshoewarehouse.com as well as the Johnston &amp; Murphy catalog. We also source, design, market and distribute footwear, apparel and accessories at wholesale, primarily under our Johnston &amp; Murphy brand, the licensed Dockers</w:t>
      </w:r>
      <w:r>
        <w:rPr>
          <w:rFonts w:ascii="Times New Roman" w:hAnsi="Times New Roman"/>
          <w:color w:val="000000"/>
          <w:sz w:val="13"/>
        </w:rPr>
        <w:t xml:space="preserve">® </w:t>
      </w:r>
      <w:r>
        <w:rPr>
          <w:rFonts w:ascii="Times New Roman" w:hAnsi="Times New Roman"/>
          <w:color w:val="000000"/>
          <w:sz w:val="20"/>
        </w:rPr>
        <w:t>brand, the licensed Wrangler</w:t>
      </w:r>
      <w:r>
        <w:rPr>
          <w:rFonts w:ascii="Times New Roman" w:hAnsi="Times New Roman"/>
          <w:color w:val="000000"/>
          <w:sz w:val="13"/>
        </w:rPr>
        <w:t xml:space="preserve">® </w:t>
      </w:r>
      <w:r>
        <w:rPr>
          <w:rFonts w:ascii="Times New Roman" w:hAnsi="Times New Roman"/>
          <w:color w:val="000000"/>
          <w:sz w:val="20"/>
        </w:rPr>
        <w:t>brand, and other brands that we license for footwear. At August 1, 2026, we operated 1,186</w:t>
      </w:r>
      <w:r>
        <w:rPr>
          <w:rFonts w:ascii="Times New Roman" w:hAnsi="Times New Roman"/>
          <w:color w:val="000000"/>
          <w:sz w:val="13"/>
        </w:rPr>
        <w:t xml:space="preserve"> </w:t>
      </w:r>
      <w:r>
        <w:rPr>
          <w:rFonts w:ascii="Times New Roman" w:hAnsi="Times New Roman"/>
          <w:color w:val="000000"/>
          <w:sz w:val="20"/>
        </w:rPr>
        <w:t>retail stores in the U.S., Puerto Rico, Canada, the U.K. and the ROI.</w:t>
      </w:r>
    </w:p>
    <w:p>
      <w:pPr>
        <w:pStyle w:val="TextBody"/>
        <w:bidi w:val="0"/>
        <w:spacing w:lineRule="auto" w:line="360" w:before="200" w:after="283"/>
        <w:jc w:val="both"/>
        <w:rPr>
          <w:rFonts w:ascii="Times New Roman" w:hAnsi="Times New Roman"/>
          <w:sz w:val="13"/>
        </w:rPr>
      </w:pPr>
      <w:r>
        <w:rPr>
          <w:rFonts w:ascii="Times New Roman" w:hAnsi="Times New Roman"/>
          <w:color w:val="000000"/>
          <w:sz w:val="20"/>
        </w:rPr>
        <w:t>During the three and six months ended August 1, 2026 and August 2, 2025, we operated four</w:t>
      </w:r>
      <w:r>
        <w:rPr>
          <w:rFonts w:ascii="Times New Roman" w:hAnsi="Times New Roman"/>
          <w:color w:val="000000"/>
          <w:sz w:val="13"/>
        </w:rPr>
        <w:t xml:space="preserve"> </w:t>
      </w:r>
      <w:r>
        <w:rPr>
          <w:rFonts w:ascii="Times New Roman" w:hAnsi="Times New Roman"/>
          <w:color w:val="000000"/>
          <w:sz w:val="20"/>
        </w:rPr>
        <w:t>reportable business segments (not including corporate): (i) Journeys Group, comprised of the Journeys, Journeys Kidz and Little Burgundy retail footwear chains and e-commerce operations; (ii) Schuh Group, comprised of the Schuh retail footwear chain and e-commerce operations; (iii) Johnston &amp; Murphy Group, comprised of Johnston &amp; Murphy retail operations, e-commerce operations and wholesale distribution of products under the Johnston &amp; Murphy brand; and (iv) Genesco Brands Group, comprised of the licensed Dockers and Wrangler brands, as well as other brands we license for footwear. During Fiscal 2026, we signed a multi-year licensing agreement with Kontoor Brands, Inc. to design, source, market and distribute footwear under the Wrangler</w:t>
      </w:r>
      <w:r>
        <w:rPr>
          <w:rFonts w:ascii="Times New Roman" w:hAnsi="Times New Roman"/>
          <w:color w:val="000000"/>
          <w:sz w:val="13"/>
        </w:rPr>
        <w:t xml:space="preserve">® </w:t>
      </w:r>
      <w:r>
        <w:rPr>
          <w:rFonts w:ascii="Times New Roman" w:hAnsi="Times New Roman"/>
          <w:color w:val="000000"/>
          <w:sz w:val="20"/>
        </w:rPr>
        <w:t>brand ("Wrangler"). We expect to launch the first Wrangler footwear collection in the Fall of calendar year 2026.</w:t>
      </w:r>
      <w:r>
        <w:rPr>
          <w:rFonts w:ascii="Times New Roman" w:hAnsi="Times New Roman"/>
          <w:color w:val="000000"/>
          <w:sz w:val="13"/>
        </w:rPr>
        <w:t xml:space="preserve">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Selling and Administrative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Wholesale costs of distribution are included in selling and administrative expenses on the Condensed Consolidated Statements of Operations in the amount of $1.9 million and $2.6 million for the second quarters of Fiscal 2027 and Fiscal 2026, respectively, and $3.9 million and $5.3 million for the first six months of Fiscal 2027 and Fiscal 2026,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Retail occupancy costs recorded in selling and administrative expenses were $73.9 million and $73.0 million for the second quarters of Fiscal 2027 and Fiscal 2026, respectively, and $148.0 million and $146.4 million for the first six months of Fiscal 2027 and Fiscal 2026, respectively.</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Advertising Costs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Advertising costs included in selling and administrative expenses were $28.7 million and $30.8 million for the second quarters of Fiscal 2027 and Fiscal 2026, respectively, and $54.2 million and $55.0 million for the first six months of Fiscal 2027 and Fiscal 2026, respectively.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Vendor Allowances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Vendor reimbursements of cooperative advertising costs recognized as a reduction of selling and administrative expenses were $2.9 million and $3.6 million for the second quarters of Fiscal 2027 and Fiscal 2026, respectively, and $6.2 million and $7.2 million for the first six months of Fiscal 2027 and Fiscal 2026, respectively.</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4"/>
        </w:rPr>
      </w:pPr>
      <w:r>
        <w:rPr>
          <w:rFonts w:ascii="Times New Roman" w:hAnsi="Times New Roman"/>
          <w:b/>
          <w:color w:val="000000"/>
          <w:sz w:val="24"/>
        </w:rPr>
        <w:t>Genesco Inc. and Subsidiaries</w:t>
      </w:r>
    </w:p>
    <w:p>
      <w:pPr>
        <w:pStyle w:val="TextBody"/>
        <w:bidi w:val="0"/>
        <w:jc w:val="center"/>
        <w:rPr>
          <w:rFonts w:ascii="Times New Roman" w:hAnsi="Times New Roman"/>
          <w:b/>
          <w:color w:val="000000"/>
          <w:sz w:val="24"/>
        </w:rPr>
      </w:pPr>
      <w:r>
        <w:rPr>
          <w:rFonts w:ascii="Times New Roman" w:hAnsi="Times New Roman"/>
          <w:b/>
          <w:color w:val="000000"/>
          <w:sz w:val="24"/>
        </w:rPr>
        <w:t>Notes to Condensed Consolidated Financial Statements (unaudited)</w:t>
      </w:r>
    </w:p>
    <w:p>
      <w:pPr>
        <w:pStyle w:val="TextBody"/>
        <w:bidi w:val="0"/>
        <w:jc w:val="left"/>
        <w:rPr/>
      </w:pPr>
      <w:r>
        <w:rPr/>
        <w:t> </w:t>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1</w:t>
      </w:r>
    </w:p>
    <w:p>
      <w:pPr>
        <w:pStyle w:val="TextBody"/>
        <w:bidi w:val="0"/>
        <w:jc w:val="both"/>
        <w:rPr>
          <w:rFonts w:ascii="Times New Roman" w:hAnsi="Times New Roman"/>
          <w:b/>
          <w:color w:val="000000"/>
          <w:sz w:val="20"/>
          <w:u w:val="single"/>
        </w:rPr>
      </w:pPr>
      <w:r>
        <w:rPr>
          <w:rFonts w:ascii="Times New Roman" w:hAnsi="Times New Roman"/>
          <w:b/>
          <w:color w:val="000000"/>
          <w:sz w:val="20"/>
          <w:u w:val="single"/>
        </w:rPr>
        <w:t>Summary of Significant Accounting Policies, Continued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first six months of each of Fiscal 2027 and Fiscal 2026, our cooperative advertising reimbursements received were not in excess of the costs incurred.</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continue to maintain a valuation allowance against our U.S. net deferred tax assets. Given our recent earnings and anticipated future profitability, management believes it is reasonably possible that sufficient positive evidence may become available within the next twelve months to support the release of a significant portion of the valuation allowance. Any such release would result in a non-cash income tax benefit in the period of release. The exact timing and amount of any release will depend on our actual operating results and management's assessment of all available positive and negative evidence.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Recent Tax Legislation</w:t>
      </w:r>
    </w:p>
    <w:p>
      <w:pPr>
        <w:pStyle w:val="TextBody"/>
        <w:bidi w:val="0"/>
        <w:spacing w:before="200" w:after="160"/>
        <w:jc w:val="both"/>
        <w:rPr>
          <w:rFonts w:ascii="Times New Roman" w:hAnsi="Times New Roman"/>
          <w:sz w:val="20"/>
        </w:rPr>
      </w:pPr>
      <w:r>
        <w:rPr>
          <w:rFonts w:ascii="Times New Roman" w:hAnsi="Times New Roman"/>
          <w:color w:val="000000"/>
          <w:sz w:val="20"/>
        </w:rPr>
        <w:t>On July 4, 2025, H.R. 1, a bill to provide for reconciliation pursuant to title II of H. Con. Res. 14, informally known as the One Big Beautiful Bill Act ("OBBBA"), which includes several measures affecting corporations and other business entities, was signed into law. Among these measures, the OBBBA modifies and permanently extends certain expiring provisions of the 2017 Tax Cuts and Jobs Act (“TCJA”), including the restoration of 100% bonus depreciation, which was scheduled to phase out in 2027 under the TCJA. The OBBBA also permits immediate expensing of research and development expenditures previously capitalized under the TCJA and modifies various components of the international tax framework. The OBBBA has multiple effective dates, with some provisions taking effect in 2025 and others phased in through 2027. In accordance with Accounting Standards Codification (“ASC”) 740, “</w:t>
      </w:r>
      <w:r>
        <w:rPr>
          <w:rFonts w:ascii="Times New Roman" w:hAnsi="Times New Roman"/>
          <w:i/>
          <w:color w:val="000000"/>
          <w:sz w:val="20"/>
        </w:rPr>
        <w:t>Income Taxes,”</w:t>
      </w:r>
      <w:r>
        <w:rPr>
          <w:rFonts w:ascii="Times New Roman" w:hAnsi="Times New Roman"/>
          <w:color w:val="000000"/>
          <w:sz w:val="20"/>
        </w:rPr>
        <w:t xml:space="preserve"> we recognized effects of the OBBBA during the second quarter of Fiscal 2026 for the provisions enacted at that point in time. For the fiscal year ended January 31, 2026, we had a material decrease in both the current tax liability and the effective income tax rate as a result of the enactment of income tax law changes under the OBBBA and their interaction with our valuation allowance in the United States. </w:t>
      </w:r>
    </w:p>
    <w:p>
      <w:pPr>
        <w:pStyle w:val="TextBody"/>
        <w:bidi w:val="0"/>
        <w:spacing w:before="40" w:after="283"/>
        <w:jc w:val="both"/>
        <w:rPr>
          <w:rFonts w:ascii="Times New Roman" w:hAnsi="Times New Roman"/>
          <w:b/>
          <w:i/>
          <w:color w:val="000000"/>
          <w:sz w:val="20"/>
        </w:rPr>
      </w:pPr>
      <w:r>
        <w:rPr>
          <w:rFonts w:ascii="Times New Roman" w:hAnsi="Times New Roman"/>
          <w:b/>
          <w:i/>
          <w:color w:val="000000"/>
          <w:sz w:val="20"/>
        </w:rPr>
        <w:t>New Accounting Pronouncements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We continuously monitor and review all current accounting pronouncements and standards from the Financial Accounting Standards Board of U.S. GAAP for applicability to our operations and financial reporting. As of August 1, 2026, there were no new pronouncements or interpretations, other than those disclosed in our </w:t>
      </w:r>
      <w:r>
        <w:rPr>
          <w:rFonts w:ascii="Times New Roman" w:hAnsi="Times New Roman"/>
          <w:color w:val="212529"/>
          <w:sz w:val="20"/>
        </w:rPr>
        <w:t xml:space="preserve">Annual Report on Form 10-K for the fiscal year ended January 31, 2026, </w:t>
      </w:r>
      <w:r>
        <w:rPr>
          <w:rFonts w:ascii="Times New Roman" w:hAnsi="Times New Roman"/>
          <w:color w:val="000000"/>
          <w:sz w:val="20"/>
        </w:rPr>
        <w:t>that had or were expected to have a significant impact on our financial reporting.</w:t>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2</w:t>
      </w:r>
    </w:p>
    <w:p>
      <w:pPr>
        <w:pStyle w:val="TextBody"/>
        <w:bidi w:val="0"/>
        <w:jc w:val="both"/>
        <w:rPr>
          <w:rFonts w:ascii="Times New Roman" w:hAnsi="Times New Roman"/>
          <w:b/>
          <w:color w:val="000000"/>
          <w:sz w:val="20"/>
          <w:u w:val="single"/>
        </w:rPr>
      </w:pPr>
      <w:r>
        <w:rPr>
          <w:rFonts w:ascii="Times New Roman" w:hAnsi="Times New Roman"/>
          <w:b/>
          <w:color w:val="000000"/>
          <w:sz w:val="20"/>
          <w:u w:val="single"/>
        </w:rPr>
        <w:t>Goodwill and Other Intangible Assets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changes in the carrying amount of goodwill for the Journeys Group segment were as follows:</w:t>
      </w:r>
    </w:p>
    <w:p>
      <w:pPr>
        <w:pStyle w:val="TextBody"/>
        <w:bidi w:val="0"/>
        <w:jc w:val="both"/>
        <w:rPr/>
      </w:pPr>
      <w:r>
        <w:rPr/>
        <w:t> </w:t>
      </w:r>
    </w:p>
    <w:tbl>
      <w:tblPr>
        <w:tblW w:w="4518" w:type="dxa"/>
        <w:jc w:val="left"/>
        <w:tblInd w:w="0" w:type="dxa"/>
        <w:tblLayout w:type="fixed"/>
        <w:tblCellMar>
          <w:top w:w="28" w:type="dxa"/>
          <w:left w:w="28" w:type="dxa"/>
          <w:bottom w:w="28" w:type="dxa"/>
          <w:right w:w="28" w:type="dxa"/>
        </w:tblCellMar>
      </w:tblPr>
      <w:tblGrid>
        <w:gridCol w:w="3436"/>
        <w:gridCol w:w="235"/>
        <w:gridCol w:w="636"/>
        <w:gridCol w:w="211"/>
      </w:tblGrid>
      <w:tr>
        <w:trPr/>
        <w:tc>
          <w:tcPr>
            <w:tcW w:w="343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thousands)</w:t>
            </w:r>
          </w:p>
        </w:tc>
        <w:tc>
          <w:tcPr>
            <w:tcW w:w="87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Total</w:t>
              <w:br/>
              <w:t>Goodwill</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January 31, 2026</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foreign currency exchange rates</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August 1, 2026</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9,186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Other intangibles by major classes were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208"/>
        <w:gridCol w:w="146"/>
        <w:gridCol w:w="211"/>
        <w:gridCol w:w="678"/>
        <w:gridCol w:w="146"/>
        <w:gridCol w:w="146"/>
        <w:gridCol w:w="211"/>
        <w:gridCol w:w="677"/>
        <w:gridCol w:w="146"/>
        <w:gridCol w:w="211"/>
        <w:gridCol w:w="633"/>
        <w:gridCol w:w="166"/>
        <w:gridCol w:w="146"/>
        <w:gridCol w:w="211"/>
        <w:gridCol w:w="632"/>
        <w:gridCol w:w="166"/>
        <w:gridCol w:w="146"/>
        <w:gridCol w:w="212"/>
        <w:gridCol w:w="484"/>
        <w:gridCol w:w="166"/>
        <w:gridCol w:w="146"/>
        <w:gridCol w:w="212"/>
        <w:gridCol w:w="483"/>
        <w:gridCol w:w="166"/>
        <w:gridCol w:w="146"/>
        <w:gridCol w:w="211"/>
        <w:gridCol w:w="678"/>
        <w:gridCol w:w="166"/>
        <w:gridCol w:w="146"/>
        <w:gridCol w:w="211"/>
        <w:gridCol w:w="677"/>
        <w:gridCol w:w="221"/>
      </w:tblGrid>
      <w:tr>
        <w:trPr/>
        <w:tc>
          <w:tcPr>
            <w:tcW w:w="12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120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069"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Trademarks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999"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Customer Lists</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703"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Other</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089"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Total</w:t>
            </w:r>
          </w:p>
        </w:tc>
        <w:tc>
          <w:tcPr>
            <w:tcW w:w="22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1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August 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Jan.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August 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Jan.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August 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Jan.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August 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Jan. 31, 2026</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other intangibles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25,766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32,753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33,225</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(5,358</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Other Intangibles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25,766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27,136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27,867</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4"/>
        </w:rPr>
      </w:pPr>
      <w:r>
        <w:rPr>
          <w:rFonts w:ascii="Times New Roman" w:hAnsi="Times New Roman"/>
          <w:b/>
          <w:color w:val="000000"/>
          <w:sz w:val="24"/>
        </w:rPr>
        <w:t>Genesco Inc. and Subsidiaries</w:t>
      </w:r>
    </w:p>
    <w:p>
      <w:pPr>
        <w:pStyle w:val="TextBody"/>
        <w:bidi w:val="0"/>
        <w:jc w:val="center"/>
        <w:rPr>
          <w:rFonts w:ascii="Times New Roman" w:hAnsi="Times New Roman"/>
          <w:b/>
          <w:color w:val="000000"/>
          <w:sz w:val="24"/>
        </w:rPr>
      </w:pPr>
      <w:r>
        <w:rPr>
          <w:rFonts w:ascii="Times New Roman" w:hAnsi="Times New Roman"/>
          <w:b/>
          <w:color w:val="000000"/>
          <w:sz w:val="24"/>
        </w:rPr>
        <w:t>Notes to Condensed Consolidated Financial Statements (unaudited)</w:t>
      </w:r>
    </w:p>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3</w:t>
      </w:r>
    </w:p>
    <w:p>
      <w:pPr>
        <w:pStyle w:val="TextBody"/>
        <w:bidi w:val="0"/>
        <w:jc w:val="both"/>
        <w:rPr>
          <w:rFonts w:ascii="Times New Roman" w:hAnsi="Times New Roman"/>
          <w:b/>
          <w:color w:val="000000"/>
          <w:sz w:val="20"/>
          <w:u w:val="single"/>
        </w:rPr>
      </w:pPr>
      <w:r>
        <w:rPr>
          <w:rFonts w:ascii="Times New Roman" w:hAnsi="Times New Roman"/>
          <w:b/>
          <w:color w:val="000000"/>
          <w:sz w:val="20"/>
          <w:u w:val="single"/>
        </w:rPr>
        <w:t>Inventories</w:t>
      </w:r>
    </w:p>
    <w:p>
      <w:pPr>
        <w:pStyle w:val="TextBody"/>
        <w:bidi w:val="0"/>
        <w:jc w:val="both"/>
        <w:rPr/>
      </w:pPr>
      <w:r>
        <w:rPr/>
        <w:t> </w:t>
      </w:r>
    </w:p>
    <w:p>
      <w:pPr>
        <w:pStyle w:val="TextBody"/>
        <w:bidi w:val="0"/>
        <w:jc w:val="both"/>
        <w:rPr/>
      </w:pPr>
      <w:r>
        <w:rPr/>
        <w:t> </w:t>
      </w:r>
    </w:p>
    <w:tbl>
      <w:tblPr>
        <w:tblW w:w="5700" w:type="dxa"/>
        <w:jc w:val="left"/>
        <w:tblInd w:w="0" w:type="dxa"/>
        <w:tblLayout w:type="fixed"/>
        <w:tblCellMar>
          <w:top w:w="28" w:type="dxa"/>
          <w:left w:w="28" w:type="dxa"/>
          <w:bottom w:w="28" w:type="dxa"/>
          <w:right w:w="28" w:type="dxa"/>
        </w:tblCellMar>
      </w:tblPr>
      <w:tblGrid>
        <w:gridCol w:w="2221"/>
        <w:gridCol w:w="146"/>
        <w:gridCol w:w="287"/>
        <w:gridCol w:w="1063"/>
        <w:gridCol w:w="146"/>
        <w:gridCol w:w="146"/>
        <w:gridCol w:w="319"/>
        <w:gridCol w:w="1181"/>
        <w:gridCol w:w="1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2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thousands)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35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August 1, 2026</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50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January 31, 2026</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Wholesale 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67,189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Retail merchandise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472,481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364,902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Inventories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539,670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433,878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4</w:t>
      </w:r>
    </w:p>
    <w:p>
      <w:pPr>
        <w:pStyle w:val="TextBody"/>
        <w:bidi w:val="0"/>
        <w:jc w:val="both"/>
        <w:rPr>
          <w:rFonts w:ascii="Times New Roman" w:hAnsi="Times New Roman"/>
          <w:b/>
          <w:color w:val="000000"/>
          <w:sz w:val="20"/>
          <w:u w:val="single"/>
        </w:rPr>
      </w:pPr>
      <w:r>
        <w:rPr>
          <w:rFonts w:ascii="Times New Roman" w:hAnsi="Times New Roman"/>
          <w:b/>
          <w:color w:val="000000"/>
          <w:sz w:val="20"/>
          <w:u w:val="single"/>
        </w:rPr>
        <w:t>Fair Value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Fair Value of Financial Instruments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carrying amounts and fair values of our financial instruments at August 1, 2026 and January 31, 2026 are:</w:t>
      </w:r>
    </w:p>
    <w:p>
      <w:pPr>
        <w:pStyle w:val="TextBody"/>
        <w:bidi w:val="0"/>
        <w:spacing w:before="200" w:after="283"/>
        <w:jc w:val="both"/>
        <w:rPr/>
      </w:pPr>
      <w:r>
        <w:rPr/>
        <w:t> </w:t>
      </w:r>
    </w:p>
    <w:tbl>
      <w:tblPr>
        <w:tblW w:w="7221" w:type="dxa"/>
        <w:jc w:val="left"/>
        <w:tblInd w:w="0" w:type="dxa"/>
        <w:tblLayout w:type="fixed"/>
        <w:tblCellMar>
          <w:top w:w="28" w:type="dxa"/>
          <w:left w:w="28" w:type="dxa"/>
          <w:bottom w:w="28" w:type="dxa"/>
          <w:right w:w="28" w:type="dxa"/>
        </w:tblCellMar>
      </w:tblPr>
      <w:tblGrid>
        <w:gridCol w:w="3196"/>
        <w:gridCol w:w="214"/>
        <w:gridCol w:w="687"/>
        <w:gridCol w:w="146"/>
        <w:gridCol w:w="211"/>
        <w:gridCol w:w="676"/>
        <w:gridCol w:w="146"/>
        <w:gridCol w:w="222"/>
        <w:gridCol w:w="604"/>
        <w:gridCol w:w="146"/>
        <w:gridCol w:w="211"/>
        <w:gridCol w:w="571"/>
        <w:gridCol w:w="191"/>
      </w:tblGrid>
      <w:tr>
        <w:trPr/>
        <w:tc>
          <w:tcPr>
            <w:tcW w:w="319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34"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thousands)</w:t>
            </w:r>
          </w:p>
        </w:tc>
        <w:tc>
          <w:tcPr>
            <w:tcW w:w="193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Fair</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American Revolver Borrowings</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9,059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U.K. Revolver Borrowings</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Debt</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15,798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15,684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Debt fair values were determined using a discounted cash flow analysis based on current market interest rates for similar types of financial instruments and would be classified in Level 2 within the fair value hierarchy.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August 1, 2026, we had $7.1 million of investments held and used which were measured using Level 1 inputs within the fair value hierarchy.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5</w:t>
      </w:r>
    </w:p>
    <w:p>
      <w:pPr>
        <w:pStyle w:val="TextBody"/>
        <w:bidi w:val="0"/>
        <w:jc w:val="both"/>
        <w:rPr>
          <w:rFonts w:ascii="Times New Roman" w:hAnsi="Times New Roman"/>
          <w:b/>
          <w:color w:val="000000"/>
          <w:sz w:val="20"/>
          <w:u w:val="single"/>
        </w:rPr>
      </w:pPr>
      <w:r>
        <w:rPr>
          <w:rFonts w:ascii="Times New Roman" w:hAnsi="Times New Roman"/>
          <w:b/>
          <w:color w:val="000000"/>
          <w:sz w:val="20"/>
          <w:u w:val="single"/>
        </w:rPr>
        <w:t>Long-Term Debt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revolver borrowings outstanding under the Fourth Amended and Restated Credit Agreement dated as of January 31, 2018, as amended January 16, 2026, between us, certain of our subsidiaries, the lenders party thereto and Bank of America, N.A. as agent (the "Credit Facility") as of August 1, 2026 included (i) no U.S. revolver borrowings and (ii) $9.1 million (CAD $12.7 million) revolver borrowings related to GCO Canada ULC. In addition, we had revolver borrowings outstanding by and between Schuh and Lloyds Bank PLC (the "Facility Agreement") of $6.7 million (£5.0 million) as of August 1, 2026. We were in compliance with all the relevant terms and conditions of the Credit Facility and Facility Agreement as of August 1, 2026. Excess availability under the Credit Facility was $316.9 million at August 1, 2026.</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6</w:t>
      </w:r>
    </w:p>
    <w:p>
      <w:pPr>
        <w:pStyle w:val="TextBody"/>
        <w:bidi w:val="0"/>
        <w:jc w:val="both"/>
        <w:rPr>
          <w:rFonts w:ascii="Times New Roman" w:hAnsi="Times New Roman"/>
          <w:b/>
          <w:color w:val="000000"/>
          <w:sz w:val="20"/>
          <w:u w:val="single"/>
        </w:rPr>
      </w:pPr>
      <w:r>
        <w:rPr>
          <w:rFonts w:ascii="Times New Roman" w:hAnsi="Times New Roman"/>
          <w:b/>
          <w:color w:val="000000"/>
          <w:sz w:val="20"/>
          <w:u w:val="single"/>
        </w:rPr>
        <w:t>Earnings Per Share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Weighted-average number of shares used to calculate earnings per share are as follows:</w:t>
      </w:r>
    </w:p>
    <w:p>
      <w:pPr>
        <w:pStyle w:val="TextBody"/>
        <w:bidi w:val="0"/>
        <w:spacing w:before="200" w:after="283"/>
        <w:jc w:val="both"/>
        <w:rPr/>
      </w:pPr>
      <w:r>
        <w:rPr/>
        <w:t> </w:t>
      </w:r>
    </w:p>
    <w:tbl>
      <w:tblPr>
        <w:tblW w:w="10205" w:type="dxa"/>
        <w:jc w:val="left"/>
        <w:tblInd w:w="0" w:type="dxa"/>
        <w:tblLayout w:type="fixed"/>
        <w:tblCellMar>
          <w:top w:w="28" w:type="dxa"/>
          <w:left w:w="28" w:type="dxa"/>
          <w:bottom w:w="28" w:type="dxa"/>
          <w:right w:w="28" w:type="dxa"/>
        </w:tblCellMar>
      </w:tblPr>
      <w:tblGrid>
        <w:gridCol w:w="3670"/>
        <w:gridCol w:w="146"/>
        <w:gridCol w:w="235"/>
        <w:gridCol w:w="1094"/>
        <w:gridCol w:w="146"/>
        <w:gridCol w:w="146"/>
        <w:gridCol w:w="235"/>
        <w:gridCol w:w="1094"/>
        <w:gridCol w:w="146"/>
        <w:gridCol w:w="146"/>
        <w:gridCol w:w="235"/>
        <w:gridCol w:w="1094"/>
        <w:gridCol w:w="146"/>
        <w:gridCol w:w="146"/>
        <w:gridCol w:w="235"/>
        <w:gridCol w:w="1094"/>
        <w:gridCol w:w="197"/>
      </w:tblGrid>
      <w:tr>
        <w:trPr/>
        <w:tc>
          <w:tcPr>
            <w:tcW w:w="36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August 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August 2,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August 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August 2, 2025</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6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shares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10,537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10,394</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equivalents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shares - diluted</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10,394</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4"/>
        </w:rPr>
      </w:pPr>
      <w:r>
        <w:rPr>
          <w:rFonts w:ascii="Times New Roman" w:hAnsi="Times New Roman"/>
          <w:b/>
          <w:color w:val="000000"/>
          <w:sz w:val="24"/>
        </w:rPr>
        <w:t>Genesco Inc. and Subsidiaries</w:t>
      </w:r>
    </w:p>
    <w:p>
      <w:pPr>
        <w:pStyle w:val="TextBody"/>
        <w:bidi w:val="0"/>
        <w:jc w:val="center"/>
        <w:rPr>
          <w:rFonts w:ascii="Times New Roman" w:hAnsi="Times New Roman"/>
          <w:b/>
          <w:color w:val="000000"/>
          <w:sz w:val="24"/>
        </w:rPr>
      </w:pPr>
      <w:r>
        <w:rPr>
          <w:rFonts w:ascii="Times New Roman" w:hAnsi="Times New Roman"/>
          <w:b/>
          <w:color w:val="000000"/>
          <w:sz w:val="24"/>
        </w:rPr>
        <w:t>Notes to Condensed Consolidated Financial Statements (unaudited)</w:t>
      </w:r>
    </w:p>
    <w:p>
      <w:pPr>
        <w:pStyle w:val="TextBody"/>
        <w:bidi w:val="0"/>
        <w:jc w:val="left"/>
        <w:rPr/>
      </w:pPr>
      <w:r>
        <w:rPr/>
        <w:t> </w:t>
      </w:r>
    </w:p>
    <w:p>
      <w:pPr>
        <w:pStyle w:val="TextBody"/>
        <w:bidi w:val="0"/>
        <w:jc w:val="left"/>
        <w:rPr/>
      </w:pPr>
      <w:r>
        <w:rPr/>
        <w:t> </w:t>
      </w:r>
    </w:p>
    <w:p>
      <w:pPr>
        <w:pStyle w:val="TextBody"/>
        <w:bidi w:val="0"/>
        <w:spacing w:before="200" w:after="283"/>
        <w:jc w:val="both"/>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6</w:t>
      </w:r>
    </w:p>
    <w:p>
      <w:pPr>
        <w:pStyle w:val="TextBody"/>
        <w:bidi w:val="0"/>
        <w:jc w:val="both"/>
        <w:rPr>
          <w:rFonts w:ascii="Times New Roman" w:hAnsi="Times New Roman"/>
          <w:b/>
          <w:color w:val="000000"/>
          <w:sz w:val="20"/>
          <w:u w:val="single"/>
        </w:rPr>
      </w:pPr>
      <w:r>
        <w:rPr>
          <w:rFonts w:ascii="Times New Roman" w:hAnsi="Times New Roman"/>
          <w:b/>
          <w:color w:val="000000"/>
          <w:sz w:val="20"/>
          <w:u w:val="single"/>
        </w:rPr>
        <w:t>Earnings Per Share, Continued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Common stock equivalents of 0.1 million shares are excluded for the three months ended August 2, 2025, and 0.3 million shares and 0.2 million shares are excluded for the first six months ended August 1, 2026 and August 2, 2025, respectively, due to the loss from continuing operations in those periods.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did not repurchase any shares of our common stock during the second quarter and first six months of Fiscal 2027. We repurchased 604,531 shares of our common stock during the first six months of Fiscal 2026 at a cost of $12.6 million, or an average cost of $20.79 per share. As of August 1, 2026, we had $29.8 million remaining under our expanded share repurchase authorization announced in June 2023. During the third quarter of Fiscal 2027, through September 9, 2026, we have repurchased 317,503 shares of our common stock at a cost of $11.0 million, or an average cost of $34.65 per share. As of September 9, 2026, we have $18.8 million remaining under our expanded share repurchase authorization.</w:t>
      </w:r>
    </w:p>
    <w:p>
      <w:pPr>
        <w:pStyle w:val="TextBody"/>
        <w:bidi w:val="0"/>
        <w:spacing w:before="200" w:after="283"/>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7</w:t>
      </w:r>
    </w:p>
    <w:p>
      <w:pPr>
        <w:pStyle w:val="TextBody"/>
        <w:bidi w:val="0"/>
        <w:jc w:val="both"/>
        <w:rPr>
          <w:rFonts w:ascii="Times New Roman" w:hAnsi="Times New Roman"/>
          <w:sz w:val="20"/>
        </w:rPr>
      </w:pPr>
      <w:r>
        <w:rPr>
          <w:rFonts w:ascii="Times New Roman" w:hAnsi="Times New Roman"/>
          <w:b/>
          <w:color w:val="000000"/>
          <w:sz w:val="20"/>
          <w:u w:val="single"/>
        </w:rPr>
        <w:t>Legal Proceedings and Other Matters</w:t>
      </w:r>
      <w:r>
        <w:rPr>
          <w:rFonts w:ascii="Times New Roman" w:hAnsi="Times New Roman"/>
          <w:color w:val="000000"/>
          <w:sz w:val="20"/>
        </w:rPr>
        <w:t xml:space="preserve">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Environmental Matters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legacy obligations including environmental monitoring and reporting costs related to: (i) a 2016 Consent Judgment entered into with the United States Environmental Protection Agency involving the site of a knitting mill operated by a former subsidiary from 1965 to 1969 in Garden City, New York; and (ii) a 2010 Consent Decree with the Michigan Department of Natural Resources and Environment relating to our former Volunteer Leather Company facility in Whitehall, Michigan. We do not expect that future obligations related to either of these sites will have a material effect on our consolidated financial condition or results of operations.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Accrual for Environmental Contingencies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Related to all outstanding environmental contingencies, we had accrued $1.9 million as of August 1, 2026, $1.9 million as of January 31, 2026 and $2.0 million as of August 2, 2025. All such provisions reflect our estimates of the most likely cost (undiscounted, including both current and noncurrent portions) of resolving the contingencies, based on facts and circumstances as of the time they were made. There is no assurance that relevant facts and circumstances will not change, necessitating future changes to the provisions. Such contingent liabilities for discontinued operations are included in other accrued liabilities and other long-term liabilities on the accompanying Condensed Consolidated Balance Sheets because they relate to former facilities operated by us. We have made pretax accruals for certain of these contingencies which were not material for the second quarter of Fiscal 2027 or Fiscal 2026. These charges are included in loss from discontinued operations, net of tax in the Condensed Consolidated Statements of Operations and represent changes in estimates.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to the matters specifically described in this Note, we are a party to other legal and regulatory proceedings and claims arising in the ordinary course of our business. While management does not believe that our liability with respect to any of these other matters is likely to have a material effect on our Condensed Consolidated Financial Statements, legal proceedings are subject to inherent uncertainties, and unfavorable rulings could have a material adverse impact on our Condensed Consolidated Financial Statements.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Interchange Fee Settlement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February 2026, we entered into settlement agreements to resolve credit card interchange fee litigation matters in which we were a plaintiff. During the first quarter of Fiscal 2027, as a result of these lump-sum settlements, we received $13.4 million (net of legal fees) related to payment card interchange fee litigation. This gain is reflected in asset impairments and other, net on the Consolidated Statement of Operations in our Condensed Consolidated Financial Statements.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IEEPA Tariff Refunds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February 20, 2026, the U.S. Supreme Court issued a ruling striking down certain tariffs imposed under the International Emergency Economic Powers Act (“IEEPA”). Subsequently, on March 4, 2026, the U.S. Court of International Trade ordered U.S. Customs and Border Protection (“CBP”) to liquidate all non-final entries without regard to IEEPA duties and to refund amounts previously collected, including applicable interest. Additionally, on April 20, 2026, CBP launched Phase 1 of the new Consolidated Administration and Processing of Entries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4"/>
        </w:rPr>
      </w:pPr>
      <w:r>
        <w:rPr>
          <w:rFonts w:ascii="Times New Roman" w:hAnsi="Times New Roman"/>
          <w:b/>
          <w:color w:val="000000"/>
          <w:sz w:val="24"/>
        </w:rPr>
        <w:t>Genesco Inc. and Subsidiaries</w:t>
      </w:r>
    </w:p>
    <w:p>
      <w:pPr>
        <w:pStyle w:val="TextBody"/>
        <w:bidi w:val="0"/>
        <w:jc w:val="center"/>
        <w:rPr>
          <w:rFonts w:ascii="Times New Roman" w:hAnsi="Times New Roman"/>
          <w:b/>
          <w:color w:val="000000"/>
          <w:sz w:val="24"/>
        </w:rPr>
      </w:pPr>
      <w:r>
        <w:rPr>
          <w:rFonts w:ascii="Times New Roman" w:hAnsi="Times New Roman"/>
          <w:b/>
          <w:color w:val="000000"/>
          <w:sz w:val="24"/>
        </w:rPr>
        <w:t>Notes to Condensed Consolidated Financial Statements (unaudited)</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7</w:t>
      </w:r>
    </w:p>
    <w:p>
      <w:pPr>
        <w:pStyle w:val="TextBody"/>
        <w:bidi w:val="0"/>
        <w:jc w:val="both"/>
        <w:rPr>
          <w:rFonts w:ascii="Times New Roman" w:hAnsi="Times New Roman"/>
          <w:b/>
          <w:color w:val="000000"/>
          <w:sz w:val="20"/>
          <w:u w:val="single"/>
        </w:rPr>
      </w:pPr>
      <w:r>
        <w:rPr>
          <w:rFonts w:ascii="Times New Roman" w:hAnsi="Times New Roman"/>
          <w:b/>
          <w:color w:val="000000"/>
          <w:sz w:val="20"/>
          <w:u w:val="single"/>
        </w:rPr>
        <w:t>Legal Proceedings and Other Matters, Continued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tool in the Automated Commercial Environment portal, creating a process for submitting IEEPA refund claims. We successfully submitted our refund claim in the first quarter of Fiscal 2027. During the second quarter of Fiscal 2027, we received tariff refunds related to our branded businesses, excluding interest, of $21.8 million. The accounting for the IEEPA tariff refund reflects the original treatment of the underlying tariff costs. As such, we recognized a reduction in cost of sales in our Condensed Consolidated Statement of Operations in our Condensed Consolidated Financial Statements. In addition, we received $0.7 million of interest income related to the tariff refunds in the second quarter of Fiscal 2027. The interest income was recognized within interest, net in our Condensed Consolidated Statement of Operations in our Condensed Consolidated Financial Statements.</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8</w:t>
      </w:r>
    </w:p>
    <w:p>
      <w:pPr>
        <w:pStyle w:val="TextBody"/>
        <w:bidi w:val="0"/>
        <w:jc w:val="both"/>
        <w:rPr>
          <w:rFonts w:ascii="Times New Roman" w:hAnsi="Times New Roman"/>
          <w:b/>
          <w:color w:val="000000"/>
          <w:sz w:val="20"/>
          <w:u w:val="single"/>
        </w:rPr>
      </w:pPr>
      <w:r>
        <w:rPr>
          <w:rFonts w:ascii="Times New Roman" w:hAnsi="Times New Roman"/>
          <w:b/>
          <w:color w:val="000000"/>
          <w:sz w:val="20"/>
          <w:u w:val="single"/>
        </w:rPr>
        <w:t>Business Segment Information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reportable segments are based on management’s organization of the segments in order to make operating decisions and assess performance along types of products sold. Journeys Group and Schuh Group sell primarily branded products from other companies while Johnston &amp; Murphy Group and Genesco Brands Group sell primarily our owned and licensed brands. Our chief operating decision maker ("CODM") is our President and Chief Executive Officer. The CODM assesses performance of and allocates resources to each business segment based on segment results without allocating corporate expenses. These corporate expenses include corporate overhead, bank fees, interest expense, interest income, goodwill impairment, asset impairment charges and other, including severance, insurance gains, major litigation and major lease terminations. Reconciling items between segment operating income (loss) and earnings (loss) from continuing operations consist of unallocated corporate expenses. The CODM uses segment operating income (loss) as a measure of profit or loss.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39"/>
        <w:gridCol w:w="196"/>
        <w:gridCol w:w="691"/>
        <w:gridCol w:w="166"/>
        <w:gridCol w:w="196"/>
        <w:gridCol w:w="691"/>
        <w:gridCol w:w="166"/>
        <w:gridCol w:w="232"/>
        <w:gridCol w:w="714"/>
        <w:gridCol w:w="146"/>
        <w:gridCol w:w="413"/>
        <w:gridCol w:w="1270"/>
        <w:gridCol w:w="146"/>
        <w:gridCol w:w="248"/>
        <w:gridCol w:w="878"/>
        <w:gridCol w:w="213"/>
      </w:tblGrid>
      <w:tr>
        <w:trPr/>
        <w:tc>
          <w:tcPr>
            <w:tcW w:w="38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Months Ended August 1, 2026</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 thousands)</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Journeys</w:t>
              <w:br/>
              <w:t>Group</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Schuh</w:t>
              <w:br/>
              <w:t>Group</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Johnston</w:t>
              <w:br/>
              <w:t>&amp; Murphy</w:t>
              <w:br/>
              <w:t>Group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Genesco Brands Group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Consolidated</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39"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8"/>
              </w:rPr>
            </w:pPr>
            <w:r>
              <w:rPr>
                <w:rFonts w:ascii="Times New Roman" w:hAnsi="Times New Roman"/>
                <w:b/>
                <w:color w:val="000000"/>
                <w:sz w:val="18"/>
              </w:rPr>
              <w:t>Net sales to external customers</w:t>
            </w:r>
            <w:r>
              <w:rPr>
                <w:rFonts w:ascii="Times New Roman" w:hAnsi="Times New Roman"/>
                <w:b/>
                <w:color w:val="000000"/>
                <w:sz w:val="12"/>
              </w:rPr>
              <w:t>(1)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317,836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113,820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72,541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2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25,661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529,858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39"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8"/>
              </w:rPr>
            </w:pPr>
            <w:r>
              <w:rPr>
                <w:rFonts w:ascii="Times New Roman" w:hAnsi="Times New Roman"/>
                <w:color w:val="000000"/>
                <w:sz w:val="18"/>
              </w:rPr>
              <w:t>Cost of sales</w:t>
            </w:r>
            <w:r>
              <w:rPr>
                <w:rFonts w:ascii="Times New Roman" w:hAnsi="Times New Roman"/>
                <w:color w:val="000000"/>
                <w:sz w:val="12"/>
              </w:rPr>
              <w:t>(2)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164,083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66,082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19,202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8,374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Selling and administrative expenses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154,467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48,108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40,393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8,676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Segment operating income (loss)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12,946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8,611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20,473</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Unallocated selling and administrative expenses</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7,913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39"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left"/>
              <w:rPr>
                <w:rFonts w:ascii="Times New Roman" w:hAnsi="Times New Roman"/>
                <w:sz w:val="18"/>
              </w:rPr>
            </w:pPr>
            <w:r>
              <w:rPr>
                <w:rFonts w:ascii="Times New Roman" w:hAnsi="Times New Roman"/>
                <w:color w:val="000000"/>
                <w:sz w:val="18"/>
              </w:rPr>
              <w:t>Asset impairments and other</w:t>
            </w:r>
            <w:r>
              <w:rPr>
                <w:rFonts w:ascii="Times New Roman" w:hAnsi="Times New Roman"/>
                <w:color w:val="000000"/>
                <w:sz w:val="12"/>
              </w:rPr>
              <w:t>(3)</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8,943</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income</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3,617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components of net periodic benefit cost</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247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39"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8"/>
              </w:rPr>
            </w:pPr>
            <w:r>
              <w:rPr>
                <w:rFonts w:ascii="Times New Roman" w:hAnsi="Times New Roman"/>
                <w:color w:val="000000"/>
                <w:sz w:val="18"/>
              </w:rPr>
              <w:t>Interest, net</w:t>
            </w:r>
            <w:r>
              <w:rPr>
                <w:rFonts w:ascii="Times New Roman" w:hAnsi="Times New Roman"/>
                <w:color w:val="000000"/>
                <w:sz w:val="12"/>
              </w:rPr>
              <w:t>(4)</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8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Earnings from continuing operations before income taxes</w:t>
            </w:r>
          </w:p>
        </w:tc>
        <w:tc>
          <w:tcPr>
            <w:tcW w:w="887" w:type="dxa"/>
            <w:gridSpan w:val="2"/>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pPr>
            <w:r>
              <w:rPr/>
              <w:t> </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pPr>
            <w:r>
              <w:rPr/>
              <w:t> </w:t>
            </w:r>
          </w:p>
        </w:tc>
        <w:tc>
          <w:tcPr>
            <w:tcW w:w="887" w:type="dxa"/>
            <w:gridSpan w:val="2"/>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pPr>
            <w:r>
              <w:rPr/>
              <w:t> </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pPr>
            <w:r>
              <w:rPr/>
              <w:t> </w:t>
            </w:r>
          </w:p>
        </w:tc>
        <w:tc>
          <w:tcPr>
            <w:tcW w:w="946" w:type="dxa"/>
            <w:gridSpan w:val="2"/>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pPr>
            <w:r>
              <w:rPr/>
              <w:t> </w:t>
            </w:r>
          </w:p>
        </w:tc>
        <w:tc>
          <w:tcPr>
            <w:tcW w:w="1683" w:type="dxa"/>
            <w:gridSpan w:val="2"/>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pPr>
            <w:r>
              <w:rPr/>
              <w:t> </w:t>
            </w:r>
          </w:p>
        </w:tc>
        <w:tc>
          <w:tcPr>
            <w:tcW w:w="24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7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3,398</w:t>
            </w:r>
          </w:p>
        </w:tc>
        <w:tc>
          <w:tcPr>
            <w:tcW w:w="21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lineRule="auto" w:line="360"/>
        <w:jc w:val="both"/>
        <w:rPr>
          <w:rFonts w:ascii="Times New Roman" w:hAnsi="Times New Roman"/>
          <w:sz w:val="13"/>
        </w:rPr>
      </w:pPr>
      <w:r>
        <w:rPr>
          <w:rFonts w:ascii="Times New Roman" w:hAnsi="Times New Roman"/>
          <w:color w:val="000000"/>
          <w:sz w:val="13"/>
        </w:rPr>
        <w:t xml:space="preserve">(1) </w:t>
      </w:r>
      <w:r>
        <w:rPr>
          <w:rFonts w:ascii="Times New Roman" w:hAnsi="Times New Roman"/>
          <w:color w:val="000000"/>
          <w:sz w:val="20"/>
        </w:rPr>
        <w:t>Net sales in North America and in the U.K., which includes the ROI, accounted for 79%</w:t>
      </w:r>
      <w:r>
        <w:rPr>
          <w:rFonts w:ascii="Times New Roman" w:hAnsi="Times New Roman"/>
          <w:color w:val="000000"/>
          <w:sz w:val="13"/>
        </w:rPr>
        <w:t xml:space="preserve"> </w:t>
      </w:r>
      <w:r>
        <w:rPr>
          <w:rFonts w:ascii="Times New Roman" w:hAnsi="Times New Roman"/>
          <w:color w:val="000000"/>
          <w:sz w:val="20"/>
        </w:rPr>
        <w:t>and 21%, respectively, of our net sales in the second quarter of Fiscal 2027.</w:t>
      </w:r>
    </w:p>
    <w:p>
      <w:pPr>
        <w:pStyle w:val="TextBody"/>
        <w:bidi w:val="0"/>
        <w:spacing w:lineRule="auto" w:line="360"/>
        <w:jc w:val="both"/>
        <w:rPr>
          <w:rFonts w:ascii="Times New Roman" w:hAnsi="Times New Roman"/>
          <w:sz w:val="13"/>
        </w:rPr>
      </w:pPr>
      <w:r>
        <w:rPr>
          <w:rFonts w:ascii="Times New Roman" w:hAnsi="Times New Roman"/>
          <w:color w:val="000000"/>
          <w:sz w:val="13"/>
        </w:rPr>
        <w:t xml:space="preserve">(2) </w:t>
      </w:r>
      <w:r>
        <w:rPr>
          <w:rFonts w:ascii="Times New Roman" w:hAnsi="Times New Roman"/>
          <w:color w:val="000000"/>
          <w:sz w:val="20"/>
        </w:rPr>
        <w:t>Includes a $13.3</w:t>
      </w:r>
      <w:r>
        <w:rPr>
          <w:rFonts w:ascii="Times New Roman" w:hAnsi="Times New Roman"/>
          <w:color w:val="000000"/>
          <w:sz w:val="13"/>
        </w:rPr>
        <w:t xml:space="preserve"> </w:t>
      </w:r>
      <w:r>
        <w:rPr>
          <w:rFonts w:ascii="Times New Roman" w:hAnsi="Times New Roman"/>
          <w:color w:val="000000"/>
          <w:sz w:val="20"/>
        </w:rPr>
        <w:t>million gain for the refund of tariffs in Johnston &amp; Murphy Group and an $8.5</w:t>
      </w:r>
      <w:r>
        <w:rPr>
          <w:rFonts w:ascii="Times New Roman" w:hAnsi="Times New Roman"/>
          <w:color w:val="000000"/>
          <w:sz w:val="13"/>
        </w:rPr>
        <w:t xml:space="preserve"> </w:t>
      </w:r>
      <w:r>
        <w:rPr>
          <w:rFonts w:ascii="Times New Roman" w:hAnsi="Times New Roman"/>
          <w:color w:val="000000"/>
          <w:sz w:val="20"/>
        </w:rPr>
        <w:t>million gain for the refund of tariffs in the Genesco Brands Group in the second quarter of Fiscal 2027.</w:t>
      </w:r>
    </w:p>
    <w:p>
      <w:pPr>
        <w:pStyle w:val="TextBody"/>
        <w:bidi w:val="0"/>
        <w:spacing w:lineRule="auto" w:line="360"/>
        <w:jc w:val="both"/>
        <w:rPr>
          <w:rFonts w:ascii="Times New Roman" w:hAnsi="Times New Roman"/>
          <w:sz w:val="13"/>
        </w:rPr>
      </w:pPr>
      <w:r>
        <w:rPr>
          <w:rFonts w:ascii="Times New Roman" w:hAnsi="Times New Roman"/>
          <w:color w:val="000000"/>
          <w:sz w:val="13"/>
        </w:rPr>
        <w:t xml:space="preserve">(3) </w:t>
      </w:r>
      <w:r>
        <w:rPr>
          <w:rFonts w:ascii="Times New Roman" w:hAnsi="Times New Roman"/>
          <w:color w:val="000000"/>
          <w:sz w:val="20"/>
        </w:rPr>
        <w:t>Asset impairments and other includes a $6.9</w:t>
      </w:r>
      <w:r>
        <w:rPr>
          <w:rFonts w:ascii="Times New Roman" w:hAnsi="Times New Roman"/>
          <w:color w:val="000000"/>
          <w:sz w:val="13"/>
        </w:rPr>
        <w:t xml:space="preserve"> </w:t>
      </w:r>
      <w:r>
        <w:rPr>
          <w:rFonts w:ascii="Times New Roman" w:hAnsi="Times New Roman"/>
          <w:color w:val="000000"/>
          <w:sz w:val="20"/>
        </w:rPr>
        <w:t>million charge for costs related to proxy contest, a $1.0</w:t>
      </w:r>
      <w:r>
        <w:rPr>
          <w:rFonts w:ascii="Times New Roman" w:hAnsi="Times New Roman"/>
          <w:color w:val="000000"/>
          <w:sz w:val="13"/>
        </w:rPr>
        <w:t xml:space="preserve"> </w:t>
      </w:r>
      <w:r>
        <w:rPr>
          <w:rFonts w:ascii="Times New Roman" w:hAnsi="Times New Roman"/>
          <w:color w:val="000000"/>
          <w:sz w:val="20"/>
        </w:rPr>
        <w:t>million charge for other legal matters, a $0.4</w:t>
      </w:r>
      <w:r>
        <w:rPr>
          <w:rFonts w:ascii="Times New Roman" w:hAnsi="Times New Roman"/>
          <w:color w:val="000000"/>
          <w:sz w:val="13"/>
        </w:rPr>
        <w:t xml:space="preserve"> </w:t>
      </w:r>
      <w:r>
        <w:rPr>
          <w:rFonts w:ascii="Times New Roman" w:hAnsi="Times New Roman"/>
          <w:color w:val="000000"/>
          <w:sz w:val="20"/>
        </w:rPr>
        <w:t>million charge for costs associated with information technology transformation, a $0.5</w:t>
      </w:r>
      <w:r>
        <w:rPr>
          <w:rFonts w:ascii="Times New Roman" w:hAnsi="Times New Roman"/>
          <w:color w:val="000000"/>
          <w:sz w:val="13"/>
        </w:rPr>
        <w:t xml:space="preserve"> </w:t>
      </w:r>
      <w:r>
        <w:rPr>
          <w:rFonts w:ascii="Times New Roman" w:hAnsi="Times New Roman"/>
          <w:color w:val="000000"/>
          <w:sz w:val="20"/>
        </w:rPr>
        <w:t>million charge for severance and other restructuring and $0.1</w:t>
      </w:r>
      <w:r>
        <w:rPr>
          <w:rFonts w:ascii="Times New Roman" w:hAnsi="Times New Roman"/>
          <w:color w:val="000000"/>
          <w:sz w:val="13"/>
        </w:rPr>
        <w:t xml:space="preserve"> </w:t>
      </w:r>
      <w:r>
        <w:rPr>
          <w:rFonts w:ascii="Times New Roman" w:hAnsi="Times New Roman"/>
          <w:color w:val="000000"/>
          <w:sz w:val="20"/>
        </w:rPr>
        <w:t>million for store restructuring in Journeys Group.</w:t>
      </w:r>
    </w:p>
    <w:p>
      <w:pPr>
        <w:pStyle w:val="TextBody"/>
        <w:bidi w:val="0"/>
        <w:spacing w:lineRule="auto" w:line="360"/>
        <w:jc w:val="both"/>
        <w:rPr>
          <w:rFonts w:ascii="Times New Roman" w:hAnsi="Times New Roman"/>
          <w:sz w:val="13"/>
        </w:rPr>
      </w:pPr>
      <w:r>
        <w:rPr>
          <w:rFonts w:ascii="Times New Roman" w:hAnsi="Times New Roman"/>
          <w:color w:val="000000"/>
          <w:sz w:val="13"/>
        </w:rPr>
        <w:t xml:space="preserve">(4) </w:t>
      </w:r>
      <w:r>
        <w:rPr>
          <w:rFonts w:ascii="Times New Roman" w:hAnsi="Times New Roman"/>
          <w:color w:val="000000"/>
          <w:sz w:val="20"/>
        </w:rPr>
        <w:t>Includes $0.7</w:t>
      </w:r>
      <w:r>
        <w:rPr>
          <w:rFonts w:ascii="Times New Roman" w:hAnsi="Times New Roman"/>
          <w:color w:val="000000"/>
          <w:sz w:val="13"/>
        </w:rPr>
        <w:t xml:space="preserve"> </w:t>
      </w:r>
      <w:r>
        <w:rPr>
          <w:rFonts w:ascii="Times New Roman" w:hAnsi="Times New Roman"/>
          <w:color w:val="000000"/>
          <w:sz w:val="20"/>
        </w:rPr>
        <w:t>million of interest income related to tariff refunds in the second quarter of Fiscal 2027.</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4"/>
        </w:rPr>
      </w:pPr>
      <w:r>
        <w:rPr>
          <w:rFonts w:ascii="Times New Roman" w:hAnsi="Times New Roman"/>
          <w:b/>
          <w:color w:val="000000"/>
          <w:sz w:val="24"/>
        </w:rPr>
        <w:t>Genesco Inc. and Subsidiaries</w:t>
      </w:r>
    </w:p>
    <w:p>
      <w:pPr>
        <w:pStyle w:val="TextBody"/>
        <w:bidi w:val="0"/>
        <w:jc w:val="center"/>
        <w:rPr>
          <w:rFonts w:ascii="Times New Roman" w:hAnsi="Times New Roman"/>
          <w:b/>
          <w:color w:val="000000"/>
          <w:sz w:val="24"/>
        </w:rPr>
      </w:pPr>
      <w:r>
        <w:rPr>
          <w:rFonts w:ascii="Times New Roman" w:hAnsi="Times New Roman"/>
          <w:b/>
          <w:color w:val="000000"/>
          <w:sz w:val="24"/>
        </w:rPr>
        <w:t>Notes to Condensed Consolidated Financial Statements (unaudited)</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8</w:t>
      </w:r>
    </w:p>
    <w:p>
      <w:pPr>
        <w:pStyle w:val="TextBody"/>
        <w:bidi w:val="0"/>
        <w:jc w:val="both"/>
        <w:rPr>
          <w:rFonts w:ascii="Times New Roman" w:hAnsi="Times New Roman"/>
          <w:b/>
          <w:color w:val="000000"/>
          <w:sz w:val="20"/>
          <w:u w:val="single"/>
        </w:rPr>
      </w:pPr>
      <w:r>
        <w:rPr>
          <w:rFonts w:ascii="Times New Roman" w:hAnsi="Times New Roman"/>
          <w:b/>
          <w:color w:val="000000"/>
          <w:sz w:val="20"/>
          <w:u w:val="single"/>
        </w:rPr>
        <w:t>Business Segment Information, Continued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789"/>
        <w:gridCol w:w="196"/>
        <w:gridCol w:w="691"/>
        <w:gridCol w:w="146"/>
        <w:gridCol w:w="196"/>
        <w:gridCol w:w="691"/>
        <w:gridCol w:w="146"/>
        <w:gridCol w:w="209"/>
        <w:gridCol w:w="737"/>
        <w:gridCol w:w="146"/>
        <w:gridCol w:w="292"/>
        <w:gridCol w:w="898"/>
        <w:gridCol w:w="146"/>
        <w:gridCol w:w="270"/>
        <w:gridCol w:w="1140"/>
        <w:gridCol w:w="146"/>
        <w:gridCol w:w="199"/>
        <w:gridCol w:w="702"/>
        <w:gridCol w:w="146"/>
        <w:gridCol w:w="215"/>
        <w:gridCol w:w="911"/>
        <w:gridCol w:w="193"/>
      </w:tblGrid>
      <w:tr>
        <w:trPr/>
        <w:tc>
          <w:tcPr>
            <w:tcW w:w="17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Months Ended August 1, 2026</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 thousands)</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Journeys</w:t>
              <w:br/>
              <w:t>Group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Schuh</w:t>
              <w:br/>
              <w:t>Group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Johnston</w:t>
              <w:br/>
              <w:t>&amp; Murphy</w:t>
              <w:br/>
              <w:t>Group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Genesco Brands Group</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Reportable Segment Total</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Corporate</w:t>
              <w:br/>
              <w:t>&amp; Other</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Consolidated</w:t>
            </w:r>
          </w:p>
        </w:tc>
        <w:tc>
          <w:tcPr>
            <w:tcW w:w="193"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1789"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8"/>
              </w:rPr>
            </w:pPr>
            <w:r>
              <w:rPr>
                <w:rFonts w:ascii="Times New Roman" w:hAnsi="Times New Roman"/>
                <w:color w:val="000000"/>
                <w:sz w:val="18"/>
              </w:rPr>
              <w:t>Total assets at quarter end</w:t>
            </w:r>
            <w:r>
              <w:rPr>
                <w:rFonts w:ascii="Times New Roman" w:hAnsi="Times New Roman"/>
                <w:color w:val="000000"/>
                <w:sz w:val="12"/>
              </w:rPr>
              <w:t>(1)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855,148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219,213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211,390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52,127</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1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1,337,878</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166,355</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1,504,233</w:t>
            </w:r>
          </w:p>
        </w:tc>
        <w:tc>
          <w:tcPr>
            <w:tcW w:w="193"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and amortization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7,836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345</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12,250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933</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13,183</w:t>
            </w:r>
          </w:p>
        </w:tc>
        <w:tc>
          <w:tcPr>
            <w:tcW w:w="193"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17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Capital expenditures</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10,799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2,636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2,819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w:t>
            </w:r>
          </w:p>
        </w:tc>
        <w:tc>
          <w:tcPr>
            <w:tcW w:w="146" w:type="dxa"/>
            <w:tcBorders>
              <w:bottom w:val="double" w:sz="6"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16,271</w:t>
            </w:r>
          </w:p>
        </w:tc>
        <w:tc>
          <w:tcPr>
            <w:tcW w:w="146" w:type="dxa"/>
            <w:tcBorders>
              <w:bottom w:val="double" w:sz="6"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56</w:t>
            </w:r>
          </w:p>
        </w:tc>
        <w:tc>
          <w:tcPr>
            <w:tcW w:w="146" w:type="dxa"/>
            <w:tcBorders>
              <w:bottom w:val="double" w:sz="6" w:space="0" w:color="000000"/>
              <w:right w:val="single" w:sz="18" w:space="0" w:color="000000"/>
            </w:tcBorders>
            <w:shd w:fill="CFF0FC" w:val="clear"/>
            <w:tcMar>
              <w:top w:w="0" w:type="dxa"/>
              <w:lef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16,327</w:t>
            </w:r>
          </w:p>
        </w:tc>
        <w:tc>
          <w:tcPr>
            <w:tcW w:w="193" w:type="dxa"/>
            <w:tcBorders>
              <w:bottom w:val="double" w:sz="6" w:space="0" w:color="000000"/>
              <w:right w:val="single" w:sz="18" w:space="0" w:color="000000"/>
            </w:tcBorders>
            <w:shd w:fill="CFF0FC" w:val="clear"/>
            <w:tcMar>
              <w:top w:w="0" w:type="dxa"/>
              <w:lef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lineRule="auto" w:line="360"/>
        <w:jc w:val="both"/>
        <w:rPr>
          <w:rFonts w:ascii="Times New Roman" w:hAnsi="Times New Roman"/>
          <w:sz w:val="13"/>
        </w:rPr>
      </w:pPr>
      <w:r>
        <w:rPr>
          <w:rFonts w:ascii="Times New Roman" w:hAnsi="Times New Roman"/>
          <w:color w:val="000000"/>
          <w:sz w:val="13"/>
        </w:rPr>
        <w:t xml:space="preserve">(1) </w:t>
      </w:r>
      <w:r>
        <w:rPr>
          <w:rFonts w:ascii="Times New Roman" w:hAnsi="Times New Roman"/>
          <w:color w:val="000000"/>
          <w:sz w:val="20"/>
        </w:rPr>
        <w:t>Of our $766.1</w:t>
      </w:r>
      <w:r>
        <w:rPr>
          <w:rFonts w:ascii="Times New Roman" w:hAnsi="Times New Roman"/>
          <w:color w:val="000000"/>
          <w:sz w:val="13"/>
        </w:rPr>
        <w:t xml:space="preserve"> </w:t>
      </w:r>
      <w:r>
        <w:rPr>
          <w:rFonts w:ascii="Times New Roman" w:hAnsi="Times New Roman"/>
          <w:color w:val="000000"/>
          <w:sz w:val="20"/>
        </w:rPr>
        <w:t>million of long-lived assets as of August 1, 2026, $91.5</w:t>
      </w:r>
      <w:r>
        <w:rPr>
          <w:rFonts w:ascii="Times New Roman" w:hAnsi="Times New Roman"/>
          <w:color w:val="000000"/>
          <w:sz w:val="13"/>
        </w:rPr>
        <w:t xml:space="preserve"> </w:t>
      </w:r>
      <w:r>
        <w:rPr>
          <w:rFonts w:ascii="Times New Roman" w:hAnsi="Times New Roman"/>
          <w:color w:val="000000"/>
          <w:sz w:val="20"/>
        </w:rPr>
        <w:t>million and $19.0</w:t>
      </w:r>
      <w:r>
        <w:rPr>
          <w:rFonts w:ascii="Times New Roman" w:hAnsi="Times New Roman"/>
          <w:color w:val="000000"/>
          <w:sz w:val="13"/>
        </w:rPr>
        <w:t xml:space="preserve"> </w:t>
      </w:r>
      <w:r>
        <w:rPr>
          <w:rFonts w:ascii="Times New Roman" w:hAnsi="Times New Roman"/>
          <w:color w:val="000000"/>
          <w:sz w:val="20"/>
        </w:rPr>
        <w:t>million relate to long-lived assets in the U.K. and Canada, respectively.</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51"/>
        <w:gridCol w:w="196"/>
        <w:gridCol w:w="691"/>
        <w:gridCol w:w="166"/>
        <w:gridCol w:w="196"/>
        <w:gridCol w:w="691"/>
        <w:gridCol w:w="166"/>
        <w:gridCol w:w="232"/>
        <w:gridCol w:w="714"/>
        <w:gridCol w:w="166"/>
        <w:gridCol w:w="430"/>
        <w:gridCol w:w="1322"/>
        <w:gridCol w:w="146"/>
        <w:gridCol w:w="248"/>
        <w:gridCol w:w="878"/>
        <w:gridCol w:w="212"/>
      </w:tblGrid>
      <w:tr>
        <w:trPr/>
        <w:tc>
          <w:tcPr>
            <w:tcW w:w="37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Months Ended August 2, 2025</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 thousands)</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Journeys</w:t>
              <w:br/>
              <w:t>Group</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Schuh</w:t>
              <w:br/>
              <w:t>Group</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Johnston</w:t>
              <w:br/>
              <w:t>&amp; Murphy</w:t>
              <w:br/>
              <w:t>Group</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Genesco Brands Group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Consolidated</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8"/>
              </w:rPr>
            </w:pPr>
            <w:r>
              <w:rPr>
                <w:rFonts w:ascii="Times New Roman" w:hAnsi="Times New Roman"/>
                <w:b/>
                <w:color w:val="000000"/>
                <w:sz w:val="18"/>
              </w:rPr>
              <w:t>Net sales to external customers</w:t>
            </w:r>
            <w:r>
              <w:rPr>
                <w:rFonts w:ascii="Times New Roman" w:hAnsi="Times New Roman"/>
                <w:b/>
                <w:color w:val="000000"/>
                <w:sz w:val="12"/>
              </w:rPr>
              <w:t>(1)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318,189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126,595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68,789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545,965</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sales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162,761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77,412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Selling and administrative expenses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160,427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49,194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Segment operating income (loss)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(6,139</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Unallocated selling and administrative expenses</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8,177</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left"/>
              <w:rPr>
                <w:rFonts w:ascii="Times New Roman" w:hAnsi="Times New Roman"/>
                <w:sz w:val="18"/>
              </w:rPr>
            </w:pPr>
            <w:r>
              <w:rPr>
                <w:rFonts w:ascii="Times New Roman" w:hAnsi="Times New Roman"/>
                <w:color w:val="000000"/>
                <w:sz w:val="18"/>
              </w:rPr>
              <w:t>Asset impairments and other</w:t>
            </w:r>
            <w:r>
              <w:rPr>
                <w:rFonts w:ascii="Times New Roman" w:hAnsi="Times New Roman"/>
                <w:color w:val="000000"/>
                <w:sz w:val="12"/>
              </w:rPr>
              <w:t>(2)</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loss</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(14,440</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components of net periodic benefit cost</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net</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1,459</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Loss from continuing operations before income taxes</w:t>
            </w:r>
          </w:p>
        </w:tc>
        <w:tc>
          <w:tcPr>
            <w:tcW w:w="887" w:type="dxa"/>
            <w:gridSpan w:val="2"/>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pPr>
            <w:r>
              <w:rPr/>
              <w:t> </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pPr>
            <w:r>
              <w:rPr/>
              <w:t> </w:t>
            </w:r>
          </w:p>
        </w:tc>
        <w:tc>
          <w:tcPr>
            <w:tcW w:w="887" w:type="dxa"/>
            <w:gridSpan w:val="2"/>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pPr>
            <w:r>
              <w:rPr/>
              <w:t> </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pPr>
            <w:r>
              <w:rPr/>
              <w:t> </w:t>
            </w:r>
          </w:p>
        </w:tc>
        <w:tc>
          <w:tcPr>
            <w:tcW w:w="946" w:type="dxa"/>
            <w:gridSpan w:val="2"/>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pPr>
            <w:r>
              <w:rPr/>
              <w:t> </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pPr>
            <w:r>
              <w:rPr/>
              <w:t> </w:t>
            </w:r>
          </w:p>
        </w:tc>
        <w:tc>
          <w:tcPr>
            <w:tcW w:w="1752" w:type="dxa"/>
            <w:gridSpan w:val="2"/>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pPr>
            <w:r>
              <w:rPr/>
              <w:t> </w:t>
            </w:r>
          </w:p>
        </w:tc>
        <w:tc>
          <w:tcPr>
            <w:tcW w:w="24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(16,047</w:t>
            </w:r>
          </w:p>
        </w:tc>
        <w:tc>
          <w:tcPr>
            <w:tcW w:w="21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both"/>
        <w:rPr/>
      </w:pPr>
      <w:r>
        <w:rPr/>
        <w:t> </w:t>
      </w:r>
    </w:p>
    <w:p>
      <w:pPr>
        <w:pStyle w:val="TextBody"/>
        <w:bidi w:val="0"/>
        <w:spacing w:lineRule="auto" w:line="360"/>
        <w:jc w:val="both"/>
        <w:rPr>
          <w:rFonts w:ascii="Times New Roman" w:hAnsi="Times New Roman"/>
          <w:sz w:val="13"/>
        </w:rPr>
      </w:pPr>
      <w:r>
        <w:rPr>
          <w:rFonts w:ascii="Times New Roman" w:hAnsi="Times New Roman"/>
          <w:color w:val="000000"/>
          <w:sz w:val="13"/>
        </w:rPr>
        <w:t xml:space="preserve">(1) </w:t>
      </w:r>
      <w:r>
        <w:rPr>
          <w:rFonts w:ascii="Times New Roman" w:hAnsi="Times New Roman"/>
          <w:color w:val="000000"/>
          <w:sz w:val="20"/>
        </w:rPr>
        <w:t>Net sales in North America and in the U.K., which includes the ROI, accounted for 77%</w:t>
      </w:r>
      <w:r>
        <w:rPr>
          <w:rFonts w:ascii="Times New Roman" w:hAnsi="Times New Roman"/>
          <w:color w:val="000000"/>
          <w:sz w:val="13"/>
        </w:rPr>
        <w:t xml:space="preserve"> </w:t>
      </w:r>
      <w:r>
        <w:rPr>
          <w:rFonts w:ascii="Times New Roman" w:hAnsi="Times New Roman"/>
          <w:color w:val="000000"/>
          <w:sz w:val="20"/>
        </w:rPr>
        <w:t>and 23%, respectively, of our net sales for the second quarter of Fiscal 2026.</w:t>
      </w:r>
    </w:p>
    <w:p>
      <w:pPr>
        <w:pStyle w:val="TextBody"/>
        <w:bidi w:val="0"/>
        <w:spacing w:lineRule="auto" w:line="360"/>
        <w:jc w:val="both"/>
        <w:rPr>
          <w:rFonts w:ascii="Times New Roman" w:hAnsi="Times New Roman"/>
          <w:sz w:val="13"/>
        </w:rPr>
      </w:pPr>
      <w:r>
        <w:rPr>
          <w:rFonts w:ascii="Times New Roman" w:hAnsi="Times New Roman"/>
          <w:color w:val="000000"/>
          <w:sz w:val="13"/>
        </w:rPr>
        <w:t xml:space="preserve">(2) </w:t>
      </w:r>
      <w:r>
        <w:rPr>
          <w:rFonts w:ascii="Times New Roman" w:hAnsi="Times New Roman"/>
          <w:color w:val="000000"/>
          <w:sz w:val="20"/>
        </w:rPr>
        <w:t>Asset impairments and other includes a $0.1</w:t>
      </w:r>
      <w:r>
        <w:rPr>
          <w:rFonts w:ascii="Times New Roman" w:hAnsi="Times New Roman"/>
          <w:color w:val="000000"/>
          <w:sz w:val="13"/>
        </w:rPr>
        <w:t xml:space="preserve"> </w:t>
      </w:r>
      <w:r>
        <w:rPr>
          <w:rFonts w:ascii="Times New Roman" w:hAnsi="Times New Roman"/>
          <w:color w:val="000000"/>
          <w:sz w:val="20"/>
        </w:rPr>
        <w:t>million charge for severance.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789"/>
        <w:gridCol w:w="196"/>
        <w:gridCol w:w="691"/>
        <w:gridCol w:w="146"/>
        <w:gridCol w:w="196"/>
        <w:gridCol w:w="691"/>
        <w:gridCol w:w="146"/>
        <w:gridCol w:w="209"/>
        <w:gridCol w:w="737"/>
        <w:gridCol w:w="146"/>
        <w:gridCol w:w="292"/>
        <w:gridCol w:w="898"/>
        <w:gridCol w:w="146"/>
        <w:gridCol w:w="270"/>
        <w:gridCol w:w="1140"/>
        <w:gridCol w:w="146"/>
        <w:gridCol w:w="199"/>
        <w:gridCol w:w="702"/>
        <w:gridCol w:w="146"/>
        <w:gridCol w:w="215"/>
        <w:gridCol w:w="911"/>
        <w:gridCol w:w="193"/>
      </w:tblGrid>
      <w:tr>
        <w:trPr/>
        <w:tc>
          <w:tcPr>
            <w:tcW w:w="17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Months Ended August 2, 2025</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 thousands)</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Journeys</w:t>
              <w:br/>
              <w:t>Group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Schuh</w:t>
              <w:br/>
              <w:t>Group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Johnston</w:t>
              <w:br/>
              <w:t>&amp; Murphy</w:t>
              <w:br/>
              <w:t>Group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Genesco Brands Group</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Reportable Segment Total</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Corporate</w:t>
              <w:br/>
              <w:t>&amp; Other</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Consolidated</w:t>
            </w:r>
          </w:p>
        </w:tc>
        <w:tc>
          <w:tcPr>
            <w:tcW w:w="193"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1789"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8"/>
              </w:rPr>
            </w:pPr>
            <w:r>
              <w:rPr>
                <w:rFonts w:ascii="Times New Roman" w:hAnsi="Times New Roman"/>
                <w:color w:val="000000"/>
                <w:sz w:val="18"/>
              </w:rPr>
              <w:t>Total assets at quarter end</w:t>
            </w:r>
            <w:r>
              <w:rPr>
                <w:rFonts w:ascii="Times New Roman" w:hAnsi="Times New Roman"/>
                <w:color w:val="000000"/>
                <w:sz w:val="12"/>
              </w:rPr>
              <w:t>(1)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766,666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220,416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196,781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69,603</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1,253,466</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168,459</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1,421,925</w:t>
            </w:r>
          </w:p>
        </w:tc>
        <w:tc>
          <w:tcPr>
            <w:tcW w:w="193"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and amortization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12,501</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973</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13,474</w:t>
            </w:r>
          </w:p>
        </w:tc>
        <w:tc>
          <w:tcPr>
            <w:tcW w:w="193"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17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Capital expenditures</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w:t>
            </w:r>
          </w:p>
        </w:tc>
        <w:tc>
          <w:tcPr>
            <w:tcW w:w="146" w:type="dxa"/>
            <w:tcBorders>
              <w:bottom w:val="double" w:sz="6"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14,473</w:t>
            </w:r>
          </w:p>
        </w:tc>
        <w:tc>
          <w:tcPr>
            <w:tcW w:w="146" w:type="dxa"/>
            <w:tcBorders>
              <w:bottom w:val="double" w:sz="6"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w:t>
            </w:r>
          </w:p>
        </w:tc>
        <w:tc>
          <w:tcPr>
            <w:tcW w:w="146" w:type="dxa"/>
            <w:tcBorders>
              <w:bottom w:val="double" w:sz="6" w:space="0" w:color="000000"/>
              <w:right w:val="single" w:sz="18" w:space="0" w:color="000000"/>
            </w:tcBorders>
            <w:shd w:fill="CFF0FC" w:val="clear"/>
            <w:tcMar>
              <w:top w:w="0" w:type="dxa"/>
              <w:lef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14,682</w:t>
            </w:r>
          </w:p>
        </w:tc>
        <w:tc>
          <w:tcPr>
            <w:tcW w:w="193" w:type="dxa"/>
            <w:tcBorders>
              <w:bottom w:val="double" w:sz="6" w:space="0" w:color="000000"/>
              <w:right w:val="single" w:sz="18" w:space="0" w:color="000000"/>
            </w:tcBorders>
            <w:shd w:fill="CFF0FC" w:val="clear"/>
            <w:tcMar>
              <w:top w:w="0" w:type="dxa"/>
              <w:lef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lineRule="auto" w:line="360"/>
        <w:jc w:val="both"/>
        <w:rPr>
          <w:rFonts w:ascii="Times New Roman" w:hAnsi="Times New Roman"/>
          <w:sz w:val="13"/>
        </w:rPr>
      </w:pPr>
      <w:r>
        <w:rPr>
          <w:rFonts w:ascii="Times New Roman" w:hAnsi="Times New Roman"/>
          <w:color w:val="000000"/>
          <w:sz w:val="13"/>
        </w:rPr>
        <w:t xml:space="preserve">(1) </w:t>
      </w:r>
      <w:r>
        <w:rPr>
          <w:rFonts w:ascii="Times New Roman" w:hAnsi="Times New Roman"/>
          <w:color w:val="000000"/>
          <w:sz w:val="20"/>
        </w:rPr>
        <w:t>Of our $713.8</w:t>
      </w:r>
      <w:r>
        <w:rPr>
          <w:rFonts w:ascii="Times New Roman" w:hAnsi="Times New Roman"/>
          <w:color w:val="000000"/>
          <w:sz w:val="13"/>
        </w:rPr>
        <w:t xml:space="preserve"> </w:t>
      </w:r>
      <w:r>
        <w:rPr>
          <w:rFonts w:ascii="Times New Roman" w:hAnsi="Times New Roman"/>
          <w:color w:val="000000"/>
          <w:sz w:val="20"/>
        </w:rPr>
        <w:t>million of long-lived assets as of August 2, 2025, $95.3</w:t>
      </w:r>
      <w:r>
        <w:rPr>
          <w:rFonts w:ascii="Times New Roman" w:hAnsi="Times New Roman"/>
          <w:color w:val="000000"/>
          <w:sz w:val="13"/>
        </w:rPr>
        <w:t xml:space="preserve"> </w:t>
      </w:r>
      <w:r>
        <w:rPr>
          <w:rFonts w:ascii="Times New Roman" w:hAnsi="Times New Roman"/>
          <w:color w:val="000000"/>
          <w:sz w:val="20"/>
        </w:rPr>
        <w:t>million and $16.1</w:t>
      </w:r>
      <w:r>
        <w:rPr>
          <w:rFonts w:ascii="Times New Roman" w:hAnsi="Times New Roman"/>
          <w:color w:val="000000"/>
          <w:sz w:val="13"/>
        </w:rPr>
        <w:t xml:space="preserve"> </w:t>
      </w:r>
      <w:r>
        <w:rPr>
          <w:rFonts w:ascii="Times New Roman" w:hAnsi="Times New Roman"/>
          <w:color w:val="000000"/>
          <w:sz w:val="20"/>
        </w:rPr>
        <w:t>million relate to long-lived assets in the U.K. and Canada, respectively.</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4"/>
        </w:rPr>
      </w:pPr>
      <w:r>
        <w:rPr>
          <w:rFonts w:ascii="Times New Roman" w:hAnsi="Times New Roman"/>
          <w:b/>
          <w:color w:val="000000"/>
          <w:sz w:val="24"/>
        </w:rPr>
        <w:t>Genesco Inc. and Subsidiaries</w:t>
      </w:r>
    </w:p>
    <w:p>
      <w:pPr>
        <w:pStyle w:val="TextBody"/>
        <w:bidi w:val="0"/>
        <w:jc w:val="center"/>
        <w:rPr>
          <w:rFonts w:ascii="Times New Roman" w:hAnsi="Times New Roman"/>
          <w:b/>
          <w:color w:val="000000"/>
          <w:sz w:val="24"/>
        </w:rPr>
      </w:pPr>
      <w:r>
        <w:rPr>
          <w:rFonts w:ascii="Times New Roman" w:hAnsi="Times New Roman"/>
          <w:b/>
          <w:color w:val="000000"/>
          <w:sz w:val="24"/>
        </w:rPr>
        <w:t>Notes to Condensed Consolidated Financial Statements (unaudited)</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8</w:t>
      </w:r>
    </w:p>
    <w:p>
      <w:pPr>
        <w:pStyle w:val="TextBody"/>
        <w:bidi w:val="0"/>
        <w:jc w:val="both"/>
        <w:rPr>
          <w:rFonts w:ascii="Times New Roman" w:hAnsi="Times New Roman"/>
          <w:b/>
          <w:color w:val="000000"/>
          <w:sz w:val="20"/>
          <w:u w:val="single"/>
        </w:rPr>
      </w:pPr>
      <w:r>
        <w:rPr>
          <w:rFonts w:ascii="Times New Roman" w:hAnsi="Times New Roman"/>
          <w:b/>
          <w:color w:val="000000"/>
          <w:sz w:val="20"/>
          <w:u w:val="single"/>
        </w:rPr>
        <w:t>Business Segment Information, Continued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65"/>
        <w:gridCol w:w="196"/>
        <w:gridCol w:w="691"/>
        <w:gridCol w:w="166"/>
        <w:gridCol w:w="196"/>
        <w:gridCol w:w="691"/>
        <w:gridCol w:w="166"/>
        <w:gridCol w:w="209"/>
        <w:gridCol w:w="737"/>
        <w:gridCol w:w="146"/>
        <w:gridCol w:w="431"/>
        <w:gridCol w:w="1326"/>
        <w:gridCol w:w="146"/>
        <w:gridCol w:w="215"/>
        <w:gridCol w:w="911"/>
        <w:gridCol w:w="213"/>
      </w:tblGrid>
      <w:tr>
        <w:trPr/>
        <w:tc>
          <w:tcPr>
            <w:tcW w:w="37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Six Months Ended August 1, 2026</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 thousands)</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Journeys</w:t>
              <w:br/>
              <w:t>Group</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Schuh</w:t>
              <w:br/>
              <w:t>Group</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Johnston</w:t>
              <w:br/>
              <w:t>&amp; Murphy</w:t>
              <w:br/>
              <w:t>Group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Genesco Brands Group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Consolidated</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5"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8"/>
              </w:rPr>
            </w:pPr>
            <w:r>
              <w:rPr>
                <w:rFonts w:ascii="Times New Roman" w:hAnsi="Times New Roman"/>
                <w:b/>
                <w:color w:val="000000"/>
                <w:sz w:val="18"/>
              </w:rPr>
              <w:t>Net sales to external customers</w:t>
            </w:r>
            <w:r>
              <w:rPr>
                <w:rFonts w:ascii="Times New Roman" w:hAnsi="Times New Roman"/>
                <w:b/>
                <w:color w:val="000000"/>
                <w:sz w:val="12"/>
              </w:rPr>
              <w:t>(1)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603,159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204,522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153,851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3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55,351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1,016,883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5"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8"/>
              </w:rPr>
            </w:pPr>
            <w:r>
              <w:rPr>
                <w:rFonts w:ascii="Times New Roman" w:hAnsi="Times New Roman"/>
                <w:color w:val="000000"/>
                <w:sz w:val="18"/>
              </w:rPr>
              <w:t>Cost of sales</w:t>
            </w:r>
            <w:r>
              <w:rPr>
                <w:rFonts w:ascii="Times New Roman" w:hAnsi="Times New Roman"/>
                <w:color w:val="000000"/>
                <w:sz w:val="12"/>
              </w:rPr>
              <w:t>(2)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311,134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119,574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56,324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28,815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Selling and administrative expenses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304,294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92,305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83,074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16,763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Segment operating income (loss)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(12,269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(7,357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14,453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9,773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4,600</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Unallocated selling and administrative expenses</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17,524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5"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left"/>
              <w:rPr>
                <w:rFonts w:ascii="Times New Roman" w:hAnsi="Times New Roman"/>
                <w:sz w:val="18"/>
              </w:rPr>
            </w:pPr>
            <w:r>
              <w:rPr>
                <w:rFonts w:ascii="Times New Roman" w:hAnsi="Times New Roman"/>
                <w:color w:val="000000"/>
                <w:sz w:val="18"/>
              </w:rPr>
              <w:t>Asset impairments and other</w:t>
            </w:r>
            <w:r>
              <w:rPr>
                <w:rFonts w:ascii="Times New Roman" w:hAnsi="Times New Roman"/>
                <w:color w:val="000000"/>
                <w:sz w:val="12"/>
              </w:rPr>
              <w:t>(3)</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(1,164</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7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loss</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(11,760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components of net periodic benefit cost</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484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5"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8"/>
              </w:rPr>
            </w:pPr>
            <w:r>
              <w:rPr>
                <w:rFonts w:ascii="Times New Roman" w:hAnsi="Times New Roman"/>
                <w:color w:val="000000"/>
                <w:sz w:val="18"/>
              </w:rPr>
              <w:t>Interest, net</w:t>
            </w:r>
            <w:r>
              <w:rPr>
                <w:rFonts w:ascii="Times New Roman" w:hAnsi="Times New Roman"/>
                <w:color w:val="000000"/>
                <w:sz w:val="12"/>
              </w:rPr>
              <w:t>(4)</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Loss from continuing operations before income taxes</w:t>
            </w:r>
          </w:p>
        </w:tc>
        <w:tc>
          <w:tcPr>
            <w:tcW w:w="887" w:type="dxa"/>
            <w:gridSpan w:val="2"/>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pPr>
            <w:r>
              <w:rPr/>
              <w:t> </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pPr>
            <w:r>
              <w:rPr/>
              <w:t> </w:t>
            </w:r>
          </w:p>
        </w:tc>
        <w:tc>
          <w:tcPr>
            <w:tcW w:w="887" w:type="dxa"/>
            <w:gridSpan w:val="2"/>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pPr>
            <w:r>
              <w:rPr/>
              <w:t> </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pPr>
            <w:r>
              <w:rPr/>
              <w:t> </w:t>
            </w:r>
          </w:p>
        </w:tc>
        <w:tc>
          <w:tcPr>
            <w:tcW w:w="946" w:type="dxa"/>
            <w:gridSpan w:val="2"/>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pPr>
            <w:r>
              <w:rPr/>
              <w:t> </w:t>
            </w:r>
          </w:p>
        </w:tc>
        <w:tc>
          <w:tcPr>
            <w:tcW w:w="1757" w:type="dxa"/>
            <w:gridSpan w:val="2"/>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pPr>
            <w:r>
              <w:rPr/>
              <w:t> </w:t>
            </w:r>
          </w:p>
        </w:tc>
        <w:tc>
          <w:tcPr>
            <w:tcW w:w="21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(12,481</w:t>
            </w:r>
          </w:p>
        </w:tc>
        <w:tc>
          <w:tcPr>
            <w:tcW w:w="21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bl>
    <w:p>
      <w:pPr>
        <w:pStyle w:val="TextBody"/>
        <w:bidi w:val="0"/>
        <w:jc w:val="both"/>
        <w:rPr/>
      </w:pPr>
      <w:r>
        <w:rPr/>
        <w:t> </w:t>
      </w:r>
    </w:p>
    <w:p>
      <w:pPr>
        <w:pStyle w:val="TextBody"/>
        <w:bidi w:val="0"/>
        <w:spacing w:lineRule="auto" w:line="360"/>
        <w:jc w:val="both"/>
        <w:rPr>
          <w:rFonts w:ascii="Times New Roman" w:hAnsi="Times New Roman"/>
          <w:sz w:val="13"/>
        </w:rPr>
      </w:pPr>
      <w:r>
        <w:rPr>
          <w:rFonts w:ascii="Times New Roman" w:hAnsi="Times New Roman"/>
          <w:color w:val="000000"/>
          <w:sz w:val="13"/>
        </w:rPr>
        <w:t xml:space="preserve">(1) </w:t>
      </w:r>
      <w:r>
        <w:rPr>
          <w:rFonts w:ascii="Times New Roman" w:hAnsi="Times New Roman"/>
          <w:color w:val="000000"/>
          <w:sz w:val="20"/>
        </w:rPr>
        <w:t>Net sales in North America and in the U.K., which includes the ROI, accounted for 80%</w:t>
      </w:r>
      <w:r>
        <w:rPr>
          <w:rFonts w:ascii="Times New Roman" w:hAnsi="Times New Roman"/>
          <w:color w:val="000000"/>
          <w:sz w:val="13"/>
        </w:rPr>
        <w:t xml:space="preserve"> </w:t>
      </w:r>
      <w:r>
        <w:rPr>
          <w:rFonts w:ascii="Times New Roman" w:hAnsi="Times New Roman"/>
          <w:color w:val="000000"/>
          <w:sz w:val="20"/>
        </w:rPr>
        <w:t>and 20%, respectively, of our net sales for the first six months of Fiscal 2027.</w:t>
      </w:r>
    </w:p>
    <w:p>
      <w:pPr>
        <w:pStyle w:val="TextBody"/>
        <w:bidi w:val="0"/>
        <w:spacing w:lineRule="auto" w:line="360"/>
        <w:jc w:val="both"/>
        <w:rPr>
          <w:rFonts w:ascii="Times New Roman" w:hAnsi="Times New Roman"/>
          <w:sz w:val="13"/>
        </w:rPr>
      </w:pPr>
      <w:r>
        <w:rPr>
          <w:rFonts w:ascii="Times New Roman" w:hAnsi="Times New Roman"/>
          <w:color w:val="000000"/>
          <w:sz w:val="13"/>
        </w:rPr>
        <w:t xml:space="preserve">(2) </w:t>
      </w:r>
      <w:r>
        <w:rPr>
          <w:rFonts w:ascii="Times New Roman" w:hAnsi="Times New Roman"/>
          <w:color w:val="000000"/>
          <w:sz w:val="20"/>
        </w:rPr>
        <w:t>Includes a $13.3</w:t>
      </w:r>
      <w:r>
        <w:rPr>
          <w:rFonts w:ascii="Times New Roman" w:hAnsi="Times New Roman"/>
          <w:color w:val="000000"/>
          <w:sz w:val="13"/>
        </w:rPr>
        <w:t xml:space="preserve"> </w:t>
      </w:r>
      <w:r>
        <w:rPr>
          <w:rFonts w:ascii="Times New Roman" w:hAnsi="Times New Roman"/>
          <w:color w:val="000000"/>
          <w:sz w:val="20"/>
        </w:rPr>
        <w:t>million gain for the refund of tariffs in Johnston &amp; Murphy Group and an $8.5</w:t>
      </w:r>
      <w:r>
        <w:rPr>
          <w:rFonts w:ascii="Times New Roman" w:hAnsi="Times New Roman"/>
          <w:color w:val="000000"/>
          <w:sz w:val="13"/>
        </w:rPr>
        <w:t xml:space="preserve"> </w:t>
      </w:r>
      <w:r>
        <w:rPr>
          <w:rFonts w:ascii="Times New Roman" w:hAnsi="Times New Roman"/>
          <w:color w:val="000000"/>
          <w:sz w:val="20"/>
        </w:rPr>
        <w:t>million gain for the refund of tariffs in the Genesco Brands Group for the first six months of Fiscal 2027.</w:t>
      </w:r>
    </w:p>
    <w:p>
      <w:pPr>
        <w:pStyle w:val="TextBody"/>
        <w:bidi w:val="0"/>
        <w:spacing w:lineRule="auto" w:line="360"/>
        <w:jc w:val="both"/>
        <w:rPr>
          <w:rFonts w:ascii="Times New Roman" w:hAnsi="Times New Roman"/>
          <w:sz w:val="13"/>
        </w:rPr>
      </w:pPr>
      <w:r>
        <w:rPr>
          <w:rFonts w:ascii="Times New Roman" w:hAnsi="Times New Roman"/>
          <w:color w:val="000000"/>
          <w:sz w:val="13"/>
        </w:rPr>
        <w:t xml:space="preserve">(3) </w:t>
      </w:r>
      <w:r>
        <w:rPr>
          <w:rFonts w:ascii="Times New Roman" w:hAnsi="Times New Roman"/>
          <w:color w:val="000000"/>
          <w:sz w:val="20"/>
        </w:rPr>
        <w:t>Asset impairments and other includes a $13.4</w:t>
      </w:r>
      <w:r>
        <w:rPr>
          <w:rFonts w:ascii="Times New Roman" w:hAnsi="Times New Roman"/>
          <w:color w:val="000000"/>
          <w:sz w:val="13"/>
        </w:rPr>
        <w:t xml:space="preserve"> </w:t>
      </w:r>
      <w:r>
        <w:rPr>
          <w:rFonts w:ascii="Times New Roman" w:hAnsi="Times New Roman"/>
          <w:color w:val="000000"/>
          <w:sz w:val="20"/>
        </w:rPr>
        <w:t>million gain related to payment card interchange fee litigation, partially offset by a $6.9</w:t>
      </w:r>
      <w:r>
        <w:rPr>
          <w:rFonts w:ascii="Times New Roman" w:hAnsi="Times New Roman"/>
          <w:color w:val="000000"/>
          <w:sz w:val="13"/>
        </w:rPr>
        <w:t xml:space="preserve"> </w:t>
      </w:r>
      <w:r>
        <w:rPr>
          <w:rFonts w:ascii="Times New Roman" w:hAnsi="Times New Roman"/>
          <w:color w:val="000000"/>
          <w:sz w:val="20"/>
        </w:rPr>
        <w:t>million charge for costs related to proxy contest, a $3.1</w:t>
      </w:r>
      <w:r>
        <w:rPr>
          <w:rFonts w:ascii="Times New Roman" w:hAnsi="Times New Roman"/>
          <w:color w:val="000000"/>
          <w:sz w:val="13"/>
        </w:rPr>
        <w:t xml:space="preserve"> </w:t>
      </w:r>
      <w:r>
        <w:rPr>
          <w:rFonts w:ascii="Times New Roman" w:hAnsi="Times New Roman"/>
          <w:color w:val="000000"/>
          <w:sz w:val="20"/>
        </w:rPr>
        <w:t>million charge for store restructuring, including $3.0</w:t>
      </w:r>
      <w:r>
        <w:rPr>
          <w:rFonts w:ascii="Times New Roman" w:hAnsi="Times New Roman"/>
          <w:color w:val="000000"/>
          <w:sz w:val="13"/>
        </w:rPr>
        <w:t xml:space="preserve"> </w:t>
      </w:r>
      <w:r>
        <w:rPr>
          <w:rFonts w:ascii="Times New Roman" w:hAnsi="Times New Roman"/>
          <w:color w:val="000000"/>
          <w:sz w:val="20"/>
        </w:rPr>
        <w:t>million in Journeys Group and $0.1</w:t>
      </w:r>
      <w:r>
        <w:rPr>
          <w:rFonts w:ascii="Times New Roman" w:hAnsi="Times New Roman"/>
          <w:color w:val="000000"/>
          <w:sz w:val="13"/>
        </w:rPr>
        <w:t xml:space="preserve"> </w:t>
      </w:r>
      <w:r>
        <w:rPr>
          <w:rFonts w:ascii="Times New Roman" w:hAnsi="Times New Roman"/>
          <w:color w:val="000000"/>
          <w:sz w:val="20"/>
        </w:rPr>
        <w:t>million in Schuh Group, a $1.0</w:t>
      </w:r>
      <w:r>
        <w:rPr>
          <w:rFonts w:ascii="Times New Roman" w:hAnsi="Times New Roman"/>
          <w:color w:val="000000"/>
          <w:sz w:val="13"/>
        </w:rPr>
        <w:t xml:space="preserve"> </w:t>
      </w:r>
      <w:r>
        <w:rPr>
          <w:rFonts w:ascii="Times New Roman" w:hAnsi="Times New Roman"/>
          <w:color w:val="000000"/>
          <w:sz w:val="20"/>
        </w:rPr>
        <w:t>million charge for other legal matters, a $0.6</w:t>
      </w:r>
      <w:r>
        <w:rPr>
          <w:rFonts w:ascii="Times New Roman" w:hAnsi="Times New Roman"/>
          <w:color w:val="000000"/>
          <w:sz w:val="13"/>
        </w:rPr>
        <w:t xml:space="preserve"> </w:t>
      </w:r>
      <w:r>
        <w:rPr>
          <w:rFonts w:ascii="Times New Roman" w:hAnsi="Times New Roman"/>
          <w:color w:val="000000"/>
          <w:sz w:val="20"/>
        </w:rPr>
        <w:t>million charge for costs associated with information technology transformation and a $0.6</w:t>
      </w:r>
      <w:r>
        <w:rPr>
          <w:rFonts w:ascii="Times New Roman" w:hAnsi="Times New Roman"/>
          <w:color w:val="000000"/>
          <w:sz w:val="13"/>
        </w:rPr>
        <w:t xml:space="preserve"> </w:t>
      </w:r>
      <w:r>
        <w:rPr>
          <w:rFonts w:ascii="Times New Roman" w:hAnsi="Times New Roman"/>
          <w:color w:val="000000"/>
          <w:sz w:val="20"/>
        </w:rPr>
        <w:t>million charge for severance and other restructuring.</w:t>
      </w:r>
    </w:p>
    <w:p>
      <w:pPr>
        <w:pStyle w:val="TextBody"/>
        <w:bidi w:val="0"/>
        <w:spacing w:lineRule="auto" w:line="360"/>
        <w:jc w:val="both"/>
        <w:rPr>
          <w:rFonts w:ascii="Times New Roman" w:hAnsi="Times New Roman"/>
          <w:sz w:val="13"/>
        </w:rPr>
      </w:pPr>
      <w:r>
        <w:rPr>
          <w:rFonts w:ascii="Times New Roman" w:hAnsi="Times New Roman"/>
          <w:color w:val="000000"/>
          <w:sz w:val="13"/>
        </w:rPr>
        <w:t xml:space="preserve">(4) </w:t>
      </w:r>
      <w:r>
        <w:rPr>
          <w:rFonts w:ascii="Times New Roman" w:hAnsi="Times New Roman"/>
          <w:color w:val="000000"/>
          <w:sz w:val="20"/>
        </w:rPr>
        <w:t>Includes $0.7</w:t>
      </w:r>
      <w:r>
        <w:rPr>
          <w:rFonts w:ascii="Times New Roman" w:hAnsi="Times New Roman"/>
          <w:color w:val="000000"/>
          <w:sz w:val="13"/>
        </w:rPr>
        <w:t xml:space="preserve"> </w:t>
      </w:r>
      <w:r>
        <w:rPr>
          <w:rFonts w:ascii="Times New Roman" w:hAnsi="Times New Roman"/>
          <w:color w:val="000000"/>
          <w:sz w:val="20"/>
        </w:rPr>
        <w:t>million of interest income related to tariff refunds in the first six months of Fiscal 2027.</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16"/>
        <w:gridCol w:w="158"/>
        <w:gridCol w:w="653"/>
        <w:gridCol w:w="146"/>
        <w:gridCol w:w="146"/>
        <w:gridCol w:w="511"/>
        <w:gridCol w:w="146"/>
        <w:gridCol w:w="210"/>
        <w:gridCol w:w="736"/>
        <w:gridCol w:w="146"/>
        <w:gridCol w:w="356"/>
        <w:gridCol w:w="924"/>
        <w:gridCol w:w="146"/>
        <w:gridCol w:w="291"/>
        <w:gridCol w:w="1207"/>
        <w:gridCol w:w="146"/>
        <w:gridCol w:w="200"/>
        <w:gridCol w:w="701"/>
        <w:gridCol w:w="146"/>
        <w:gridCol w:w="220"/>
        <w:gridCol w:w="906"/>
        <w:gridCol w:w="194"/>
      </w:tblGrid>
      <w:tr>
        <w:trPr/>
        <w:tc>
          <w:tcPr>
            <w:tcW w:w="19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Six Months Ended August 1, 2026</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 thousands)</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Journeys</w:t>
              <w:br/>
              <w:t>Group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Schuh</w:t>
              <w:br/>
              <w:t>Group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Johnston</w:t>
              <w:br/>
              <w:t>&amp; Murphy</w:t>
              <w:br/>
              <w:t>Group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Genesco Brands Group</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Reportable Segment Total</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Corporate</w:t>
              <w:br/>
              <w:t>&amp; Other</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Consolidated</w:t>
            </w:r>
          </w:p>
        </w:tc>
        <w:tc>
          <w:tcPr>
            <w:tcW w:w="194"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1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and amortization</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15,796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4,071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694</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24,561</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1,869</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26,430</w:t>
            </w:r>
          </w:p>
        </w:tc>
        <w:tc>
          <w:tcPr>
            <w:tcW w:w="194"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r>
      <w:tr>
        <w:trPr/>
        <w:tc>
          <w:tcPr>
            <w:tcW w:w="1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Capital expenditures</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20,670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5,346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5,578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44</w:t>
            </w:r>
          </w:p>
        </w:tc>
        <w:tc>
          <w:tcPr>
            <w:tcW w:w="146" w:type="dxa"/>
            <w:tcBorders>
              <w:bottom w:val="double" w:sz="6"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31,638</w:t>
            </w:r>
          </w:p>
        </w:tc>
        <w:tc>
          <w:tcPr>
            <w:tcW w:w="146" w:type="dxa"/>
            <w:tcBorders>
              <w:bottom w:val="double" w:sz="6"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105</w:t>
            </w:r>
          </w:p>
        </w:tc>
        <w:tc>
          <w:tcPr>
            <w:tcW w:w="146" w:type="dxa"/>
            <w:tcBorders>
              <w:bottom w:val="double" w:sz="6"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31,743</w:t>
            </w:r>
          </w:p>
        </w:tc>
        <w:tc>
          <w:tcPr>
            <w:tcW w:w="194" w:type="dxa"/>
            <w:tcBorders>
              <w:bottom w:val="double" w:sz="6"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4"/>
        </w:rPr>
      </w:pPr>
      <w:r>
        <w:rPr>
          <w:rFonts w:ascii="Times New Roman" w:hAnsi="Times New Roman"/>
          <w:b/>
          <w:color w:val="000000"/>
          <w:sz w:val="24"/>
        </w:rPr>
        <w:t>Genesco Inc. and Subsidiaries</w:t>
      </w:r>
    </w:p>
    <w:p>
      <w:pPr>
        <w:pStyle w:val="TextBody"/>
        <w:bidi w:val="0"/>
        <w:jc w:val="center"/>
        <w:rPr>
          <w:rFonts w:ascii="Times New Roman" w:hAnsi="Times New Roman"/>
          <w:b/>
          <w:color w:val="000000"/>
          <w:sz w:val="24"/>
        </w:rPr>
      </w:pPr>
      <w:r>
        <w:rPr>
          <w:rFonts w:ascii="Times New Roman" w:hAnsi="Times New Roman"/>
          <w:b/>
          <w:color w:val="000000"/>
          <w:sz w:val="24"/>
        </w:rPr>
        <w:t>Notes to Condensed Consolidated Financial Statements (unaudited)</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8</w:t>
      </w:r>
    </w:p>
    <w:p>
      <w:pPr>
        <w:pStyle w:val="TextBody"/>
        <w:bidi w:val="0"/>
        <w:jc w:val="both"/>
        <w:rPr>
          <w:rFonts w:ascii="Times New Roman" w:hAnsi="Times New Roman"/>
          <w:b/>
          <w:color w:val="000000"/>
          <w:sz w:val="20"/>
          <w:u w:val="single"/>
        </w:rPr>
      </w:pPr>
      <w:r>
        <w:rPr>
          <w:rFonts w:ascii="Times New Roman" w:hAnsi="Times New Roman"/>
          <w:b/>
          <w:color w:val="000000"/>
          <w:sz w:val="20"/>
          <w:u w:val="single"/>
        </w:rPr>
        <w:t>Business Segment Information, Continued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51"/>
        <w:gridCol w:w="196"/>
        <w:gridCol w:w="691"/>
        <w:gridCol w:w="166"/>
        <w:gridCol w:w="196"/>
        <w:gridCol w:w="691"/>
        <w:gridCol w:w="166"/>
        <w:gridCol w:w="209"/>
        <w:gridCol w:w="737"/>
        <w:gridCol w:w="166"/>
        <w:gridCol w:w="430"/>
        <w:gridCol w:w="1322"/>
        <w:gridCol w:w="146"/>
        <w:gridCol w:w="215"/>
        <w:gridCol w:w="911"/>
        <w:gridCol w:w="212"/>
      </w:tblGrid>
      <w:tr>
        <w:trPr/>
        <w:tc>
          <w:tcPr>
            <w:tcW w:w="37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Six Months Ended August 2, 2025</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 thousands)</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Journeys</w:t>
              <w:br/>
              <w:t>Group</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Schuh</w:t>
              <w:br/>
              <w:t>Group</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Johnston</w:t>
              <w:br/>
              <w:t>&amp; Murphy</w:t>
              <w:br/>
              <w:t>Group</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Genesco Brands Group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Consolidated</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8"/>
              </w:rPr>
            </w:pPr>
            <w:r>
              <w:rPr>
                <w:rFonts w:ascii="Times New Roman" w:hAnsi="Times New Roman"/>
                <w:b/>
                <w:color w:val="000000"/>
                <w:sz w:val="18"/>
              </w:rPr>
              <w:t>Net sales to external customers</w:t>
            </w:r>
            <w:r>
              <w:rPr>
                <w:rFonts w:ascii="Times New Roman" w:hAnsi="Times New Roman"/>
                <w:b/>
                <w:color w:val="000000"/>
                <w:sz w:val="12"/>
              </w:rPr>
              <w:t>(1)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590,823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222,510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145,628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60,977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1,019,938</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sales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67,333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Selling and administrative expenses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308,829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93,502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79,577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Segment operating income (loss)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(26,355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Unallocated selling and administrative expenses</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15,815</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left"/>
              <w:rPr>
                <w:rFonts w:ascii="Times New Roman" w:hAnsi="Times New Roman"/>
                <w:sz w:val="18"/>
              </w:rPr>
            </w:pPr>
            <w:r>
              <w:rPr>
                <w:rFonts w:ascii="Times New Roman" w:hAnsi="Times New Roman"/>
                <w:color w:val="000000"/>
                <w:sz w:val="18"/>
              </w:rPr>
              <w:t>Asset impairments and other</w:t>
            </w:r>
            <w:r>
              <w:rPr>
                <w:rFonts w:ascii="Times New Roman" w:hAnsi="Times New Roman"/>
                <w:color w:val="000000"/>
                <w:sz w:val="12"/>
              </w:rPr>
              <w:t>(2)</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loss</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(42,585</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components of net periodic benefit cost</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net</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2,798</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Loss from continuing operations before income taxes</w:t>
            </w:r>
          </w:p>
        </w:tc>
        <w:tc>
          <w:tcPr>
            <w:tcW w:w="887" w:type="dxa"/>
            <w:gridSpan w:val="2"/>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pPr>
            <w:r>
              <w:rPr/>
              <w:t> </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pPr>
            <w:r>
              <w:rPr/>
              <w:t> </w:t>
            </w:r>
          </w:p>
        </w:tc>
        <w:tc>
          <w:tcPr>
            <w:tcW w:w="887" w:type="dxa"/>
            <w:gridSpan w:val="2"/>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pPr>
            <w:r>
              <w:rPr/>
              <w:t> </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pPr>
            <w:r>
              <w:rPr/>
              <w:t> </w:t>
            </w:r>
          </w:p>
        </w:tc>
        <w:tc>
          <w:tcPr>
            <w:tcW w:w="946" w:type="dxa"/>
            <w:gridSpan w:val="2"/>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pPr>
            <w:r>
              <w:rPr/>
              <w:t> </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pPr>
            <w:r>
              <w:rPr/>
              <w:t> </w:t>
            </w:r>
          </w:p>
        </w:tc>
        <w:tc>
          <w:tcPr>
            <w:tcW w:w="1752" w:type="dxa"/>
            <w:gridSpan w:val="2"/>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pPr>
            <w:r>
              <w:rPr/>
              <w:t> </w:t>
            </w:r>
          </w:p>
        </w:tc>
        <w:tc>
          <w:tcPr>
            <w:tcW w:w="21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(45,711</w:t>
            </w:r>
          </w:p>
        </w:tc>
        <w:tc>
          <w:tcPr>
            <w:tcW w:w="21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both"/>
        <w:rPr/>
      </w:pPr>
      <w:r>
        <w:rPr/>
        <w:t> </w:t>
      </w:r>
    </w:p>
    <w:p>
      <w:pPr>
        <w:pStyle w:val="TextBody"/>
        <w:bidi w:val="0"/>
        <w:spacing w:lineRule="auto" w:line="360"/>
        <w:jc w:val="both"/>
        <w:rPr>
          <w:rFonts w:ascii="Times New Roman" w:hAnsi="Times New Roman"/>
          <w:sz w:val="13"/>
        </w:rPr>
      </w:pPr>
      <w:r>
        <w:rPr>
          <w:rFonts w:ascii="Times New Roman" w:hAnsi="Times New Roman"/>
          <w:color w:val="000000"/>
          <w:sz w:val="13"/>
        </w:rPr>
        <w:t xml:space="preserve">(1) </w:t>
      </w:r>
      <w:r>
        <w:rPr>
          <w:rFonts w:ascii="Times New Roman" w:hAnsi="Times New Roman"/>
          <w:color w:val="000000"/>
          <w:sz w:val="20"/>
        </w:rPr>
        <w:t>Net sales in North America and in the U.K., which includes the ROI, accounted for 78%</w:t>
      </w:r>
      <w:r>
        <w:rPr>
          <w:rFonts w:ascii="Times New Roman" w:hAnsi="Times New Roman"/>
          <w:color w:val="000000"/>
          <w:sz w:val="13"/>
        </w:rPr>
        <w:t xml:space="preserve"> </w:t>
      </w:r>
      <w:r>
        <w:rPr>
          <w:rFonts w:ascii="Times New Roman" w:hAnsi="Times New Roman"/>
          <w:color w:val="000000"/>
          <w:sz w:val="20"/>
        </w:rPr>
        <w:t>and 22%, respectively, of our net sales for the first six months of Fiscal 2026.</w:t>
      </w:r>
    </w:p>
    <w:p>
      <w:pPr>
        <w:pStyle w:val="TextBody"/>
        <w:bidi w:val="0"/>
        <w:spacing w:lineRule="auto" w:line="360"/>
        <w:jc w:val="both"/>
        <w:rPr>
          <w:rFonts w:ascii="Times New Roman" w:hAnsi="Times New Roman"/>
          <w:sz w:val="13"/>
        </w:rPr>
      </w:pPr>
      <w:r>
        <w:rPr>
          <w:rFonts w:ascii="Times New Roman" w:hAnsi="Times New Roman"/>
          <w:color w:val="000000"/>
          <w:sz w:val="13"/>
        </w:rPr>
        <w:t xml:space="preserve">(2) </w:t>
      </w:r>
      <w:r>
        <w:rPr>
          <w:rFonts w:ascii="Times New Roman" w:hAnsi="Times New Roman"/>
          <w:color w:val="000000"/>
          <w:sz w:val="20"/>
        </w:rPr>
        <w:t>Asset impairments and other includes a $0.4</w:t>
      </w:r>
      <w:r>
        <w:rPr>
          <w:rFonts w:ascii="Times New Roman" w:hAnsi="Times New Roman"/>
          <w:color w:val="000000"/>
          <w:sz w:val="13"/>
        </w:rPr>
        <w:t xml:space="preserve"> </w:t>
      </w:r>
      <w:r>
        <w:rPr>
          <w:rFonts w:ascii="Times New Roman" w:hAnsi="Times New Roman"/>
          <w:color w:val="000000"/>
          <w:sz w:val="20"/>
        </w:rPr>
        <w:t>million charge for severance.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916"/>
        <w:gridCol w:w="158"/>
        <w:gridCol w:w="653"/>
        <w:gridCol w:w="146"/>
        <w:gridCol w:w="146"/>
        <w:gridCol w:w="511"/>
        <w:gridCol w:w="146"/>
        <w:gridCol w:w="210"/>
        <w:gridCol w:w="736"/>
        <w:gridCol w:w="146"/>
        <w:gridCol w:w="356"/>
        <w:gridCol w:w="924"/>
        <w:gridCol w:w="146"/>
        <w:gridCol w:w="291"/>
        <w:gridCol w:w="1207"/>
        <w:gridCol w:w="146"/>
        <w:gridCol w:w="200"/>
        <w:gridCol w:w="701"/>
        <w:gridCol w:w="146"/>
        <w:gridCol w:w="220"/>
        <w:gridCol w:w="906"/>
        <w:gridCol w:w="194"/>
      </w:tblGrid>
      <w:tr>
        <w:trPr/>
        <w:tc>
          <w:tcPr>
            <w:tcW w:w="19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Six Months Ended August 2, 2025</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 thousands)</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Journeys</w:t>
              <w:br/>
              <w:t>Group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Schuh</w:t>
              <w:br/>
              <w:t>Group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Johnston</w:t>
              <w:br/>
              <w:t>&amp; Murphy</w:t>
              <w:br/>
              <w:t>Group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Genesco Brands Group</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Reportable Segment Total</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Corporate</w:t>
              <w:br/>
              <w:t>&amp; Other</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Consolidated</w:t>
            </w:r>
          </w:p>
        </w:tc>
        <w:tc>
          <w:tcPr>
            <w:tcW w:w="194"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1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and amortization</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688</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24,804</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2,063</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26,867</w:t>
            </w:r>
          </w:p>
        </w:tc>
        <w:tc>
          <w:tcPr>
            <w:tcW w:w="194"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r>
      <w:tr>
        <w:trPr/>
        <w:tc>
          <w:tcPr>
            <w:tcW w:w="1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Capital expenditures</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w:t>
            </w:r>
          </w:p>
        </w:tc>
        <w:tc>
          <w:tcPr>
            <w:tcW w:w="146" w:type="dxa"/>
            <w:tcBorders>
              <w:bottom w:val="double" w:sz="6"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33,224</w:t>
            </w:r>
          </w:p>
        </w:tc>
        <w:tc>
          <w:tcPr>
            <w:tcW w:w="146" w:type="dxa"/>
            <w:tcBorders>
              <w:bottom w:val="double" w:sz="6"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w:t>
            </w:r>
          </w:p>
        </w:tc>
        <w:tc>
          <w:tcPr>
            <w:tcW w:w="146" w:type="dxa"/>
            <w:tcBorders>
              <w:bottom w:val="double" w:sz="6"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33,580</w:t>
            </w:r>
          </w:p>
        </w:tc>
        <w:tc>
          <w:tcPr>
            <w:tcW w:w="194" w:type="dxa"/>
            <w:tcBorders>
              <w:bottom w:val="double" w:sz="6" w:space="0" w:color="000000"/>
              <w:right w:val="single" w:sz="18"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11" w:name="item_2_mda"/>
      <w:bookmarkEnd w:id="11"/>
      <w:r>
        <w:rPr>
          <w:rFonts w:ascii="Times New Roman" w:hAnsi="Times New Roman"/>
          <w:b/>
          <w:color w:val="000000"/>
          <w:sz w:val="20"/>
          <w:u w:val="single"/>
        </w:rPr>
        <w:t>Item 2. Management's Discussion and</w:t>
      </w:r>
      <w:r>
        <w:rPr>
          <w:rFonts w:ascii="Times New Roman" w:hAnsi="Times New Roman"/>
          <w:color w:val="000000"/>
          <w:sz w:val="20"/>
          <w:u w:val="single"/>
        </w:rPr>
        <w:t xml:space="preserve"> </w:t>
      </w:r>
      <w:r>
        <w:rPr>
          <w:rFonts w:ascii="Times New Roman" w:hAnsi="Times New Roman"/>
          <w:b/>
          <w:color w:val="000000"/>
          <w:sz w:val="20"/>
          <w:u w:val="single"/>
        </w:rPr>
        <w:t>Analysis of Financial Condition and Results of Operations</w:t>
      </w:r>
    </w:p>
    <w:p>
      <w:pPr>
        <w:pStyle w:val="TextBody"/>
        <w:bidi w:val="0"/>
        <w:spacing w:before="200" w:after="283"/>
        <w:jc w:val="both"/>
        <w:rPr>
          <w:rFonts w:ascii="Times New Roman" w:hAnsi="Times New Roman"/>
          <w:color w:val="212529"/>
          <w:sz w:val="20"/>
        </w:rPr>
      </w:pPr>
      <w:r>
        <w:rPr>
          <w:rFonts w:ascii="Times New Roman" w:hAnsi="Times New Roman"/>
          <w:color w:val="212529"/>
          <w:sz w:val="20"/>
        </w:rPr>
        <w:t>This section discusses management’s view of the financial condition, results of operations and cash flows of the Company. This section should be read in conjunction with the information contained in our Annual Report on Form 10-K for the fiscal year ended January 31, 2026, including the Risk Factors section, and information contained elsewhere in this Quarterly Report on Form 10-Q, including the Condensed Consolidated Financial Statements and Notes to those financial statements. The results of operations for any interim period may not necessarily be indicative of the results that may be expected for any future interim period or the entire fiscal year.</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Summary of Results of Operations</w:t>
      </w:r>
    </w:p>
    <w:p>
      <w:pPr>
        <w:pStyle w:val="TextBody"/>
        <w:bidi w:val="0"/>
        <w:jc w:val="both"/>
        <w:rPr>
          <w:rFonts w:ascii="Times New Roman" w:hAnsi="Times New Roman"/>
          <w:color w:val="000000"/>
          <w:sz w:val="20"/>
        </w:rPr>
      </w:pPr>
      <w:r>
        <w:rPr>
          <w:rFonts w:ascii="Times New Roman" w:hAnsi="Times New Roman"/>
          <w:color w:val="000000"/>
          <w:sz w:val="20"/>
        </w:rPr>
        <w:t>Our net sales decreased 3.0% to $529.9 million in the second quarter of Fiscal 2027 compared to $546.0 million in the second quarter of Fiscal 2026. The net sales decrease compared to last year's second quarter reflects the impact of net store closings resulting from our ongoing footprint optimization, decreased sales in Genesco Brands Group as we exited licenses, a 6% decrease in e-commerce comparable sales reflecting our prioritization of full-price selling at Schuh Group and an unfavorable foreign exchange impact, partially offset by a 1% increase in same store sales and higher sales from enlarged stores. The Journeys Group business had a strong second quarter of Fiscal 2027 with comparable sales up 2% on top of a 5% comparable gain last year, driven by strength in the product assortment and other initiatives. Schuh Group comparable sales were down 9% for the second quarter of Fiscal 2027 reflecting our decision to prioritize full-price selling over discounts and promotions. Johnston &amp; Murphy Group also had a strong second quarter of Fiscal 2027 with comparable sales up 4% in the second quarter of Fiscal 2027 driven by increased store sales due to new and improved product assortments, both in apparel and footwear, benefitting from brand awareness through marketing and social media campaigns. By segment, Journeys Group sales were flat, Schuh Group sales decreased 10%, Johnston &amp; Murphy Group sales increased 5% and Genesco Brands Group sales decreased 21% or $6.7 million in the second quarter of Fiscal 2027 compared to the second quarter of Fiscal 2026. Schuh Group's sales decreased 10% on a local currency basis for the second quarter of Fiscal 2027.</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Gross margin increased 8.9% to $272.1 million in the second quarter of Fiscal 2027 from $249.9 million in the second quarter of Fiscal 2026 and increased 560 basis points as a percentage of net sales from 45.8% in the second quarter of Fiscal 2026 to 51.4% in the second quarter of Fiscal 2027. The overall increase in gross margin as a percentage of net sales in the second quarter of Fiscal 2027 is due primarily to tariff refunds of $21.8 million, less promotional activity and higher full-price selling at Schuh Group, favorable changes in sales mix, the license exit benefit and tariff mitigation actions across our branded businesses.</w:t>
      </w:r>
    </w:p>
    <w:p>
      <w:pPr>
        <w:pStyle w:val="TextBody"/>
        <w:bidi w:val="0"/>
        <w:jc w:val="both"/>
        <w:rPr>
          <w:rFonts w:ascii="Times New Roman" w:hAnsi="Times New Roman"/>
          <w:color w:val="000000"/>
          <w:sz w:val="20"/>
        </w:rPr>
      </w:pPr>
      <w:r>
        <w:rPr>
          <w:rFonts w:ascii="Times New Roman" w:hAnsi="Times New Roman"/>
          <w:color w:val="000000"/>
          <w:sz w:val="20"/>
        </w:rPr>
        <w:t>Selling and administrative expenses in the second quarter of Fiscal 2027 decreased 1.8% to $259.6 million from $264.3 million compared to the second quarter of Fiscal 2026. Selling and administrative expenses increased 60 basis points as a percentage of net sales in the second quarter of Fiscal 2027 compared to the second quarter of Fiscal 2026 from 48.4% to 49.0% as a result of the sales decline. The increase as a percentage of net sales reflects increased occupancy and performance-based compensation expense, partially offset by decreased selling salaries, marketing expenses and other ongoing cost savings initiatives.</w:t>
      </w:r>
    </w:p>
    <w:p>
      <w:pPr>
        <w:pStyle w:val="TextBody"/>
        <w:bidi w:val="0"/>
        <w:jc w:val="both"/>
        <w:rPr>
          <w:rFonts w:ascii="Times New Roman" w:hAnsi="Times New Roman"/>
          <w:color w:val="000000"/>
          <w:sz w:val="20"/>
        </w:rPr>
      </w:pPr>
      <w:r>
        <w:rPr>
          <w:rFonts w:ascii="Times New Roman" w:hAnsi="Times New Roman"/>
          <w:color w:val="000000"/>
          <w:sz w:val="20"/>
        </w:rPr>
        <w:t>Operating margin was 0.7% in the second quarter of Fiscal 2027 compared to (2.6)% in the second quarter of Fiscal 2026. The overall improvement in operating margin for the second quarter of Fiscal 2027 compared to the second quarter of Fiscal 2026 primarily reflects increased gross margin as a percentage of net sales, partially offset by a net loss of $8.9 million in asset impairment and other charges and deleverage in expenses as a percentage of net sales.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Earnings from continuing operations before income taxes (“pretax earnings”) for the second quarter of Fiscal 2027 was $3.4 million compared to a loss from continuing operations before income taxes ("pretax loss") of $16.0 million for the second quarter of Fiscal 2026. Pretax earnings for the second quarter of Fiscal 2027 included an asset impairment and other charge of $8.9 million which included a $6.9 million charge for costs related to proxy contest, a $1.0 million charge for other legal matters, a $0.4 million charge for costs associated with information technology transformation, a $0.5 million charge for severance and other restructuring and a $0.1 million charge for store restructuring. The pretax loss for the second quarter of Fiscal 2026 included asset impairment and other charges of $0.1 million for severance.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had an effective income tax rate of (2.5)% and (15.0)% in the second quarter of Fiscal 2027 and Fiscal 2026, respectively. The higher effective tax rate in the second quarter of Fiscal 2027 compared to the second quarter of Fiscal 2026 is primarily a result of the impact of the OBBBA in the second quarter of Fiscal 2026 which did not have a recurring impact in the second quarter of Fiscal 2027, as well as the impact of the valuation allowance in certain jurisdictions on our effective tax rate as a result of changes in the mix of earnings and losses among jurisdictions.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Net earnings in the second quarter of Fiscal 2027 were $3.5 million, or $0.32 diluted earnings per share, compared to a net loss of $18.5 million, or $1.79 diluted loss per share, in the second quarter of Fiscal 2026.</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discuss our critical accounting estimates in Item 7, "Management’s Discussion and Analysis of Financial Condition and Results of Operations", in our Annual Report on Form 10-K for the fiscal year ended January 31, 2026. We describe our significant accounting policies in Note 1, "Summary of Significant Accounting Policies", of the Notes to Consolidated Financial Statements included in our Annual Report 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Form 10-K for the fiscal year ended January 31, 2026. There have been no significant changes in our definition of significant accounting policies or critical accounting estimates since the end of Fiscal 2026.</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Key Performance Indicators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assessing the performance of our business, we consider a variety of performance and financial measures. The key performance indicators we use to evaluate the financial condition and operating performance of our business are comparable sales, net sales, gross margin, operating income and operating margin. These key performance indicators should not be considered superior to, as a substitute for or as an alternative to, and should be considered in conjunction with, the U.S. GAAP financial measures presented herein. These measures may not be comparable to similarly titled performance indicators used by other companies.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Comparable Sales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consider comparable sales to be an important indicator of our current performance, and investors may find it useful as such. Comparable sales results are important to achieve leveraging of our costs, including occupancy, selling salaries, depreciation, etc. Comparable sales also have a direct impact on our total net revenue, working capital and cash. We define "comparable sales" as sales from stores open longer than one year, beginning with the first day a store has comparable sales (which we refer to as "same store sales"), and sales from websites operated longer than one year and direct mail catalog sales (which we refer to in this report as "comparable e-commerce sales"). Temporarily closed stores are excluded from the comparable sales calculation if closed for more than seven days. Expanded stores are excluded from the comparable sales calculation until the first day an expanded store has comparable prior year sales. Current year foreign exchange rates are applied to both current year and prior year comparable sales to achieve a consistent basis for comparison.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Operating Margin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Operating margin is a ratio calculated by dividing operating income (loss) by net sales. We believe operating margin provides investors with useful information related to the profitability of our business after considering all of the selling, general and administrative expenses and other operating charges incurred. We use this measure in making financial, operating and planning decisions and in evaluating our overall performance.</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Results of Operations – Second Quarter of Fiscal 2027 Compared to Second Quarter of Fiscal 2026</w:t>
      </w:r>
    </w:p>
    <w:p>
      <w:pPr>
        <w:pStyle w:val="TextBody"/>
        <w:bidi w:val="0"/>
        <w:jc w:val="both"/>
        <w:rPr/>
      </w:pPr>
      <w:r>
        <w:rPr/>
        <w:t> </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Journeys Group</w:t>
      </w:r>
    </w:p>
    <w:tbl>
      <w:tblPr>
        <w:tblW w:w="6821" w:type="dxa"/>
        <w:jc w:val="left"/>
        <w:tblInd w:w="0" w:type="dxa"/>
        <w:tblLayout w:type="fixed"/>
        <w:tblCellMar>
          <w:top w:w="28" w:type="dxa"/>
          <w:left w:w="28" w:type="dxa"/>
          <w:bottom w:w="28" w:type="dxa"/>
          <w:right w:w="28" w:type="dxa"/>
        </w:tblCellMar>
      </w:tblPr>
      <w:tblGrid>
        <w:gridCol w:w="3046"/>
        <w:gridCol w:w="146"/>
        <w:gridCol w:w="1351"/>
        <w:gridCol w:w="146"/>
        <w:gridCol w:w="1351"/>
        <w:gridCol w:w="78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August 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2, 2025</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br/>
              <w:t>Change</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(dollars in thousands)</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$317,836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$318,189</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r>
      <w:tr>
        <w:trPr/>
        <w:tc>
          <w:tcPr>
            <w:tcW w:w="3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164,083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162,761</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153,753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155,428</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i/>
                <w:color w:val="000000"/>
                <w:sz w:val="20"/>
              </w:rPr>
            </w:pPr>
            <w:r>
              <w:rPr>
                <w:rFonts w:ascii="Times New Roman" w:hAnsi="Times New Roman"/>
                <w:b/>
                <w:i/>
                <w:color w:val="000000"/>
                <w:sz w:val="20"/>
              </w:rPr>
              <w:t>48.4%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48.8%</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154,467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160,427</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3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 of 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i/>
                <w:color w:val="000000"/>
                <w:sz w:val="20"/>
              </w:rPr>
            </w:pPr>
            <w:r>
              <w:rPr>
                <w:rFonts w:ascii="Times New Roman" w:hAnsi="Times New Roman"/>
                <w:b/>
                <w:i/>
                <w:color w:val="000000"/>
                <w:sz w:val="20"/>
              </w:rPr>
              <w:t>48.6%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50.4%</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$(4,999)</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i/>
                <w:color w:val="000000"/>
                <w:sz w:val="20"/>
              </w:rPr>
            </w:pPr>
            <w:r>
              <w:rPr>
                <w:rFonts w:ascii="Times New Roman" w:hAnsi="Times New Roman"/>
                <w:b/>
                <w:i/>
                <w:color w:val="000000"/>
                <w:sz w:val="20"/>
              </w:rPr>
              <w:t>(0.2)%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(1.6)%</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Net sales from Journeys Group were essentially flat at $317.8 million in the second quarter of Fiscal 2027 compared to $318.2 million in the second quarter of Fiscal 2026. Journeys net sales for the second quarter of Fiscal 2027 reflects a 2% increase in comparable sales, with increases in both stores and e-commerce channels, and higher sales from enlarged stores, offset by a 5% decrease in the average number of stores in the second quarter of Fiscal 2027. The increased comparable sales in the second quarter of Fiscal 2027 was driven by the strong performance of our 4.0 store remodels and other initiatives as well as elevated product assortment across athletic and casual, achieving higher average transaction size and more full-price selling.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closed 17 Journeys Group stores in the second quarter of Fiscal 2027. Journeys Group operated 924 stores at the end of the second quarter of Fiscal 2027, including 176 Journeys Kidz stores in the United States, 33 Journeys stores in Canada and 30 Little Burgundy stores in Canada, compared to 984 stores at the end of the second quarter of Fiscal 2026, including 200 Journeys Kidz stores in the United States, 33 Journeys stores in Canada and 30 Little Burgundy stores in Canada.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140 basis point improvement in operating margin for Journeys Group for the second quarter of Fiscal 2027 compared to the second quarter of Fiscal 2026 was primarily due to a 180 basis point decrease in selling and administrative expenses as a percentage of net sales. This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improvement reflects leverage of expenses in the second quarter of Fiscal 2027, especially decreased selling salaries, marketing expense and other expenses and demonstrates the impact of our productivity efforts, cost savings initiatives and closing underperforming stores. The increase in operating margin was partially offset by a 40 basis point decrease in gross margin as a percentage of net sales, reflecting lower initial margins as a result of changes in brand mix, partially offset by lower markdowns. </w:t>
      </w:r>
    </w:p>
    <w:p>
      <w:pPr>
        <w:pStyle w:val="TextBody"/>
        <w:bidi w:val="0"/>
        <w:spacing w:before="200" w:after="120"/>
        <w:jc w:val="both"/>
        <w:rPr>
          <w:rFonts w:ascii="Times New Roman" w:hAnsi="Times New Roman"/>
          <w:i/>
          <w:color w:val="000000"/>
          <w:sz w:val="20"/>
        </w:rPr>
      </w:pPr>
      <w:r>
        <w:rPr>
          <w:rFonts w:ascii="Times New Roman" w:hAnsi="Times New Roman"/>
          <w:i/>
          <w:color w:val="000000"/>
          <w:sz w:val="20"/>
        </w:rPr>
        <w:t>Schuh Group</w:t>
      </w:r>
    </w:p>
    <w:tbl>
      <w:tblPr>
        <w:tblW w:w="6836" w:type="dxa"/>
        <w:jc w:val="left"/>
        <w:tblInd w:w="0" w:type="dxa"/>
        <w:tblLayout w:type="fixed"/>
        <w:tblCellMar>
          <w:top w:w="28" w:type="dxa"/>
          <w:left w:w="28" w:type="dxa"/>
          <w:bottom w:w="28" w:type="dxa"/>
          <w:right w:w="28" w:type="dxa"/>
        </w:tblCellMar>
      </w:tblPr>
      <w:tblGrid>
        <w:gridCol w:w="3046"/>
        <w:gridCol w:w="146"/>
        <w:gridCol w:w="1351"/>
        <w:gridCol w:w="146"/>
        <w:gridCol w:w="1351"/>
        <w:gridCol w:w="796"/>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August 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2, 2025</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br/>
              <w:t>Change</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(dollars in thousands)</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$113,820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$126,595</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r>
      <w:tr>
        <w:trPr/>
        <w:tc>
          <w:tcPr>
            <w:tcW w:w="3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66,082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77,412</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47,738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49,183</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i/>
                <w:color w:val="000000"/>
                <w:sz w:val="20"/>
              </w:rPr>
            </w:pPr>
            <w:r>
              <w:rPr>
                <w:rFonts w:ascii="Times New Roman" w:hAnsi="Times New Roman"/>
                <w:b/>
                <w:i/>
                <w:color w:val="000000"/>
                <w:sz w:val="20"/>
              </w:rPr>
              <w:t>41.9%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38.9%</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48,108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49,194</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3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 of 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i/>
                <w:color w:val="000000"/>
                <w:sz w:val="20"/>
              </w:rPr>
            </w:pPr>
            <w:r>
              <w:rPr>
                <w:rFonts w:ascii="Times New Roman" w:hAnsi="Times New Roman"/>
                <w:b/>
                <w:i/>
                <w:color w:val="000000"/>
                <w:sz w:val="20"/>
              </w:rPr>
              <w:t>42.3%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38.9%</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Net sales from Schuh Group decreased 10.1% to $113.8 million in the second quarter of Fiscal 2027 compared to $126.6 million in the second quarter of Fiscal 2026. The net sales decrease for the second quarter of Fiscal 2027 includes a 9% decrease in comparable sales, reflecting decreased e-commerce comparable sales and same store sales, a 7% decrease in the average number of stores in the second quarter of Fiscal 2027 and an unfavorable impact of $0.6 million due to changes in foreign exchange rates. We prioritized more full-priced selling over discounts and promotions in Schuh Group during the second quarter of Fiscal 2027 but this pressured sales in stores and online and especially affected the e-commerce channel which in particular attracts bargain seekers. Schuh Group's sales decreased 10% on a local currency basis for the second quarter of Fiscal 2027. Schuh Group operated 109 stores at the end of the second quarter of Fiscal 2027, compared to 120 stores at the end of the second quarter of Fiscal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30 basis point decrease in operating margin for Schuh Group for the second quarter of Fiscal 2027 compared to the second quarter of Fiscal 2026 was due to a 340 basis point increase in selling and administrative expenses as a percentage of net sales, reflecting deleverage of expenses in the second quarter of Fiscal 2027, as a result of lower revenue. The decrease in operating margin was partially offset by a 300 basis point increase in gross margin as a percentage of net sales, reflecting decreased promotional activity and more full-priced selling. </w:t>
      </w:r>
    </w:p>
    <w:p>
      <w:pPr>
        <w:pStyle w:val="TextBody"/>
        <w:bidi w:val="0"/>
        <w:spacing w:before="200" w:after="120"/>
        <w:jc w:val="both"/>
        <w:rPr>
          <w:rFonts w:ascii="Times New Roman" w:hAnsi="Times New Roman"/>
          <w:i/>
          <w:color w:val="000000"/>
          <w:sz w:val="20"/>
        </w:rPr>
      </w:pPr>
      <w:r>
        <w:rPr>
          <w:rFonts w:ascii="Times New Roman" w:hAnsi="Times New Roman"/>
          <w:i/>
          <w:color w:val="000000"/>
          <w:sz w:val="20"/>
        </w:rPr>
        <w:t>Johnston &amp; Murphy Group</w:t>
      </w:r>
    </w:p>
    <w:tbl>
      <w:tblPr>
        <w:tblW w:w="6821" w:type="dxa"/>
        <w:jc w:val="left"/>
        <w:tblInd w:w="0" w:type="dxa"/>
        <w:tblLayout w:type="fixed"/>
        <w:tblCellMar>
          <w:top w:w="28" w:type="dxa"/>
          <w:left w:w="28" w:type="dxa"/>
          <w:bottom w:w="28" w:type="dxa"/>
          <w:right w:w="28" w:type="dxa"/>
        </w:tblCellMar>
      </w:tblPr>
      <w:tblGrid>
        <w:gridCol w:w="3046"/>
        <w:gridCol w:w="146"/>
        <w:gridCol w:w="1351"/>
        <w:gridCol w:w="146"/>
        <w:gridCol w:w="1351"/>
        <w:gridCol w:w="78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August 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2, 2025</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br/>
              <w:t>Change</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(dollars in thousands)</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$72,541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$68,789</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r>
      <w:tr>
        <w:trPr/>
        <w:tc>
          <w:tcPr>
            <w:tcW w:w="3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19,202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31,631</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53,339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37,158</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i/>
                <w:color w:val="000000"/>
                <w:sz w:val="20"/>
              </w:rPr>
            </w:pPr>
            <w:r>
              <w:rPr>
                <w:rFonts w:ascii="Times New Roman" w:hAnsi="Times New Roman"/>
                <w:b/>
                <w:i/>
                <w:color w:val="000000"/>
                <w:sz w:val="20"/>
              </w:rPr>
              <w:t>73.5%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54.0%</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40,393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38,940</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3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 of 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i/>
                <w:color w:val="000000"/>
                <w:sz w:val="20"/>
              </w:rPr>
            </w:pPr>
            <w:r>
              <w:rPr>
                <w:rFonts w:ascii="Times New Roman" w:hAnsi="Times New Roman"/>
                <w:b/>
                <w:i/>
                <w:color w:val="000000"/>
                <w:sz w:val="20"/>
              </w:rPr>
              <w:t>55.7%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56.6%</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$12,946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Johnston &amp; Murphy Group net sales increased 5.5% to $72.5 million for the second quarter of Fiscal 2027 from $68.8 million for the second quarter of Fiscal 2026. The net sales increase for the second quarter of Fiscal 2027 includes a 4% increase in comparable sales, reflecting increased store sales, a 3% increase in the average number of stores in the second quarter of Fiscal 2027 and increased wholesale sales, partially offset by decreased e-commerce comparable sales reflecting fewer catalog drops. The performance of Johnston &amp; Murphy's product assortment, both apparel and footwear, as a result of new and improved product offerings and increased brand awareness through marketing and social media campaigns contributed to increased store sales in the second quarter of Fiscal 2027. Retail operations accounted for 83.0% of Johnston &amp; Murphy Group's sales in the second quarter of Fiscal 2027, up from 82.3% in the second quarter of Fiscal 2026. The store count for Johnston &amp; Murphy Group's retail operations at the end of the second quarter of Fiscal 2027 was 153 Johnston &amp; Murphy full-price retail and factory stores, compared to 149 Johnston &amp; Murphy full-price retail and factory stores at the end of the second quarter of Fiscal 2026.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significant improvement in operating margin for Johnston &amp; Murphy Group for the second quarter of Fiscal 2027 compared to the second quarter of Fiscal 2026 was primarily due to increased gross margin as a percentage of net sales from 54.0% last year to 73.5% in the second quarter this year reflecting tariff refunds of $13.3 million for the Johnston &amp; Murphy Group, tariff mitigation actions, a favorable mix change due to lower wholesale sales and decreased shipping and warehouse expense, partially offset by increased retail markdowns. In addition, selling and administrative expenses as a percentage of net sales decreased 90 basis points for the second quarter of Fiscal 2027 compared to the second quarter of Fiscal 2026 reflecting leverage of expenses, especially marketing and credit card expense, partially offset by increased performance-based incentive compensation expense, selling salaries and occupancy expense.</w:t>
      </w:r>
    </w:p>
    <w:p>
      <w:pPr>
        <w:pStyle w:val="TextBody"/>
        <w:bidi w:val="0"/>
        <w:spacing w:before="200" w:after="120"/>
        <w:jc w:val="both"/>
        <w:rPr>
          <w:rFonts w:ascii="Times New Roman" w:hAnsi="Times New Roman"/>
          <w:i/>
          <w:color w:val="000000"/>
          <w:sz w:val="20"/>
        </w:rPr>
      </w:pPr>
      <w:r>
        <w:rPr>
          <w:rFonts w:ascii="Times New Roman" w:hAnsi="Times New Roman"/>
          <w:i/>
          <w:color w:val="000000"/>
          <w:sz w:val="20"/>
        </w:rPr>
        <w:t>Genesco Brands Group</w:t>
      </w:r>
    </w:p>
    <w:tbl>
      <w:tblPr>
        <w:tblW w:w="6836" w:type="dxa"/>
        <w:jc w:val="left"/>
        <w:tblInd w:w="0" w:type="dxa"/>
        <w:tblLayout w:type="fixed"/>
        <w:tblCellMar>
          <w:top w:w="28" w:type="dxa"/>
          <w:left w:w="28" w:type="dxa"/>
          <w:bottom w:w="28" w:type="dxa"/>
          <w:right w:w="28" w:type="dxa"/>
        </w:tblCellMar>
      </w:tblPr>
      <w:tblGrid>
        <w:gridCol w:w="3046"/>
        <w:gridCol w:w="146"/>
        <w:gridCol w:w="1351"/>
        <w:gridCol w:w="146"/>
        <w:gridCol w:w="1351"/>
        <w:gridCol w:w="796"/>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August 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2, 2025</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br/>
              <w:t>Change</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(dollars in thousands)</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$25,661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$32,392</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r>
      <w:tr>
        <w:trPr/>
        <w:tc>
          <w:tcPr>
            <w:tcW w:w="3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24,212</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17,287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8,180</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i/>
                <w:color w:val="000000"/>
                <w:sz w:val="20"/>
              </w:rPr>
            </w:pPr>
            <w:r>
              <w:rPr>
                <w:rFonts w:ascii="Times New Roman" w:hAnsi="Times New Roman"/>
                <w:b/>
                <w:i/>
                <w:color w:val="000000"/>
                <w:sz w:val="20"/>
              </w:rPr>
              <w:t>67.4%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25.3%</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8,676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7,527</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r>
      <w:tr>
        <w:trPr/>
        <w:tc>
          <w:tcPr>
            <w:tcW w:w="3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 of 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i/>
                <w:color w:val="000000"/>
                <w:sz w:val="20"/>
              </w:rPr>
            </w:pPr>
            <w:r>
              <w:rPr>
                <w:rFonts w:ascii="Times New Roman" w:hAnsi="Times New Roman"/>
                <w:b/>
                <w:i/>
                <w:color w:val="000000"/>
                <w:sz w:val="20"/>
              </w:rPr>
              <w:t>33.8%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23.2%</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$8,611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Genesco Brands Group's net sales decreased 20.8% to $25.7 million for the second quarter of Fiscal 2027 from $32.4 million for the second quarter of Fiscal 2026 primarily due to decreased sales of Levi's as we exited that business, partially offset by increased footwear sales of Dockers.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improvement in operating margin for Genesco Brands Group for the second quarter of Fiscal 2027 compared to the second quarter of Fiscal 2026 was primarily due to increased gross margin as a percentage of net sales from 25.3% last year to 67.4% in the second quarter this year reflecting tariff refunds of $8.5 million for the Genesco Brands Group, tariff mitigation efforts, higher closeout sales in the second quarter of Fiscal 2026 related to the exit of certain licenses and a favorable change in sales mix. Selling and administrative expenses increased as a percentage of net sales from 23.2% last year to 33.8% in the second quarter this year. The increase reflects deleverage of expenses as a result of decreased revenue in the second quarter of Fiscal 2027, especially increased performance-based compensation expense, other compensation expenses and royalty expense.</w:t>
      </w:r>
    </w:p>
    <w:p>
      <w:pPr>
        <w:pStyle w:val="TextBody"/>
        <w:bidi w:val="0"/>
        <w:jc w:val="left"/>
        <w:rPr>
          <w:rFonts w:ascii="Times New Roman" w:hAnsi="Times New Roman"/>
          <w:i/>
          <w:color w:val="000000"/>
          <w:sz w:val="20"/>
        </w:rPr>
      </w:pPr>
      <w:r>
        <w:rPr>
          <w:rFonts w:ascii="Times New Roman" w:hAnsi="Times New Roman"/>
          <w:i/>
          <w:color w:val="000000"/>
          <w:sz w:val="20"/>
        </w:rPr>
        <w:t>Corporate, Interest Expenses and Other Charges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Corporate and other expense for the second quarter of Fiscal 2027 was $16.9 million compared to $8.3 million for the second quarter of Fiscal 2026. Corporate expense in the second quarter of Fiscal 2027 included asset impairment and other charges of $8.9 million which included costs related to proxy contest, legal and other matters, costs associated with information technology transformation, severance and other restructuring and store restructuring. Corporate expense in the second quarter of Fiscal 2026 included asset impairment and other charges of $0.1 million for severance. The corporate expense decrease, excluding asset impairment and other charges, primarily reflects decreased compensation expense partially offset by additional information technology transformation expenses in the second quarter of Fiscal 2027 compared to the second quarter of Fiscal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Net interest decreased $1.5 million from $1.5 million in the second quarter of Fiscal 2026 to essentially zero net interest in the second quarter of Fiscal 2027 primarily reflecting decreased revolver borrowings in North America in the second quarter of Fiscal 2027 compared to the second quarter of Fiscal 2026 and increased interest income in the second quarter of Fiscal 2027 as a result of $0.7 million in interest income on tariff refunds during the second quarter this year.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Results of Operations – First Six Months of Fiscal 2027 Compared to First Six Months of Fiscal 2026</w:t>
      </w:r>
    </w:p>
    <w:p>
      <w:pPr>
        <w:pStyle w:val="TextBody"/>
        <w:bidi w:val="0"/>
        <w:jc w:val="both"/>
        <w:rPr>
          <w:rFonts w:ascii="Times New Roman" w:hAnsi="Times New Roman"/>
          <w:color w:val="000000"/>
          <w:sz w:val="20"/>
        </w:rPr>
      </w:pPr>
      <w:r>
        <w:rPr>
          <w:rFonts w:ascii="Times New Roman" w:hAnsi="Times New Roman"/>
          <w:color w:val="000000"/>
          <w:sz w:val="20"/>
        </w:rPr>
        <w:t>Our net sales were flat at $1.0 billion in the first six months of Fiscal 2027 compared to the first six months of Fiscal 2026. Net sales for the first six months this year reflects 67 net fewer stores than a year ago resulting from our ongoing footprint optimization, a 3% decrease in e-commerce comparable sales reflecting our prioritization of full-price selling at Schuh Group, and decreased wholesale sales primarily due to license exits, offset by a 2% increase in same store sales, higher sales from enlarged stores and a favorable foreign exchange impact. The Journeys Group business had a strong first six months of Fiscal 2027 with comparable sales up 3% on top of a 9% increase last year, driven by strength in the product assortment and other initiatives. Schuh Group comparable sales were down 9% for the first six months of Fiscal 2027 reflecting our decision to prioritize full-price selling. Johnston &amp; Murphy Group also had a strong first six months with comparable sales up 5% in the first six months of Fiscal 2027, driven by increased store sales due to strength in product assortment, both in apparel and footwear, benefitting from increased brand awareness through marketing and social media campaigns. By segment, Journeys Group sales increased 2%, Schuh Group sales decreased 8%, Johnston &amp; Murphy Group sales increased 6% and Genesco Brands Group sales decreased 9% in the first six months of Fiscal 2027 compared to the first six months of Fiscal 2026. Schuh Group's sales decreased 9% on a local currency basis for the first six months of Fiscal 2027.</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Gross margin increased 6.3% to $501.0 million in the first six months of Fiscal 2027 from $471.1 million in the first six months of Fiscal 2026 and increased 310 basis points as a percentage of net sales from 46.2% in the first six months of Fiscal 2026 to 49.3% in the first six months of Fiscal 2027. The overall increase in gross margin as a percentage of net sales is due primarily to increased wholesale gross margin reflecting tariff refunds, less promotional activity and higher full-price selling at Schuh Group and favorable changes in sales mix. </w:t>
      </w:r>
    </w:p>
    <w:p>
      <w:pPr>
        <w:pStyle w:val="TextBody"/>
        <w:bidi w:val="0"/>
        <w:jc w:val="both"/>
        <w:rPr>
          <w:rFonts w:ascii="Times New Roman" w:hAnsi="Times New Roman"/>
          <w:color w:val="000000"/>
          <w:sz w:val="20"/>
        </w:rPr>
      </w:pPr>
      <w:r>
        <w:rPr>
          <w:rFonts w:ascii="Times New Roman" w:hAnsi="Times New Roman"/>
          <w:color w:val="000000"/>
          <w:sz w:val="20"/>
        </w:rPr>
        <w:t>Selling and administrative expenses in the first six months of Fiscal 2027 were essentially flat at $514.0 million compared to $513.3 million in the first six months of Fiscal 2026, but increased 20 basis points as a percentage of net sales in the first six months of Fiscal 2027 compared to the first six months of Fiscal 2026 from 50.3% to 50.5%. The increase as a percentage of net sales reflects increased performance-based compensation expense and costs associated with information technology transformation, partially offset by decreased selling salaries and other expenses as a result of our ongoing cost savings initiatives.</w:t>
      </w:r>
    </w:p>
    <w:p>
      <w:pPr>
        <w:pStyle w:val="TextBody"/>
        <w:bidi w:val="0"/>
        <w:jc w:val="both"/>
        <w:rPr>
          <w:rFonts w:ascii="Times New Roman" w:hAnsi="Times New Roman"/>
          <w:color w:val="000000"/>
          <w:sz w:val="20"/>
        </w:rPr>
      </w:pPr>
      <w:r>
        <w:rPr>
          <w:rFonts w:ascii="Times New Roman" w:hAnsi="Times New Roman"/>
          <w:color w:val="000000"/>
          <w:sz w:val="20"/>
        </w:rPr>
        <w:t>Operating margin was (1.2)% in the first six months of Fiscal 2027 compared to (4.2)% in the first six months of Fiscal 2026. The overall improvement in operating margin for the first six months of Fiscal 2027 compared to the first six months of Fiscal 2026 primarily reflects increased gross margin as a percentage of net sales and a net gain in asset impairment and other charges, partially offset by a small increase in selling and administrative expenses as a percentage of net sales.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pretax loss for the first six months of Fiscal 2027 was $12.5 million compared to $45.7 million for the first six months of Fiscal 2026. The pretax loss for the first six months of Fiscal 2027 included an asset impairment and other gain of $1.2 million which included a gain of $13.4 million related to payment card interchange fee litigation, partially offset by a $6.9 million charge for costs related to proxy contest, a $3.1 million charge for store restructuring, a $1.0 million charge for other legal matters, a $0.6 million charge for costs associated with information technology transformation and a $0.6 million charge for severance and other restructuring. The pretax loss for the first six months of Fiscal 2026 included asset impairment and other charges of $0.4 million for severance.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had an effective income tax rate of 9.3% and 13.2% in the first six months of Fiscal 2027 and Fiscal 2026, respectively. The lower effective tax rate in the first six months of Fiscal 2027 compared to the first six months of Fiscal 2026 primarily reflects a lower estimated annual effective tax rate for Fiscal 2027 versus our expectation for Fiscal 2026 as of the prior year first six months due to the impact of the valuation allowance in certain jurisdictions and changes in the mix of earnings and losses among jurisdictions.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net loss in the first six months of Fiscal 2027 was $11.3 million, or $1.08 diluted loss per share, compared to a net loss of $39.7 million, or $3.82 diluted loss per share, in the first six months of Fiscal 2026.</w:t>
      </w:r>
    </w:p>
    <w:p>
      <w:pPr>
        <w:pStyle w:val="TextBody"/>
        <w:bidi w:val="0"/>
        <w:jc w:val="left"/>
        <w:rPr/>
      </w:pPr>
      <w:r>
        <w:rPr/>
        <w:t> </w:t>
      </w:r>
    </w:p>
    <w:p>
      <w:pPr>
        <w:pStyle w:val="TextBody"/>
        <w:bidi w:val="0"/>
        <w:spacing w:before="0" w:after="120"/>
        <w:jc w:val="left"/>
        <w:rPr/>
      </w:pPr>
      <w:r>
        <w:rPr/>
        <w:t> </w:t>
      </w:r>
    </w:p>
    <w:p>
      <w:pPr>
        <w:pStyle w:val="TextBody"/>
        <w:bidi w:val="0"/>
        <w:spacing w:before="0" w:after="120"/>
        <w:jc w:val="left"/>
        <w:rPr/>
      </w:pPr>
      <w:r>
        <w:rPr/>
        <w:t> </w:t>
      </w:r>
    </w:p>
    <w:p>
      <w:pPr>
        <w:pStyle w:val="TextBody"/>
        <w:bidi w:val="0"/>
        <w:spacing w:before="0" w:after="120"/>
        <w:jc w:val="left"/>
        <w:rPr/>
      </w:pPr>
      <w:r>
        <w:rPr/>
        <w:t> </w:t>
      </w:r>
    </w:p>
    <w:p>
      <w:pPr>
        <w:pStyle w:val="TextBody"/>
        <w:bidi w:val="0"/>
        <w:spacing w:before="0" w:after="120"/>
        <w:jc w:val="left"/>
        <w:rPr/>
      </w:pPr>
      <w:r>
        <w:rPr/>
        <w:t> </w:t>
      </w:r>
    </w:p>
    <w:p>
      <w:pPr>
        <w:pStyle w:val="TextBody"/>
        <w:bidi w:val="0"/>
        <w:spacing w:before="0" w:after="120"/>
        <w:jc w:val="left"/>
        <w:rPr/>
      </w:pPr>
      <w:r>
        <w:rPr/>
        <w:t> </w:t>
      </w:r>
    </w:p>
    <w:p>
      <w:pPr>
        <w:pStyle w:val="TextBody"/>
        <w:bidi w:val="0"/>
        <w:spacing w:before="0" w:after="120"/>
        <w:jc w:val="left"/>
        <w:rPr/>
      </w:pPr>
      <w:r>
        <w:rPr/>
        <w:t> </w:t>
      </w:r>
    </w:p>
    <w:p>
      <w:pPr>
        <w:pStyle w:val="TextBody"/>
        <w:bidi w:val="0"/>
        <w:spacing w:before="0" w:after="120"/>
        <w:jc w:val="left"/>
        <w:rPr/>
      </w:pPr>
      <w:r>
        <w:rPr/>
        <w:t> </w:t>
      </w:r>
    </w:p>
    <w:p>
      <w:pPr>
        <w:pStyle w:val="TextBody"/>
        <w:bidi w:val="0"/>
        <w:spacing w:before="0" w:after="120"/>
        <w:jc w:val="left"/>
        <w:rPr/>
      </w:pPr>
      <w:r>
        <w:rPr/>
        <w:t> </w:t>
      </w:r>
    </w:p>
    <w:p>
      <w:pPr>
        <w:pStyle w:val="TextBody"/>
        <w:bidi w:val="0"/>
        <w:spacing w:before="0" w:after="12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120"/>
        <w:jc w:val="left"/>
        <w:rPr/>
      </w:pPr>
      <w:r>
        <w:rPr/>
        <w:t> </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Journeys Group</w:t>
      </w:r>
    </w:p>
    <w:tbl>
      <w:tblPr>
        <w:tblW w:w="7958" w:type="dxa"/>
        <w:jc w:val="left"/>
        <w:tblInd w:w="0" w:type="dxa"/>
        <w:tblLayout w:type="fixed"/>
        <w:tblCellMar>
          <w:top w:w="28" w:type="dxa"/>
          <w:left w:w="28" w:type="dxa"/>
          <w:bottom w:w="28" w:type="dxa"/>
          <w:right w:w="28" w:type="dxa"/>
        </w:tblCellMar>
      </w:tblPr>
      <w:tblGrid>
        <w:gridCol w:w="3046"/>
        <w:gridCol w:w="146"/>
        <w:gridCol w:w="287"/>
        <w:gridCol w:w="1063"/>
        <w:gridCol w:w="331"/>
        <w:gridCol w:w="146"/>
        <w:gridCol w:w="287"/>
        <w:gridCol w:w="1063"/>
        <w:gridCol w:w="331"/>
        <w:gridCol w:w="146"/>
        <w:gridCol w:w="175"/>
        <w:gridCol w:w="561"/>
        <w:gridCol w:w="376"/>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August 1, 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2, 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b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(dollars in thousands)</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603,159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590,823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311,134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302,276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292,025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288,547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i/>
                <w:color w:val="000000"/>
                <w:sz w:val="20"/>
              </w:rPr>
            </w:pPr>
            <w:r>
              <w:rPr>
                <w:rFonts w:ascii="Times New Roman" w:hAnsi="Times New Roman"/>
                <w:b/>
                <w:i/>
                <w:color w:val="000000"/>
                <w:sz w:val="20"/>
              </w:rPr>
              <w:t>48.4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48.8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304,294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308,829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 of 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i/>
                <w:color w:val="000000"/>
                <w:sz w:val="20"/>
              </w:rPr>
            </w:pPr>
            <w:r>
              <w:rPr>
                <w:rFonts w:ascii="Times New Roman" w:hAnsi="Times New Roman"/>
                <w:b/>
                <w:i/>
                <w:color w:val="000000"/>
                <w:sz w:val="20"/>
              </w:rPr>
              <w:t>50.5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52.3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(12,269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i/>
                <w:color w:val="000000"/>
                <w:sz w:val="20"/>
              </w:rPr>
            </w:pPr>
            <w:r>
              <w:rPr>
                <w:rFonts w:ascii="Times New Roman" w:hAnsi="Times New Roman"/>
                <w:b/>
                <w:i/>
                <w:color w:val="000000"/>
                <w:sz w:val="20"/>
              </w:rPr>
              <w:t>(2.0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(3.4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Net sales from Journeys Group increased 2.1% to $603.2 million in the first six months of Fiscal 2027, compared to $590.8 million in the first six months of Fiscal 2026. The net sales increase compared to the first six months of Fiscal 2026 reflects a 3% increase in comparable sales, with increases in both stores and e-commerce channels, and higher sales from enlarged stores, partially offset by a 5% decrease in the average number of stores in the first six months of Fiscal 2027. The increased comparable sales in the first six months of Fiscal 2027 was driven by the strong performance of our 4.0 store remodels and other initiatives as well as the continued strength in Journeys Group's product assortment with brands across athletic and casual achieving healthy growth.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140 basis point improvement in operating margin for Journeys Group for the first six months of Fiscal 2027 compared to the first six months of Fiscal 2026 was primarily due to a 180 basis point decrease in selling and administrative expenses as a percentage of net sales. This improvement reflects leverage of expenses in the first six months of Fiscal 2027, especially selling salaries and demonstrates the impact of our productivity efforts, cost savings initiatives and closing underperforming stores. The increase in operating margin was partially offset by a 40 basis point decrease in gross margin as a percentage of net sales, reflecting lower initial margins as a result of changes in brand mix, partially offset by lower markdowns. </w:t>
      </w:r>
    </w:p>
    <w:p>
      <w:pPr>
        <w:pStyle w:val="TextBody"/>
        <w:bidi w:val="0"/>
        <w:spacing w:before="200" w:after="120"/>
        <w:jc w:val="both"/>
        <w:rPr>
          <w:rFonts w:ascii="Times New Roman" w:hAnsi="Times New Roman"/>
          <w:i/>
          <w:color w:val="000000"/>
          <w:sz w:val="20"/>
        </w:rPr>
      </w:pPr>
      <w:r>
        <w:rPr>
          <w:rFonts w:ascii="Times New Roman" w:hAnsi="Times New Roman"/>
          <w:i/>
          <w:color w:val="000000"/>
          <w:sz w:val="20"/>
        </w:rPr>
        <w:t>Schuh Group</w:t>
      </w:r>
    </w:p>
    <w:tbl>
      <w:tblPr>
        <w:tblW w:w="7988" w:type="dxa"/>
        <w:jc w:val="left"/>
        <w:tblInd w:w="0" w:type="dxa"/>
        <w:tblLayout w:type="fixed"/>
        <w:tblCellMar>
          <w:top w:w="28" w:type="dxa"/>
          <w:left w:w="28" w:type="dxa"/>
          <w:bottom w:w="28" w:type="dxa"/>
          <w:right w:w="28" w:type="dxa"/>
        </w:tblCellMar>
      </w:tblPr>
      <w:tblGrid>
        <w:gridCol w:w="3046"/>
        <w:gridCol w:w="146"/>
        <w:gridCol w:w="287"/>
        <w:gridCol w:w="1063"/>
        <w:gridCol w:w="361"/>
        <w:gridCol w:w="146"/>
        <w:gridCol w:w="287"/>
        <w:gridCol w:w="1063"/>
        <w:gridCol w:w="331"/>
        <w:gridCol w:w="146"/>
        <w:gridCol w:w="159"/>
        <w:gridCol w:w="577"/>
        <w:gridCol w:w="376"/>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August 1, 2026</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2, 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b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(dollars in thousands)</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204,522</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222,510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119,574</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135,150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84,948</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87,360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i/>
                <w:color w:val="000000"/>
                <w:sz w:val="20"/>
              </w:rPr>
            </w:pPr>
            <w:r>
              <w:rPr>
                <w:rFonts w:ascii="Times New Roman" w:hAnsi="Times New Roman"/>
                <w:b/>
                <w:i/>
                <w:color w:val="000000"/>
                <w:sz w:val="20"/>
              </w:rPr>
              <w:t>41.5</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39.3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92,305</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93,502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 of 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i/>
                <w:color w:val="000000"/>
                <w:sz w:val="20"/>
              </w:rPr>
            </w:pPr>
            <w:r>
              <w:rPr>
                <w:rFonts w:ascii="Times New Roman" w:hAnsi="Times New Roman"/>
                <w:b/>
                <w:i/>
                <w:color w:val="000000"/>
                <w:sz w:val="20"/>
              </w:rPr>
              <w:t>45.1</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42.0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(7,357</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Net sales from Schuh Group decreased 8.1% to $204.5 million in the first six months of Fiscal 2027 compared to $222.5 million in the first six months of Fiscal 2026. The net sales decrease for the first six months of Fiscal 2027 includes a 9% decrease in comparable sales, reflecting decreased e-commerce comparable sales and same store sales, and a 7% decrease in the average number of stores in the first six months of Fiscal 2027, partially offset by a favorable impact of $3.0 million due to changes in foreign exchange rates. We prioritized more full-priced selling with less discounts and promotions in Schuh Group during the first six months of Fiscal 2027 but this pressured sales in stores and online and especially affected the e-commerce channel which in particular attracts bargain seekers. Schuh Group's sales decreased 9% on a local currency basis for the first six months of Fiscal 2027.</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80 basis point decrease in operating margin for Schuh Group for the first six months of Fiscal 2027 compared to the first six months of Fiscal 2026 was due to a 310 basis point increase in selling and administrative expenses as a percentage of net sales, reflecting deleverage of expenses in the first six months of Fiscal 2027 as a result of lower revenue. The decrease in operating margin was partially offset by a 220 basis point increase in gross margin as a percentage of net sales, reflecting decreased promotional activity and more full-priced selling and lower shipping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and warehouse expense. In addition, the operating loss included an unfavorable impact of $0.4 million due to changes in foreign exchange rates compared to the first six months of Fiscal 2026.</w:t>
      </w:r>
    </w:p>
    <w:p>
      <w:pPr>
        <w:pStyle w:val="TextBody"/>
        <w:bidi w:val="0"/>
        <w:spacing w:before="200" w:after="120"/>
        <w:jc w:val="both"/>
        <w:rPr>
          <w:rFonts w:ascii="Times New Roman" w:hAnsi="Times New Roman"/>
          <w:i/>
          <w:color w:val="000000"/>
          <w:sz w:val="20"/>
        </w:rPr>
      </w:pPr>
      <w:r>
        <w:rPr>
          <w:rFonts w:ascii="Times New Roman" w:hAnsi="Times New Roman"/>
          <w:i/>
          <w:color w:val="000000"/>
          <w:sz w:val="20"/>
        </w:rPr>
        <w:t>Johnston &amp; Murphy Group</w:t>
      </w:r>
    </w:p>
    <w:tbl>
      <w:tblPr>
        <w:tblW w:w="7868" w:type="dxa"/>
        <w:jc w:val="left"/>
        <w:tblInd w:w="0" w:type="dxa"/>
        <w:tblLayout w:type="fixed"/>
        <w:tblCellMar>
          <w:top w:w="28" w:type="dxa"/>
          <w:left w:w="28" w:type="dxa"/>
          <w:bottom w:w="28" w:type="dxa"/>
          <w:right w:w="28" w:type="dxa"/>
        </w:tblCellMar>
      </w:tblPr>
      <w:tblGrid>
        <w:gridCol w:w="3046"/>
        <w:gridCol w:w="146"/>
        <w:gridCol w:w="287"/>
        <w:gridCol w:w="1063"/>
        <w:gridCol w:w="301"/>
        <w:gridCol w:w="146"/>
        <w:gridCol w:w="287"/>
        <w:gridCol w:w="1063"/>
        <w:gridCol w:w="331"/>
        <w:gridCol w:w="146"/>
        <w:gridCol w:w="175"/>
        <w:gridCol w:w="561"/>
        <w:gridCol w:w="316"/>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August 1, 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2, 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b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(dollars in thousands)</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153,851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145,628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56,324</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67,333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97,527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78,295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i/>
                <w:color w:val="000000"/>
                <w:sz w:val="20"/>
              </w:rPr>
            </w:pPr>
            <w:r>
              <w:rPr>
                <w:rFonts w:ascii="Times New Roman" w:hAnsi="Times New Roman"/>
                <w:b/>
                <w:i/>
                <w:color w:val="000000"/>
                <w:sz w:val="20"/>
              </w:rPr>
              <w:t>63.4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53.8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83,074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79,577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 of 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i/>
                <w:color w:val="000000"/>
                <w:sz w:val="20"/>
              </w:rPr>
            </w:pPr>
            <w:r>
              <w:rPr>
                <w:rFonts w:ascii="Times New Roman" w:hAnsi="Times New Roman"/>
                <w:b/>
                <w:i/>
                <w:color w:val="000000"/>
                <w:sz w:val="20"/>
              </w:rPr>
              <w:t>54.0</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54.6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14,453</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Johnston &amp; Murphy Group net sales increased 5.6% to $153.9 million for the first six months of Fiscal 2027 from $145.6 million for the first six months of Fiscal 2026. The net sales increase for the first six months of Fiscal 2027 includes a 5% increase in comparable sales, reflecting increased store sales, and a 3% increase in the average number of stores in the first six months of Fiscal 2027, partially offset by decreased wholesale sales. The performance of the Johnston &amp; Murphy Group product assortment, both apparel and footwear, as a result of new and improved product offerings and increased brand awareness through marketing and social media campaigns contributed to increased sales in the first six months of Fiscal 2027. Retail operations accounted for 79.1% of Johnston &amp; Murphy Group's sales in the first six months of Fiscal 2027, up from 77.3% in the first six months of Fiscal 2026.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significant improvement in operating margin for Johnston &amp; Murphy Group for the first six months of Fiscal 2027 compared to the first six months of Fiscal 2026 was primarily due to increased gross margin as a percentage of net sales from 53.8% in the first six months last year to 63.4% in the first six months this year reflecting tariff refunds of $13.3 million for the Johnston &amp; Murphy Group, a favorable mix change due to lower wholesale sales and decreased shipping and warehouse expense. In addition, selling and administrative expenses as a percentage of net sales decreased 60 basis points for the first six months of Fiscal 2027 compared to the first six months of Fiscal 2026 reflecting leverage of expenses, especially decreased marketing expense, partially offset by increased performance-based incentive compensation expense.</w:t>
      </w:r>
    </w:p>
    <w:p>
      <w:pPr>
        <w:pStyle w:val="TextBody"/>
        <w:bidi w:val="0"/>
        <w:spacing w:before="200" w:after="120"/>
        <w:jc w:val="both"/>
        <w:rPr>
          <w:rFonts w:ascii="Times New Roman" w:hAnsi="Times New Roman"/>
          <w:i/>
          <w:color w:val="000000"/>
          <w:sz w:val="20"/>
        </w:rPr>
      </w:pPr>
      <w:r>
        <w:rPr>
          <w:rFonts w:ascii="Times New Roman" w:hAnsi="Times New Roman"/>
          <w:i/>
          <w:color w:val="000000"/>
          <w:sz w:val="20"/>
        </w:rPr>
        <w:t>Genesco Brands Group</w:t>
      </w:r>
    </w:p>
    <w:tbl>
      <w:tblPr>
        <w:tblW w:w="7868" w:type="dxa"/>
        <w:jc w:val="left"/>
        <w:tblInd w:w="0" w:type="dxa"/>
        <w:tblLayout w:type="fixed"/>
        <w:tblCellMar>
          <w:top w:w="28" w:type="dxa"/>
          <w:left w:w="28" w:type="dxa"/>
          <w:bottom w:w="28" w:type="dxa"/>
          <w:right w:w="28" w:type="dxa"/>
        </w:tblCellMar>
      </w:tblPr>
      <w:tblGrid>
        <w:gridCol w:w="3046"/>
        <w:gridCol w:w="146"/>
        <w:gridCol w:w="321"/>
        <w:gridCol w:w="1029"/>
        <w:gridCol w:w="301"/>
        <w:gridCol w:w="146"/>
        <w:gridCol w:w="321"/>
        <w:gridCol w:w="1029"/>
        <w:gridCol w:w="271"/>
        <w:gridCol w:w="146"/>
        <w:gridCol w:w="175"/>
        <w:gridCol w:w="561"/>
        <w:gridCol w:w="376"/>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August 1, 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2,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b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(dollars in thousands)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55,351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60,977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28,815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44,049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26,536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i/>
                <w:color w:val="000000"/>
                <w:sz w:val="20"/>
              </w:rPr>
            </w:pPr>
            <w:r>
              <w:rPr>
                <w:rFonts w:ascii="Times New Roman" w:hAnsi="Times New Roman"/>
                <w:b/>
                <w:i/>
                <w:color w:val="000000"/>
                <w:sz w:val="20"/>
              </w:rPr>
              <w:t>47.9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27.8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16,763</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 of 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i/>
                <w:color w:val="000000"/>
                <w:sz w:val="20"/>
              </w:rPr>
            </w:pPr>
            <w:r>
              <w:rPr>
                <w:rFonts w:ascii="Times New Roman" w:hAnsi="Times New Roman"/>
                <w:b/>
                <w:i/>
                <w:color w:val="000000"/>
                <w:sz w:val="20"/>
              </w:rPr>
              <w:t>30.3</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25.5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9,773</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Genesco Brands Group's net sales decreased 9.2% to $55.4 million for the first six months of Fiscal 2027 from $61.0 million for the first six months of Fiscal 2026 primarily due to decreased sales of Levi's as we exited that business, partially offset by increased footwear sales of Dockers and private label products.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improvement in operating margin for Genesco Brands Group for the first six months of Fiscal 2027 compared to the first six months of Fiscal 2026 was primarily due to increased gross margin as a percentage of net sales from 27.8% in the first six months last year to 47.9% in the first six months this year reflecting tariff refunds of $8.5 million for the Genesco Brands Group, tariff mitigation efforts, higher closeout sales in the first six months of Fiscal 2026 related to the exit of certain licenses and a favorable change in sales mix. Selling and administrative expenses increased as a percentage of net sales from 25.5% in the first six months last year to 30.3% in the first six months this year. The increase reflects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deleverage of expenses as a result of decreased revenue in the first six months of Fiscal 2027, especially increased royalty expense, performance-based compensation expense and other compensation expense, partially offset by decreased shipping and warehouse and freight expenses. </w:t>
      </w:r>
    </w:p>
    <w:p>
      <w:pPr>
        <w:pStyle w:val="TextBody"/>
        <w:bidi w:val="0"/>
        <w:jc w:val="both"/>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Corporate, Interest Expenses and Other Charges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Corporate and other expense for the first six months of Fiscal 2027 was $16.4 million compared to $16.2 million for the first six months of Fiscal 2026. Corporate expenses in the first six months of Fiscal 2027 included an asset impairment and other gain of $1.2 million which included a gain from payment card interchange fee litigation, partially offset by costs related to proxy contest, other legal matters, store restructuring charges, costs associated with information technology transformation and severance and other restructuring. Corporate expense in the first six months of Fiscal 2026 included asset impairment and other charges of $0.4 million for severance. The corporate expense increase, excluding asset impairment and other charges, reflects additional information technology transformation expenses and increased performance-based incentive compensation expense, partially offset by lower professional fees and other expenses in the first six months of Fiscal 2027 compared to the first six months of Fiscal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Net interest decreased $2.6 million to $0.2 million in the first six months of Fiscal 2027 compared to $2.8 million in the first six months of Fiscal 2026 primarily reflecting decreased revolver borrowings in North America in the first six months of Fiscal 2027 compared to the first six months of Fiscal 2026 and increased interest income in the first six months of Fiscal 2027 as a result of $0.7 million in interest income on tariff refunds and increased investments during the first six months this year.</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00" w:after="283"/>
        <w:jc w:val="both"/>
        <w:rPr>
          <w:rFonts w:ascii="Times New Roman" w:hAnsi="Times New Roman"/>
          <w:sz w:val="20"/>
        </w:rPr>
      </w:pPr>
      <w:r>
        <w:rPr>
          <w:rFonts w:ascii="Times New Roman" w:hAnsi="Times New Roman"/>
          <w:i/>
          <w:color w:val="000000"/>
          <w:sz w:val="20"/>
        </w:rPr>
        <w:t>Working Capital</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business is seasonal, with our investment in working capital normally reaching peaks in the summer and fall of each year in anticipation of the back-to-school and holiday selling seasons. Historically, cash flows from operations typically have been generated principally in the fourth quarter of each fiscal year.</w:t>
      </w:r>
    </w:p>
    <w:p>
      <w:pPr>
        <w:pStyle w:val="TextBody"/>
        <w:bidi w:val="0"/>
        <w:spacing w:before="200" w:after="283"/>
        <w:jc w:val="both"/>
        <w:rPr/>
      </w:pPr>
      <w:r>
        <w:rPr/>
        <w:t> </w:t>
      </w:r>
    </w:p>
    <w:tbl>
      <w:tblPr>
        <w:tblW w:w="8452" w:type="dxa"/>
        <w:jc w:val="left"/>
        <w:tblInd w:w="0" w:type="dxa"/>
        <w:tblLayout w:type="fixed"/>
        <w:tblCellMar>
          <w:top w:w="28" w:type="dxa"/>
          <w:left w:w="28" w:type="dxa"/>
          <w:bottom w:w="28" w:type="dxa"/>
          <w:right w:w="28" w:type="dxa"/>
        </w:tblCellMar>
      </w:tblPr>
      <w:tblGrid>
        <w:gridCol w:w="4321"/>
        <w:gridCol w:w="146"/>
        <w:gridCol w:w="1351"/>
        <w:gridCol w:w="146"/>
        <w:gridCol w:w="1351"/>
        <w:gridCol w:w="146"/>
        <w:gridCol w:w="99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r>
      <w:tr>
        <w:trPr/>
        <w:tc>
          <w:tcPr>
            <w:tcW w:w="4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 changes: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August 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2,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Increase</w:t>
              <w:br/>
              <w:t>(Decrease)</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5" w:type="dxa"/>
            <w:gridSpan w:val="5"/>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$(26,397)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$(11,704)</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(31,743)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(44,837)</w:t>
            </w:r>
          </w:p>
        </w:tc>
      </w:tr>
      <w:tr>
        <w:trPr/>
        <w:tc>
          <w:tcPr>
            <w:tcW w:w="4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foreign exchange rate fluctuations on cash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r>
      <w:tr>
        <w:trPr/>
        <w:tc>
          <w:tcPr>
            <w:tcW w:w="4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$(48,272)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$(55,254)</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Reasons for the major variances in cash provided by (used in) the table above are as follows: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Cash used in operating activities was $11.7 million higher in the first six months of Fiscal 2027 compared to the first six months of Fiscal 2026, reflecting primarily the following factors: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 $52.3 million decrease in cash flow from changes in prepaids and other current assets, primarily reflecting the receipt of a $58.3 million income tax refund receivable in the first six months of Fiscal 2026; and</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 $37.2 million decrease in cash flow from changes in inventory, primarily reflecting a $107.4 million increase in inventory in the first six months of Fiscal 2027 compared to a $70.1 million increase in inventory in the first six months of Fiscal 2026; partially offset by</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a $28.4 million increase in net earnings primarily due to the $22.5 million tariff refund, including interest, in the first six months of Fiscal 2027;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a $35.2 million increase in cash flow from changes in accounts payable, primarily reflecting changes in timing of rent payments and changes in buying and receipt patterns in the first six months of Fiscal 2027 compared to the first six months of Fiscal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Cash used in investing activities was $1.8 million lower for the first six months of Fiscal 2027 as compared to the first six months of Fiscal 2026 reflecting decreased capital expenditures primarily related to omni-channel capabilities, partially offset by increased investments in retail stores.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Cash provided by financing activities was $44.8 million lower in the first six months of Fiscal 2027 as compared to the first six months of Fiscal 2026 primarily reflecting decreased net borrowings, partially offset by decreased share repurchases.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Sources of Liquidity and Future Capital Needs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have three principal sources of liquidity: cash flow from operations, cash on hand and our credit facilities discussed in Item 8, Note 8, "Long-Term Debt", to our Consolidated Financial Statements included in our Annual Report on Form 10-K for Fiscal 2026.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August 1, 2026, we have borrowed $9.1 million (CAD $12.7 million) revolver borrowings related to GCO Canada ULC and $6.7 million (£5.0 million) related to Schuh revolver borrowings. We were in compliance with all the relevant terms and conditions of the Credit Facility and the Facility Agreement as of August 1, 2026.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believe that cash on hand, cash provided by operations and borrowings under our Credit Facility and the Facility Agreement will be sufficient to support our liquidity needs in Fiscal 2027 and the foreseeable future.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addition, as discussed in Item 1, Note 7, “Legal Proceedings,” to our Condensed Consolidated Financial Statements included in this Quarterly Report on Form 10-Q, we received tariff refunds of $21.8 million, not including interest, related to tariffs previously collected under IEEPA. </w:t>
      </w:r>
    </w:p>
    <w:p>
      <w:pPr>
        <w:pStyle w:val="TextBody"/>
        <w:bidi w:val="0"/>
        <w:spacing w:before="200" w:after="283"/>
        <w:jc w:val="both"/>
        <w:rPr>
          <w:rFonts w:ascii="Times New Roman" w:hAnsi="Times New Roman"/>
          <w:sz w:val="20"/>
        </w:rPr>
      </w:pPr>
      <w:r>
        <w:rPr>
          <w:rFonts w:ascii="Times New Roman" w:hAnsi="Times New Roman"/>
          <w:i/>
          <w:color w:val="000000"/>
          <w:sz w:val="20"/>
        </w:rPr>
        <w:t>Contractual Obligations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contractual obligations at August 1, 2026 increased 13% compared to January 31, 2026, primarily due to increased lease obligations and long-term debt.</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Capital Expenditures</w:t>
      </w:r>
    </w:p>
    <w:p>
      <w:pPr>
        <w:pStyle w:val="TextBody"/>
        <w:bidi w:val="0"/>
        <w:spacing w:before="200" w:after="283"/>
        <w:jc w:val="both"/>
        <w:rPr>
          <w:rFonts w:ascii="Times New Roman" w:hAnsi="Times New Roman"/>
          <w:sz w:val="20"/>
        </w:rPr>
      </w:pPr>
      <w:r>
        <w:rPr>
          <w:rFonts w:ascii="Times New Roman" w:hAnsi="Times New Roman"/>
          <w:color w:val="000000"/>
          <w:sz w:val="20"/>
        </w:rPr>
        <w:t>Total capital expenditures in Fiscal 2027 are expected to be approximately $65 to $70 million of which approximately 95%</w:t>
      </w:r>
      <w:r>
        <w:rPr>
          <w:rFonts w:ascii="Times New Roman" w:hAnsi="Times New Roman"/>
          <w:color w:val="FF0000"/>
          <w:sz w:val="20"/>
        </w:rPr>
        <w:t xml:space="preserve"> </w:t>
      </w:r>
      <w:r>
        <w:rPr>
          <w:rFonts w:ascii="Times New Roman" w:hAnsi="Times New Roman"/>
          <w:color w:val="000000"/>
          <w:sz w:val="20"/>
        </w:rPr>
        <w:t>is for new stores and renovations and 5% is for other initiatives. We do not currently have any longer-term capital expenditures or other cash requirements other than as set forth above and in the contractual obligations table as disclosed in Item 7 of our Annual Report on Form 10-K for the fiscal year ended January 31, 2026. We also do not currently have any off-balance sheet arrangements.</w:t>
      </w:r>
    </w:p>
    <w:p>
      <w:pPr>
        <w:pStyle w:val="TextBody"/>
        <w:bidi w:val="0"/>
        <w:spacing w:before="200" w:after="283"/>
        <w:jc w:val="both"/>
        <w:rPr>
          <w:rFonts w:ascii="Times New Roman" w:hAnsi="Times New Roman"/>
          <w:sz w:val="20"/>
        </w:rPr>
      </w:pPr>
      <w:r>
        <w:rPr>
          <w:rFonts w:ascii="Times New Roman" w:hAnsi="Times New Roman"/>
          <w:i/>
          <w:color w:val="000000"/>
          <w:sz w:val="20"/>
        </w:rPr>
        <w:t>Common Stock Repurchases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did not repurchase any shares of our common stock during the second quarter and first six months of Fiscal 2027. We repurchased 604,531 shares of our common stock during the first six months of Fiscal 2026 at a cost of $12.6 million, or an average cost of $20.79 per share. We had $29.8 million remaining as of August 1, 2026 under our expanded share repurchase authorization announced in June 2023. During the third quarter of Fiscal 2027, through September 9, 2026, we have repurchased 317,503 shares of our common stock at a cost of $11.0 million, or an average cost of $34.65 per share. As of September 9, 2026, we have $18.8 million remaining under our expanded share repurchase authorization. We continue to view share repurchases as an important component of our balanced capital allocation strategy and are committed to deploying excess capital.</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Environmental and Other Contingencies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subject to certain loss contingencies related to environmental proceedings and other legal matters, including those disclosed in Item 1, Note 7, "Legal Proceedings", to our Condensed Consolidated Financial Statements included in this Quarterly Report on Form 10-Q.</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New Accounting Pronouncements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Descriptions of recently issued accounting pronouncements, if any, and the accounting pronouncements adopted by us during the second quarter of Fiscal 2027 are included in Note 1 to our Condensed Consolidated Financial Statements included in this Quarterly Report on Form 10-Q.</w:t>
      </w:r>
    </w:p>
    <w:p>
      <w:pPr>
        <w:pStyle w:val="TextBody"/>
        <w:bidi w:val="0"/>
        <w:spacing w:before="20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b/>
          <w:color w:val="000000"/>
          <w:sz w:val="20"/>
        </w:rPr>
      </w:pPr>
      <w:bookmarkStart w:id="12" w:name="item_3_quantitative_qualitative_disclosu"/>
      <w:bookmarkEnd w:id="12"/>
      <w:r>
        <w:rPr>
          <w:rFonts w:ascii="Times New Roman" w:hAnsi="Times New Roman"/>
          <w:b/>
          <w:color w:val="000000"/>
          <w:sz w:val="20"/>
        </w:rPr>
        <w:t>Item 3. Quantitative and Qualitative Disclosures about Market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incorporate by reference the information regarding market risk appearing in Item 7, “Management’s Discussion and Analysis of Financial Condition and Results of Operations” under the heading “Financial Market Risk” in our Annual Report on Form 10-K for the fiscal year ended January 31, 2026. There have been no material changes to our exposure to market risks from those disclosed in the Annual Report on Form 10-K for the fiscal year ended January 31, 2026.</w:t>
      </w:r>
    </w:p>
    <w:p>
      <w:pPr>
        <w:pStyle w:val="TextBody"/>
        <w:bidi w:val="0"/>
        <w:spacing w:before="200" w:after="283"/>
        <w:jc w:val="both"/>
        <w:rPr>
          <w:rFonts w:ascii="Times New Roman" w:hAnsi="Times New Roman"/>
          <w:sz w:val="20"/>
        </w:rPr>
      </w:pPr>
      <w:bookmarkStart w:id="13" w:name="item_4_controls_procedures"/>
      <w:bookmarkEnd w:id="13"/>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established disclosure controls and procedures designed to ensure that information required to be disclosed by us, including our consolidated subsidiaries, in the reports we file or submit under the Securities Exchange Act of 1934, as amended (the "Exchange Act"), is made known to the officers who certify our financial reports and to other members of senior management. Any controls and procedures, no matter how well designed and operated, can provide only reasonable assurance of achieving desired objectives.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their evaluation as of August 1, 2026, the principal executive officer and principal financial officer of the Company have concluded that our disclosure controls and procedures (as defined in Rules 13a-15(e) and 15d-15(e) promulgated under the Exchange Act) were effective to ensure that the information required to be disclosed by us in the reports that we file or submit under the Exchange Act is (i) recorded, processed, summarized and reported within time periods specified in SEC rules and forms and (ii) accumulated and communicated to our management, including our principal executive officer and principal financial officer, to allow timely decisions regarding required disclosure.</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were no changes in our internal control over financial reporting that occurred during our second quarter of Fiscal 2027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2"/>
        </w:rPr>
      </w:pPr>
      <w:bookmarkStart w:id="14" w:name="part_ii_or_information"/>
      <w:bookmarkEnd w:id="14"/>
      <w:r>
        <w:rPr>
          <w:rFonts w:ascii="Times New Roman" w:hAnsi="Times New Roman"/>
          <w:b/>
          <w:color w:val="000000"/>
          <w:sz w:val="22"/>
        </w:rPr>
        <w:t>PART II - OTHER INFORMATION</w:t>
      </w:r>
    </w:p>
    <w:p>
      <w:pPr>
        <w:pStyle w:val="TextBody"/>
        <w:bidi w:val="0"/>
        <w:spacing w:before="240" w:after="283"/>
        <w:jc w:val="both"/>
        <w:rPr>
          <w:rFonts w:ascii="Times New Roman" w:hAnsi="Times New Roman"/>
          <w:sz w:val="20"/>
        </w:rPr>
      </w:pPr>
      <w:bookmarkStart w:id="15" w:name="item_1_legal_proceedings"/>
      <w:bookmarkEnd w:id="15"/>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incorporate by reference the information regarding legal proceedings in Item 1, Note 7, “Legal Proceedings”, to our Condensed Consolidated Financial Statements included in this Quarterly Report on Form 10-Q.</w:t>
      </w:r>
    </w:p>
    <w:p>
      <w:pPr>
        <w:pStyle w:val="TextBody"/>
        <w:bidi w:val="0"/>
        <w:spacing w:before="200" w:after="283"/>
        <w:jc w:val="both"/>
        <w:rPr>
          <w:rFonts w:ascii="Times New Roman" w:hAnsi="Times New Roman"/>
          <w:sz w:val="20"/>
        </w:rPr>
      </w:pPr>
      <w:bookmarkStart w:id="16" w:name="item_1a_risk_factors"/>
      <w:bookmarkEnd w:id="16"/>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Reference is made to the factors set forth under the caption “Cautionary Notice Regarding Forward-Looking Statements” in this Quarterly Report on Form 10-Q and other risk factors described in our Annual Report on Form 10-K for the fiscal year ended January 31, 2026, which are incorporated herein by reference. There have not been any material changes to the risk factors previously disclosed in our Annual Report on Form 10-K for the year ended January 31,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You should carefully consider these risk factors, all or any of which could materially affect our business, financial condition or future results. The risks described in this report and in our Annual Report are not the only risks facing our Company. Additional risks and uncertainties not currently known to us or that we currently deem to be immaterial also may materially adversely affect our business, financial condition and/or operating results.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sz w:val="20"/>
        </w:rPr>
      </w:pPr>
      <w:bookmarkStart w:id="17" w:name="item_2_unregistered_sales"/>
      <w:bookmarkEnd w:id="17"/>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u w:val="single"/>
        </w:rPr>
        <w:t>Repurchases</w:t>
      </w:r>
      <w:r>
        <w:rPr>
          <w:rFonts w:ascii="Times New Roman" w:hAnsi="Times New Roman"/>
          <w:color w:val="000000"/>
          <w:sz w:val="20"/>
        </w:rPr>
        <w:t xml:space="preserve"> (shown in thousands except share and per share amounts):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079"/>
        <w:gridCol w:w="286"/>
        <w:gridCol w:w="1330"/>
        <w:gridCol w:w="249"/>
        <w:gridCol w:w="418"/>
        <w:gridCol w:w="1132"/>
        <w:gridCol w:w="249"/>
        <w:gridCol w:w="532"/>
        <w:gridCol w:w="1266"/>
        <w:gridCol w:w="249"/>
        <w:gridCol w:w="526"/>
        <w:gridCol w:w="1691"/>
        <w:gridCol w:w="198"/>
      </w:tblGrid>
      <w:tr>
        <w:trPr/>
        <w:tc>
          <w:tcPr>
            <w:tcW w:w="207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0007"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ISSUER PURCHASES OF EQUITY SECURITIES</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Period</w:t>
            </w:r>
          </w:p>
        </w:tc>
        <w:tc>
          <w:tcPr>
            <w:tcW w:w="16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 Total</w:t>
              <w:br/>
              <w:t>Number of</w:t>
              <w:br/>
              <w:t>Shares</w:t>
              <w:br/>
              <w:t>Purchased</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 Average</w:t>
              <w:br/>
              <w:t>Price</w:t>
              <w:br/>
              <w:t>Paid</w:t>
              <w:br/>
              <w:t>per Share</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 Total</w:t>
              <w:br/>
              <w:t>Number of</w:t>
              <w:br/>
              <w:t>Shares</w:t>
              <w:br/>
              <w:t xml:space="preserve">Purchased </w:t>
              <w:br/>
              <w:t>as Part</w:t>
              <w:br/>
              <w:t>of Publicly</w:t>
              <w:br/>
              <w:t>Announced</w:t>
              <w:br/>
              <w:t>Plans or</w:t>
              <w:br/>
              <w:t>Programs</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 Maximum</w:t>
              <w:br/>
              <w:t>Number</w:t>
              <w:br/>
              <w:t>(or Approximate</w:t>
              <w:br/>
              <w:t>Dollar Value)</w:t>
              <w:br/>
              <w:t>of Shares that</w:t>
              <w:br/>
              <w:t>May Yet Be</w:t>
              <w:br/>
              <w:t>Purchased</w:t>
              <w:br/>
              <w:t>Under the</w:t>
              <w:br/>
              <w:t>Plans or</w:t>
              <w:br/>
              <w:t>Programs</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2026</w:t>
            </w:r>
          </w:p>
        </w:tc>
        <w:tc>
          <w:tcPr>
            <w:tcW w:w="16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9"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5-3-26 to 5-30-26 </w:t>
            </w:r>
            <w:r>
              <w:rPr>
                <w:rFonts w:ascii="Times New Roman" w:hAnsi="Times New Roman"/>
                <w:color w:val="000000"/>
                <w:sz w:val="13"/>
              </w:rPr>
              <w:t>(1)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29,755</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2026</w:t>
            </w:r>
          </w:p>
        </w:tc>
        <w:tc>
          <w:tcPr>
            <w:tcW w:w="16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9"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5-31-26 to 6-27-26 </w:t>
            </w:r>
            <w:r>
              <w:rPr>
                <w:rFonts w:ascii="Times New Roman" w:hAnsi="Times New Roman"/>
                <w:color w:val="000000"/>
                <w:sz w:val="13"/>
              </w:rPr>
              <w:t>(1)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29,755</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9"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5-31-26 to 6-27-26 </w:t>
            </w:r>
            <w:r>
              <w:rPr>
                <w:rFonts w:ascii="Times New Roman" w:hAnsi="Times New Roman"/>
                <w:color w:val="000000"/>
                <w:sz w:val="13"/>
              </w:rPr>
              <w:t>(2)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12,017</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36.34</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2026</w:t>
            </w:r>
          </w:p>
        </w:tc>
        <w:tc>
          <w:tcPr>
            <w:tcW w:w="16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9"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6-28-26 to 8-1-26 </w:t>
            </w:r>
            <w:r>
              <w:rPr>
                <w:rFonts w:ascii="Times New Roman" w:hAnsi="Times New Roman"/>
                <w:color w:val="000000"/>
                <w:sz w:val="13"/>
              </w:rPr>
              <w:t>(1)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29,755</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9"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6-28-26 to 8-1-26 </w:t>
            </w:r>
            <w:r>
              <w:rPr>
                <w:rFonts w:ascii="Times New Roman" w:hAnsi="Times New Roman"/>
                <w:color w:val="000000"/>
                <w:sz w:val="13"/>
              </w:rPr>
              <w:t>(2)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36.76</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0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12,519</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36.36</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29,755</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007" w:type="dxa"/>
            <w:gridSpan w:val="12"/>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In February 2022, a $100.0 million share repurchase program was approved by the Board of Directors and announced in February 2022, and in June 2023, the Board of Directors approved an additional $50.0 million for share repurchases. We expect to implement the balance of the repurchase program through purchases made from time to time either in the open market or through private transactions, in accordance with the regulations of the SEC and other applicable legal requirements. The timing and amount of any shares repurchased under the program will depend on a variety of factors, including price, corporate and regulatory requirements, capital availability, and other market conditions. The repurchase program may be limited, temporarily paused, or terminated by our Board of Directors at any time without prior notice.</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07" w:type="dxa"/>
            <w:gridSpan w:val="12"/>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13"/>
              </w:rPr>
              <w:t>(2)</w:t>
            </w:r>
            <w:r>
              <w:rPr>
                <w:rFonts w:ascii="Times New Roman" w:hAnsi="Times New Roman"/>
                <w:color w:val="000000"/>
                <w:sz w:val="20"/>
              </w:rPr>
              <w:t> These shares represent shares withheld from vested restricted stock to satisfy the minimum withholding requirement for federal and state taxes.</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5. Other Information</w:t>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Insider Trading Arrangements</w:t>
      </w:r>
    </w:p>
    <w:p>
      <w:pPr>
        <w:pStyle w:val="TextBody"/>
        <w:bidi w:val="0"/>
        <w:jc w:val="left"/>
        <w:rPr/>
      </w:pPr>
      <w:r>
        <w:rPr/>
        <w:t> </w:t>
      </w:r>
    </w:p>
    <w:p>
      <w:pPr>
        <w:pStyle w:val="TextBody"/>
        <w:bidi w:val="0"/>
        <w:jc w:val="both"/>
        <w:rPr>
          <w:rFonts w:ascii="Times New Roman" w:hAnsi="Times New Roman"/>
          <w:color w:val="000000"/>
          <w:sz w:val="20"/>
        </w:rPr>
      </w:pPr>
      <w:bookmarkStart w:id="18" w:name="item_5_other_information"/>
      <w:bookmarkEnd w:id="18"/>
      <w:r>
        <w:rPr>
          <w:rFonts w:ascii="Times New Roman" w:hAnsi="Times New Roman"/>
          <w:color w:val="000000"/>
          <w:sz w:val="20"/>
        </w:rPr>
        <w:t>During the second quarter of Fiscal 2027, no director or officer (as defined in Section 16 of the Exchange Act) of the Company adopted or terminated any "Rule 10b5-1 trading arrangement" or "non-Rule 10b5-1 trading arrangement" (in each case, as defined in Item 408 (a) and (c) of Regulation S-K).</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08"/>
        <w:gridCol w:w="176"/>
        <w:gridCol w:w="9221"/>
      </w:tblGrid>
      <w:tr>
        <w:trPr/>
        <w:tc>
          <w:tcPr>
            <w:tcW w:w="8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9221" w:type="dxa"/>
            <w:tcBorders/>
            <w:vAlign w:val="center"/>
          </w:tcPr>
          <w:p>
            <w:pPr>
              <w:pStyle w:val="TableContents"/>
              <w:bidi w:val="0"/>
              <w:spacing w:before="0" w:after="283"/>
              <w:jc w:val="left"/>
              <w:rPr>
                <w:sz w:val="4"/>
                <w:szCs w:val="4"/>
              </w:rPr>
            </w:pPr>
            <w:r>
              <w:rPr>
                <w:sz w:val="4"/>
                <w:szCs w:val="4"/>
              </w:rPr>
            </w:r>
          </w:p>
        </w:tc>
      </w:tr>
      <w:tr>
        <w:trPr/>
        <w:tc>
          <w:tcPr>
            <w:tcW w:w="8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Index</w:t>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ind w:left="0" w:right="0" w:firstLine="30"/>
              <w:jc w:val="left"/>
              <w:rPr/>
            </w:pPr>
            <w:r>
              <w:rPr/>
              <w:t> </w:t>
            </w:r>
          </w:p>
        </w:tc>
      </w:tr>
      <w:tr>
        <w:trPr/>
        <w:tc>
          <w:tcPr>
            <w:tcW w:w="808"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10.1*</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9221"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gco-ex10_1.htm">
              <w:r>
                <w:rPr>
                  <w:rStyle w:val="InternetLink"/>
                  <w:rFonts w:ascii="Times New Roman" w:hAnsi="Times New Roman"/>
                  <w:color w:val="0000FF"/>
                  <w:sz w:val="20"/>
                  <w:u w:val="single"/>
                </w:rPr>
                <w:t>Transition Agreement, dated as of August 5, 2026, by and between the Company and Parag D. Desai.</w:t>
              </w:r>
            </w:hyperlink>
          </w:p>
        </w:tc>
      </w:tr>
      <w:tr>
        <w:trPr/>
        <w:tc>
          <w:tcPr>
            <w:tcW w:w="808"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922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808"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31.1</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9221"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gco-ex31_1.htm">
              <w:r>
                <w:rPr>
                  <w:rStyle w:val="InternetLink"/>
                  <w:rFonts w:ascii="Times New Roman" w:hAnsi="Times New Roman"/>
                  <w:color w:val="0000FF"/>
                  <w:sz w:val="20"/>
                  <w:u w:val="single"/>
                </w:rPr>
                <w:t>Certification of the Chief Executive Officer Pursuant to Section 302 of the Sarbanes-Oxley Act of 2002.</w:t>
              </w:r>
            </w:hyperlink>
          </w:p>
        </w:tc>
      </w:tr>
      <w:tr>
        <w:trPr/>
        <w:tc>
          <w:tcPr>
            <w:tcW w:w="808"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922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808"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31.2</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9221"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gco-ex31_2.htm">
              <w:r>
                <w:rPr>
                  <w:rStyle w:val="InternetLink"/>
                  <w:rFonts w:ascii="Times New Roman" w:hAnsi="Times New Roman"/>
                  <w:color w:val="0000FF"/>
                  <w:sz w:val="20"/>
                  <w:u w:val="single"/>
                </w:rPr>
                <w:t>Certification of the Chief Financial Officer Pursuant to Section 302 of the Sarbanes-Oxley Act of 2002.</w:t>
              </w:r>
            </w:hyperlink>
          </w:p>
        </w:tc>
      </w:tr>
      <w:tr>
        <w:trPr/>
        <w:tc>
          <w:tcPr>
            <w:tcW w:w="808"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922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808"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32.1</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9221"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gco-ex32_1.htm">
              <w:r>
                <w:rPr>
                  <w:rStyle w:val="InternetLink"/>
                  <w:rFonts w:ascii="Times New Roman" w:hAnsi="Times New Roman"/>
                  <w:color w:val="0000FF"/>
                  <w:sz w:val="20"/>
                  <w:u w:val="single"/>
                </w:rPr>
                <w:t>Certification of the Chief Executive Officer Pursuant to 18 U.S.C. Section 1350, as Adopted Pursuant to Section 906 of the Sarbanes-Oxley Act of 2002.</w:t>
              </w:r>
            </w:hyperlink>
          </w:p>
        </w:tc>
      </w:tr>
      <w:tr>
        <w:trPr/>
        <w:tc>
          <w:tcPr>
            <w:tcW w:w="808"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922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808"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32.2</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9221"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gco-ex32_2.htm">
              <w:r>
                <w:rPr>
                  <w:rStyle w:val="InternetLink"/>
                  <w:rFonts w:ascii="Times New Roman" w:hAnsi="Times New Roman"/>
                  <w:color w:val="0000FF"/>
                  <w:sz w:val="20"/>
                  <w:u w:val="single"/>
                </w:rPr>
                <w:t>Certification of the Chief Financial Officer Pursuant to 18 U.S.C. Section 1350, as Adopted Pursuant to Section 906 of the Sarbanes-Oxley Act of 2002.</w:t>
              </w:r>
            </w:hyperlink>
          </w:p>
        </w:tc>
      </w:tr>
      <w:tr>
        <w:trPr/>
        <w:tc>
          <w:tcPr>
            <w:tcW w:w="808"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922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808"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101</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922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The following materials from Genesco Inc.'s Quarterly Report on Form 10-Q for the quarter ended August 1, 2026, formatted in Inline XBRL (eXtensible Business Reporting Language): (i) Condensed Consolidated Balance Sheets at August 1, 2026, January 31, 2026 and August 2, 2025, (ii) Condensed Consolidated Statements of Operations for each of the three and six months ended August 1, 2026 and August 2, 2025, (iii) Condensed Consolidated Statements of Comprehensive Income (Loss) for each of the three and six months ended August 1, 2026 and August 2, 2025, (iv) Condensed Consolidated Statements of Cash Flows for the six months ended August 1, 2026 and August 2, 2025, (v) Condensed Consolidated Statements of Equity for each of the three and six months ended August 1, 2026 and August 2, 2025, and (vi) Notes to the Condensed Consolidated Financial Statements.</w:t>
            </w:r>
          </w:p>
        </w:tc>
      </w:tr>
      <w:tr>
        <w:trPr/>
        <w:tc>
          <w:tcPr>
            <w:tcW w:w="808"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922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808"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104</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922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r>
        <w:trPr/>
        <w:tc>
          <w:tcPr>
            <w:tcW w:w="808"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922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808"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922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*Certain terms of this agreement have been redacted in accordance with Regulation S-K Item 601 (b) (10).</w:t>
            </w:r>
          </w:p>
        </w:tc>
      </w:tr>
    </w:tbl>
    <w:p>
      <w:pPr>
        <w:pStyle w:val="TextBody"/>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
      <w:bookmarkEnd w:id="20"/>
      <w:r>
        <w:rPr>
          <w:rFonts w:ascii="Times New Roman" w:hAnsi="Times New Roman"/>
          <w:b/>
          <w:color w:val="000000"/>
          <w:sz w:val="20"/>
        </w:rPr>
        <w:t>SIGNATURE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200" w:after="283"/>
        <w:jc w:val="both"/>
        <w:rPr/>
      </w:pPr>
      <w:r>
        <w:rPr/>
        <w:t> </w:t>
      </w:r>
    </w:p>
    <w:tbl>
      <w:tblPr>
        <w:tblW w:w="5960" w:type="dxa"/>
        <w:jc w:val="left"/>
        <w:tblInd w:w="0" w:type="dxa"/>
        <w:tblLayout w:type="fixed"/>
        <w:tblCellMar>
          <w:top w:w="28" w:type="dxa"/>
          <w:left w:w="28" w:type="dxa"/>
          <w:bottom w:w="28" w:type="dxa"/>
          <w:right w:w="28" w:type="dxa"/>
        </w:tblCellMar>
      </w:tblPr>
      <w:tblGrid>
        <w:gridCol w:w="191"/>
        <w:gridCol w:w="513"/>
        <w:gridCol w:w="184"/>
        <w:gridCol w:w="137"/>
        <w:gridCol w:w="1788"/>
        <w:gridCol w:w="3147"/>
      </w:tblGrid>
      <w:tr>
        <w:trPr/>
        <w:tc>
          <w:tcPr>
            <w:tcW w:w="19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3147" w:type="dxa"/>
            <w:tcBorders/>
            <w:vAlign w:val="center"/>
          </w:tcPr>
          <w:p>
            <w:pPr>
              <w:pStyle w:val="TableContents"/>
              <w:bidi w:val="0"/>
              <w:spacing w:before="0" w:after="283"/>
              <w:jc w:val="left"/>
              <w:rPr>
                <w:sz w:val="4"/>
                <w:szCs w:val="4"/>
              </w:rPr>
            </w:pPr>
            <w:r>
              <w:rPr>
                <w:sz w:val="4"/>
                <w:szCs w:val="4"/>
              </w:rPr>
            </w:r>
          </w:p>
        </w:tc>
      </w:tr>
      <w:tr>
        <w:trPr/>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tcMar>
              <w:top w:w="0" w:type="dxa"/>
              <w:left w:w="0" w:type="dxa"/>
              <w:bottom w:w="0" w:type="dxa"/>
              <w:right w:w="0" w:type="dxa"/>
            </w:tcMar>
            <w:vAlign w:val="center"/>
          </w:tcPr>
          <w:p>
            <w:pPr>
              <w:pStyle w:val="TableContents"/>
              <w:bidi w:val="0"/>
              <w:spacing w:before="0" w:after="283"/>
              <w:jc w:val="left"/>
              <w:rPr/>
            </w:pPr>
            <w:r>
              <w:rPr/>
              <w:t> </w:t>
            </w:r>
          </w:p>
        </w:tc>
        <w:tc>
          <w:tcPr>
            <w:tcW w:w="5256"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tcMar>
              <w:top w:w="0" w:type="dxa"/>
              <w:left w:w="0" w:type="dxa"/>
              <w:bottom w:w="0" w:type="dxa"/>
              <w:right w:w="0" w:type="dxa"/>
            </w:tcMar>
            <w:vAlign w:val="center"/>
          </w:tcPr>
          <w:p>
            <w:pPr>
              <w:pStyle w:val="TableContents"/>
              <w:bidi w:val="0"/>
              <w:spacing w:before="0" w:after="283"/>
              <w:jc w:val="left"/>
              <w:rPr/>
            </w:pPr>
            <w:r>
              <w:rPr/>
              <w:t> </w:t>
            </w:r>
          </w:p>
        </w:tc>
        <w:tc>
          <w:tcPr>
            <w:tcW w:w="192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1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c>
          <w:tcPr>
            <w:tcW w:w="5769" w:type="dxa"/>
            <w:gridSpan w:val="5"/>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Genesco Inc.</w:t>
            </w:r>
          </w:p>
        </w:tc>
      </w:tr>
      <w:tr>
        <w:trPr/>
        <w:tc>
          <w:tcPr>
            <w:tcW w:w="19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13" w:type="dxa"/>
            <w:tcBorders/>
            <w:tcMar>
              <w:top w:w="0" w:type="dxa"/>
              <w:left w:w="0" w:type="dxa"/>
              <w:bottom w:w="0" w:type="dxa"/>
              <w:right w:w="0" w:type="dxa"/>
            </w:tcMar>
            <w:vAlign w:val="center"/>
          </w:tcPr>
          <w:p>
            <w:pPr>
              <w:pStyle w:val="TableContents"/>
              <w:bidi w:val="0"/>
              <w:spacing w:before="0" w:after="283"/>
              <w:jc w:val="left"/>
              <w:rPr/>
            </w:pPr>
            <w:r>
              <w:rPr/>
              <w:t> </w:t>
            </w:r>
          </w:p>
        </w:tc>
        <w:tc>
          <w:tcPr>
            <w:tcW w:w="5256" w:type="dxa"/>
            <w:gridSpan w:val="4"/>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19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935" w:type="dxa"/>
            <w:gridSpan w:val="2"/>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/s/ Jonathan M. Collins</w:t>
            </w:r>
          </w:p>
        </w:tc>
      </w:tr>
      <w:tr>
        <w:trPr/>
        <w:tc>
          <w:tcPr>
            <w:tcW w:w="19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13" w:type="dxa"/>
            <w:tcBorders/>
            <w:tcMar>
              <w:top w:w="0" w:type="dxa"/>
              <w:left w:w="0" w:type="dxa"/>
              <w:bottom w:w="0" w:type="dxa"/>
              <w:right w:w="0" w:type="dxa"/>
            </w:tcMar>
            <w:vAlign w:val="center"/>
          </w:tcPr>
          <w:p>
            <w:pPr>
              <w:pStyle w:val="TableContents"/>
              <w:bidi w:val="0"/>
              <w:spacing w:before="0" w:after="283"/>
              <w:jc w:val="left"/>
              <w:rPr/>
            </w:pPr>
            <w:r>
              <w:rPr/>
              <w:t> </w:t>
            </w:r>
          </w:p>
        </w:tc>
        <w:tc>
          <w:tcPr>
            <w:tcW w:w="321"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935" w:type="dxa"/>
            <w:gridSpan w:val="2"/>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Jonathan M. Collins</w:t>
            </w:r>
          </w:p>
        </w:tc>
      </w:tr>
      <w:tr>
        <w:trPr/>
        <w:tc>
          <w:tcPr>
            <w:tcW w:w="19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13" w:type="dxa"/>
            <w:tcBorders/>
            <w:tcMar>
              <w:top w:w="0" w:type="dxa"/>
              <w:left w:w="0" w:type="dxa"/>
              <w:bottom w:w="0" w:type="dxa"/>
              <w:right w:w="0" w:type="dxa"/>
            </w:tcMar>
            <w:vAlign w:val="center"/>
          </w:tcPr>
          <w:p>
            <w:pPr>
              <w:pStyle w:val="TableContents"/>
              <w:bidi w:val="0"/>
              <w:spacing w:before="0" w:after="283"/>
              <w:jc w:val="left"/>
              <w:rPr/>
            </w:pPr>
            <w:r>
              <w:rPr/>
              <w:t> </w:t>
            </w:r>
          </w:p>
        </w:tc>
        <w:tc>
          <w:tcPr>
            <w:tcW w:w="321"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93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 Finance and Chief Financial Officer</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Date: September 10, 2026</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spacing w:before="89" w:after="283"/>
        <w:ind w:left="6840" w:right="0" w:hanging="0"/>
        <w:jc w:val="left"/>
        <w:rPr>
          <w:rFonts w:ascii="Century Gothic;sans-serif" w:hAnsi="Century Gothic;sans-serif"/>
          <w:b/>
          <w:color w:val="000000"/>
          <w:sz w:val="20"/>
        </w:rPr>
      </w:pPr>
      <w:bookmarkStart w:id="21" w:name="gco-ex10_1.htm"/>
      <w:bookmarkStart w:id="22" w:name="ksgcoex10_1"/>
      <w:bookmarkEnd w:id="21"/>
      <w:bookmarkEnd w:id="22"/>
      <w:r>
        <w:rPr>
          <w:rFonts w:ascii="Century Gothic;sans-serif" w:hAnsi="Century Gothic;sans-serif"/>
          <w:b/>
          <w:color w:val="000000"/>
          <w:sz w:val="20"/>
        </w:rPr>
        <w:t>Exhibit 10.1</w:t>
      </w:r>
      <w:r>
        <w:br w:type="page"/>
      </w:r>
    </w:p>
    <w:p>
      <w:pPr>
        <w:pStyle w:val="TextBody"/>
        <w:bidi w:val="0"/>
        <w:spacing w:before="89" w:after="283"/>
        <w:ind w:left="6840" w:right="0" w:hanging="0"/>
        <w:jc w:val="left"/>
        <w:rPr/>
      </w:pPr>
      <w:r>
        <w:rPr/>
        <w:t> </w:t>
      </w:r>
    </w:p>
    <w:p>
      <w:pPr>
        <w:pStyle w:val="TextBody"/>
        <w:bidi w:val="0"/>
        <w:spacing w:before="89" w:after="283"/>
        <w:ind w:left="6840" w:right="0" w:hanging="0"/>
        <w:jc w:val="left"/>
        <w:rPr>
          <w:rFonts w:ascii="Century Gothic;sans-serif" w:hAnsi="Century Gothic;sans-serif"/>
          <w:b/>
          <w:color w:val="173660"/>
          <w:sz w:val="20"/>
        </w:rPr>
      </w:pPr>
      <w:r>
        <w:rPr>
          <w:rFonts w:ascii="Century Gothic;sans-serif" w:hAnsi="Century Gothic;sans-serif"/>
          <w:b/>
          <w:color w:val="173660"/>
          <w:sz w:val="20"/>
        </w:rPr>
        <w:t>Kyle Standring Polischuk</w:t>
      </w:r>
    </w:p>
    <w:p>
      <w:pPr>
        <w:pStyle w:val="TextBody"/>
        <w:bidi w:val="0"/>
        <w:spacing w:before="8" w:after="283"/>
        <w:ind w:left="6840" w:right="40" w:hanging="0"/>
        <w:jc w:val="left"/>
        <w:rPr>
          <w:rFonts w:ascii="Century Gothic;sans-serif" w:hAnsi="Century Gothic;sans-serif"/>
          <w:color w:val="000000"/>
          <w:sz w:val="18"/>
        </w:rPr>
      </w:pPr>
      <w:r>
        <w:rPr>
          <w:rFonts w:ascii="Century Gothic;sans-serif" w:hAnsi="Century Gothic;sans-serif"/>
          <w:color w:val="000000"/>
          <w:sz w:val="18"/>
        </w:rPr>
        <w:t>Chief Human Recources Officer</w:t>
      </w:r>
    </w:p>
    <w:p>
      <w:pPr>
        <w:pStyle w:val="TextBody"/>
        <w:bidi w:val="0"/>
        <w:spacing w:before="8" w:after="283"/>
        <w:ind w:left="6840" w:right="697" w:hanging="0"/>
        <w:jc w:val="left"/>
        <w:rPr>
          <w:rFonts w:ascii="Century Gothic;sans-serif" w:hAnsi="Century Gothic;sans-serif"/>
          <w:color w:val="231F20"/>
          <w:sz w:val="18"/>
        </w:rPr>
      </w:pPr>
      <w:r>
        <w:rPr>
          <w:rFonts w:ascii="Century Gothic;sans-serif" w:hAnsi="Century Gothic;sans-serif"/>
          <w:color w:val="231F20"/>
          <w:sz w:val="18"/>
        </w:rPr>
        <w:t>Genesco Inc.</w:t>
      </w:r>
    </w:p>
    <w:p>
      <w:pPr>
        <w:pStyle w:val="TextBody"/>
        <w:bidi w:val="0"/>
        <w:ind w:left="6840" w:right="697" w:hanging="0"/>
        <w:jc w:val="left"/>
        <w:rPr>
          <w:rFonts w:ascii="Century Gothic;sans-serif" w:hAnsi="Century Gothic;sans-serif"/>
          <w:color w:val="231F20"/>
          <w:sz w:val="18"/>
        </w:rPr>
      </w:pPr>
      <w:r>
        <w:rPr>
          <w:rFonts w:ascii="Century Gothic;sans-serif" w:hAnsi="Century Gothic;sans-serif"/>
          <w:color w:val="231F20"/>
          <w:sz w:val="18"/>
        </w:rPr>
        <w:t xml:space="preserve">535 Marriott Drive, </w:t>
      </w:r>
    </w:p>
    <w:p>
      <w:pPr>
        <w:pStyle w:val="TextBody"/>
        <w:bidi w:val="0"/>
        <w:ind w:left="6840" w:right="0" w:hanging="0"/>
        <w:jc w:val="left"/>
        <w:rPr>
          <w:rFonts w:ascii="Century Gothic;sans-serif" w:hAnsi="Century Gothic;sans-serif"/>
          <w:color w:val="231F20"/>
          <w:sz w:val="18"/>
        </w:rPr>
      </w:pPr>
      <w:r>
        <w:rPr>
          <w:rFonts w:ascii="Century Gothic;sans-serif" w:hAnsi="Century Gothic;sans-serif"/>
          <w:color w:val="231F20"/>
          <w:sz w:val="18"/>
        </w:rPr>
        <w:t>Nashville, Tennessee 37214</w:t>
      </w:r>
    </w:p>
    <w:p>
      <w:pPr>
        <w:pStyle w:val="TextBody"/>
        <w:bidi w:val="0"/>
        <w:spacing w:before="25" w:after="283"/>
        <w:ind w:left="684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Certain identified information has been excluded from this exhibit because it is both not material and is the type that the registrant treats as private or confidential. Omitted information is indicated by [*].</w:t>
      </w:r>
    </w:p>
    <w:p>
      <w:pPr>
        <w:pStyle w:val="TextBody"/>
        <w:bidi w:val="0"/>
        <w:jc w:val="left"/>
        <w:rPr>
          <w:rFonts w:ascii="Century Gothic;sans-serif" w:hAnsi="Century Gothic;sans-serif"/>
          <w:color w:val="000000"/>
          <w:sz w:val="24"/>
        </w:rPr>
      </w:pPr>
      <w:r>
        <w:rPr>
          <w:rFonts w:ascii="Century Gothic;sans-serif" w:hAnsi="Century Gothic;sans-serif"/>
          <w:color w:val="000000"/>
          <w:sz w:val="24"/>
        </w:rPr>
        <w:t>August 5, 2026</w:t>
      </w:r>
    </w:p>
    <w:p>
      <w:pPr>
        <w:pStyle w:val="TextBody"/>
        <w:bidi w:val="0"/>
        <w:jc w:val="left"/>
        <w:rPr/>
      </w:pPr>
      <w:r>
        <w:rPr/>
        <w:t> </w:t>
      </w:r>
    </w:p>
    <w:p>
      <w:pPr>
        <w:pStyle w:val="TextBody"/>
        <w:bidi w:val="0"/>
        <w:jc w:val="left"/>
        <w:rPr>
          <w:rFonts w:ascii="Century Gothic;sans-serif" w:hAnsi="Century Gothic;sans-serif"/>
          <w:color w:val="000000"/>
          <w:sz w:val="24"/>
        </w:rPr>
      </w:pPr>
      <w:r>
        <w:rPr>
          <w:rFonts w:ascii="Century Gothic;sans-serif" w:hAnsi="Century Gothic;sans-serif"/>
          <w:color w:val="000000"/>
          <w:sz w:val="24"/>
        </w:rPr>
        <w:t>Parag D. Desai</w:t>
      </w:r>
    </w:p>
    <w:p>
      <w:pPr>
        <w:pStyle w:val="TextBody"/>
        <w:bidi w:val="0"/>
        <w:jc w:val="left"/>
        <w:rPr>
          <w:rFonts w:ascii="Century Gothic;sans-serif" w:hAnsi="Century Gothic;sans-serif"/>
          <w:color w:val="000000"/>
          <w:sz w:val="24"/>
        </w:rPr>
      </w:pPr>
      <w:r>
        <w:rPr>
          <w:rFonts w:ascii="Century Gothic;sans-serif" w:hAnsi="Century Gothic;sans-serif"/>
          <w:color w:val="000000"/>
          <w:sz w:val="24"/>
        </w:rPr>
        <w:t>[*]</w:t>
      </w:r>
    </w:p>
    <w:p>
      <w:pPr>
        <w:pStyle w:val="TextBody"/>
        <w:bidi w:val="0"/>
        <w:jc w:val="left"/>
        <w:rPr>
          <w:rFonts w:ascii="Century Gothic;sans-serif" w:hAnsi="Century Gothic;sans-serif"/>
          <w:color w:val="000000"/>
          <w:sz w:val="24"/>
        </w:rPr>
      </w:pPr>
      <w:r>
        <w:rPr>
          <w:rFonts w:ascii="Century Gothic;sans-serif" w:hAnsi="Century Gothic;sans-serif"/>
          <w:color w:val="000000"/>
          <w:sz w:val="24"/>
        </w:rPr>
        <w:t>[*]</w:t>
      </w:r>
    </w:p>
    <w:p>
      <w:pPr>
        <w:pStyle w:val="TextBody"/>
        <w:bidi w:val="0"/>
        <w:jc w:val="left"/>
        <w:rPr>
          <w:rFonts w:ascii="Century Gothic;sans-serif" w:hAnsi="Century Gothic;sans-serif"/>
          <w:color w:val="000000"/>
          <w:sz w:val="24"/>
        </w:rPr>
      </w:pPr>
      <w:r>
        <w:rPr>
          <w:rFonts w:ascii="Century Gothic;sans-serif" w:hAnsi="Century Gothic;sans-serif"/>
          <w:color w:val="000000"/>
          <w:sz w:val="24"/>
        </w:rPr>
        <w:t>[*]</w:t>
      </w:r>
    </w:p>
    <w:p>
      <w:pPr>
        <w:pStyle w:val="TextBody"/>
        <w:bidi w:val="0"/>
        <w:jc w:val="left"/>
        <w:rPr/>
      </w:pPr>
      <w:r>
        <w:rPr/>
        <w:t> </w:t>
      </w:r>
    </w:p>
    <w:p>
      <w:pPr>
        <w:pStyle w:val="TextBody"/>
        <w:bidi w:val="0"/>
        <w:jc w:val="left"/>
        <w:rPr>
          <w:rFonts w:ascii="Century Gothic;sans-serif" w:hAnsi="Century Gothic;sans-serif"/>
          <w:color w:val="000000"/>
          <w:sz w:val="24"/>
        </w:rPr>
      </w:pPr>
      <w:r>
        <w:rPr>
          <w:rFonts w:ascii="Century Gothic;sans-serif" w:hAnsi="Century Gothic;sans-serif"/>
          <w:color w:val="000000"/>
          <w:sz w:val="24"/>
        </w:rPr>
        <w:t>Dear Parag:</w:t>
      </w:r>
    </w:p>
    <w:p>
      <w:pPr>
        <w:pStyle w:val="TextBody"/>
        <w:pBdr/>
        <w:bidi w:val="0"/>
        <w:ind w:left="0" w:right="0" w:hanging="450"/>
        <w:jc w:val="left"/>
        <w:rPr/>
      </w:pPr>
      <w:r>
        <w:rPr/>
        <w:t> </w:t>
      </w:r>
    </w:p>
    <w:p>
      <w:pPr>
        <w:pStyle w:val="TextBody"/>
        <w:bidi w:val="0"/>
        <w:jc w:val="left"/>
        <w:rPr>
          <w:rFonts w:ascii="Century Gothic;sans-serif" w:hAnsi="Century Gothic;sans-serif"/>
          <w:color w:val="000000"/>
          <w:sz w:val="24"/>
        </w:rPr>
      </w:pPr>
      <w:r>
        <w:rPr>
          <w:rFonts w:ascii="Century Gothic;sans-serif" w:hAnsi="Century Gothic;sans-serif"/>
          <w:color w:val="000000"/>
          <w:sz w:val="24"/>
        </w:rPr>
        <w:t xml:space="preserve">This will memorialize our agreement regarding your change in role, as well as your future retirement from Genesco Inc. (the “Company”). </w:t>
      </w:r>
    </w:p>
    <w:p>
      <w:pPr>
        <w:pStyle w:val="TextBody"/>
        <w:bidi w:val="0"/>
        <w:jc w:val="left"/>
        <w:rPr/>
      </w:pPr>
      <w:r>
        <w:rPr/>
        <w:t> </w:t>
      </w:r>
    </w:p>
    <w:p>
      <w:pPr>
        <w:pStyle w:val="TextBody"/>
        <w:bidi w:val="0"/>
        <w:jc w:val="left"/>
        <w:rPr>
          <w:rFonts w:ascii="Century Gothic;sans-serif" w:hAnsi="Century Gothic;sans-serif"/>
          <w:color w:val="000000"/>
          <w:sz w:val="24"/>
        </w:rPr>
      </w:pPr>
      <w:r>
        <w:rPr>
          <w:rFonts w:ascii="Century Gothic;sans-serif" w:hAnsi="Century Gothic;sans-serif"/>
          <w:color w:val="000000"/>
          <w:sz w:val="24"/>
        </w:rPr>
        <w:t xml:space="preserve">This letter outlines both parties' mutual understanding regarding compensation and equity treatment during the transition period and following retirement. This letter agreement (the “Agreement”) is intended to ensure that compensation related to services already performed, transition responsibilities requested by the Company, and outstanding incentive awards is administered consistently with the parties’ agreement and the applicable compensation programs. </w:t>
      </w:r>
    </w:p>
    <w:p>
      <w:pPr>
        <w:pStyle w:val="TextBody"/>
        <w:bidi w:val="0"/>
        <w:jc w:val="left"/>
        <w:rPr/>
      </w:pPr>
      <w:r>
        <w:rPr/>
        <w:t> </w:t>
      </w:r>
    </w:p>
    <w:p>
      <w:pPr>
        <w:pStyle w:val="TextBody"/>
        <w:bidi w:val="0"/>
        <w:jc w:val="left"/>
        <w:rPr>
          <w:rFonts w:ascii="Century Gothic;sans-serif" w:hAnsi="Century Gothic;sans-serif"/>
          <w:sz w:val="24"/>
        </w:rPr>
      </w:pPr>
      <w:r>
        <w:rPr>
          <w:rFonts w:ascii="Century Gothic;sans-serif" w:hAnsi="Century Gothic;sans-serif"/>
          <w:b/>
          <w:color w:val="000000"/>
          <w:sz w:val="24"/>
        </w:rPr>
        <w:t>Transition to Part-Time Employment.</w:t>
      </w:r>
      <w:r>
        <w:rPr>
          <w:rFonts w:ascii="Century Gothic;sans-serif" w:hAnsi="Century Gothic;sans-serif"/>
          <w:color w:val="000000"/>
          <w:sz w:val="24"/>
        </w:rPr>
        <w:t xml:space="preserve"> Effective August 7, 2026, your employment will transition from full-time to part-time status and you will no longer be an executive officer of the Company for purposes of Section 16 of the Securities Exchange Act of 1934 and the Company’s governance documents, but will continue as a part-time employee in your role as Senior Vice President and Chief Strategy and Digital Officer solely for transition purposes until your retirement on October 31, 2026 (the “Part-Time Period”). </w:t>
      </w:r>
    </w:p>
    <w:p>
      <w:pPr>
        <w:pStyle w:val="TextBody"/>
        <w:bidi w:val="0"/>
        <w:jc w:val="left"/>
        <w:rPr/>
      </w:pPr>
      <w:r>
        <w:rPr/>
        <w:t> </w:t>
      </w:r>
    </w:p>
    <w:p>
      <w:pPr>
        <w:pStyle w:val="TextBody"/>
        <w:bidi w:val="0"/>
        <w:jc w:val="left"/>
        <w:rPr>
          <w:rFonts w:ascii="Century Gothic;sans-serif" w:hAnsi="Century Gothic;sans-serif"/>
          <w:sz w:val="24"/>
        </w:rPr>
      </w:pPr>
      <w:r>
        <w:rPr>
          <w:rFonts w:ascii="Century Gothic;sans-serif" w:hAnsi="Century Gothic;sans-serif"/>
          <w:b/>
          <w:color w:val="000000"/>
          <w:sz w:val="24"/>
        </w:rPr>
        <w:t>Part-Time Compensation.</w:t>
      </w:r>
      <w:r>
        <w:rPr>
          <w:rFonts w:ascii="Century Gothic;sans-serif" w:hAnsi="Century Gothic;sans-serif"/>
          <w:color w:val="000000"/>
          <w:sz w:val="24"/>
        </w:rPr>
        <w:t xml:space="preserve"> We anticipate that during the Part-Time Period, you will work approximately one day per week, either in-person or virtually, with a focus on transitioning your responsibilities, onboarding our new Chief Financial Officer, and transitioning external relationships. During the Part-Time Period, your base salary will be adjusted to $10,000 per month, which shall compensate you for up to thirty-two hours of services per month and shall not be reduced if the Company requests fewer than thirty-two hours in a particular month. In the event additional hours are required, we will adjust your base salary pro rata. </w:t>
      </w:r>
    </w:p>
    <w:p>
      <w:pPr>
        <w:pStyle w:val="TextBody"/>
        <w:bidi w:val="0"/>
        <w:jc w:val="left"/>
        <w:rPr>
          <w:rFonts w:ascii="Century Gothic;sans-serif" w:hAnsi="Century Gothic;sans-serif"/>
          <w:color w:val="000000"/>
          <w:sz w:val="22"/>
        </w:rPr>
      </w:pPr>
      <w:r>
        <w:rPr>
          <w:rFonts w:ascii="Century Gothic;sans-serif" w:hAnsi="Century Gothic;sans-serif"/>
          <w:color w:val="000000"/>
          <w:sz w:val="22"/>
        </w:rPr>
        <w:t>1</w:t>
      </w:r>
    </w:p>
    <w:p>
      <w:pPr>
        <w:pStyle w:val="TextBody"/>
        <w:bidi w:val="0"/>
        <w:ind w:left="0" w:right="36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Century Gothic;sans-serif" w:hAnsi="Century Gothic;sans-serif"/>
          <w:sz w:val="24"/>
        </w:rPr>
      </w:pPr>
      <w:r>
        <w:rPr>
          <w:rFonts w:ascii="Century Gothic;sans-serif" w:hAnsi="Century Gothic;sans-serif"/>
          <w:b/>
          <w:color w:val="000000"/>
          <w:sz w:val="24"/>
        </w:rPr>
        <w:t xml:space="preserve">Benefits. </w:t>
      </w:r>
      <w:r>
        <w:rPr>
          <w:rFonts w:ascii="Century Gothic;sans-serif" w:hAnsi="Century Gothic;sans-serif"/>
          <w:color w:val="000000"/>
          <w:sz w:val="24"/>
        </w:rPr>
        <w:t>During the Part-Time Period, you will remain eligible to participate in the Company’s 401(k) plan through October 31, 2026, in accordance with its terms, including eligibility for any applicable employer contributions. Effective August 7, 2026, your eligibility for active employee healthcare coverage will cease, and you will be eligible to elect continuation coverage under COBRA for up to eighteen (18) months in accordance with applicable law and the terms of the applicable benefit plans.</w:t>
      </w:r>
    </w:p>
    <w:p>
      <w:pPr>
        <w:pStyle w:val="TextBody"/>
        <w:bidi w:val="0"/>
        <w:jc w:val="left"/>
        <w:rPr/>
      </w:pPr>
      <w:r>
        <w:rPr/>
        <w:t> </w:t>
      </w:r>
    </w:p>
    <w:p>
      <w:pPr>
        <w:pStyle w:val="TextBody"/>
        <w:bidi w:val="0"/>
        <w:jc w:val="left"/>
        <w:rPr>
          <w:rFonts w:ascii="Century Gothic;sans-serif" w:hAnsi="Century Gothic;sans-serif"/>
          <w:sz w:val="24"/>
        </w:rPr>
      </w:pPr>
      <w:r>
        <w:rPr>
          <w:rFonts w:ascii="Century Gothic;sans-serif" w:hAnsi="Century Gothic;sans-serif"/>
          <w:b/>
          <w:color w:val="000000"/>
          <w:sz w:val="24"/>
        </w:rPr>
        <w:t xml:space="preserve">Fiscal 2027 Short-Term Incentive Plan. </w:t>
      </w:r>
      <w:r>
        <w:rPr>
          <w:rFonts w:ascii="Century Gothic;sans-serif" w:hAnsi="Century Gothic;sans-serif"/>
          <w:color w:val="000000"/>
          <w:sz w:val="24"/>
        </w:rPr>
        <w:t>You shall remain eligible to participate in the Company's Fiscal 2027 Short-Term Incentive Plan ("STIP") with no proration. Your target incentive opportunity shall remain $338,000, notwithstanding the temporary reduction in base salary during the Part-Time Period and the transition into the consulting period through the end of the fiscal year. Any earned award shall be determined using the same corporate performance metrics, performance results and payout methodology applicable to other executive participants. Any earned award shall be paid to you at the same time as awards are paid to other participants under the Fiscal 2027 STIP and shall not be forfeited solely as a result of your retirement pursuant to this Agreement. The parties acknowledge and agree that, for purposes of calculating your Fiscal 2027 STIP award, the Individual Strategic Objectives component shall be treated as fully achieved as of August 7, 2026, without reduction or downward modification, and no further assessment of that component shall be required.</w:t>
      </w:r>
    </w:p>
    <w:p>
      <w:pPr>
        <w:pStyle w:val="TextBody"/>
        <w:bidi w:val="0"/>
        <w:jc w:val="left"/>
        <w:rPr/>
      </w:pPr>
      <w:r>
        <w:rPr/>
        <w:t> </w:t>
      </w:r>
    </w:p>
    <w:p>
      <w:pPr>
        <w:pStyle w:val="TextBody"/>
        <w:bidi w:val="0"/>
        <w:jc w:val="left"/>
        <w:rPr>
          <w:rFonts w:ascii="Century Gothic;sans-serif" w:hAnsi="Century Gothic;sans-serif"/>
          <w:sz w:val="24"/>
        </w:rPr>
      </w:pPr>
      <w:r>
        <w:rPr>
          <w:rFonts w:ascii="Century Gothic;sans-serif" w:hAnsi="Century Gothic;sans-serif"/>
          <w:b/>
          <w:color w:val="000000"/>
          <w:sz w:val="24"/>
        </w:rPr>
        <w:t xml:space="preserve">Outstanding Performance Share Unit Awards. </w:t>
      </w:r>
      <w:r>
        <w:rPr>
          <w:rFonts w:ascii="Century Gothic;sans-serif" w:hAnsi="Century Gothic;sans-serif"/>
          <w:color w:val="000000"/>
          <w:sz w:val="24"/>
        </w:rPr>
        <w:t xml:space="preserve">The Company acknowledges and agrees that your retirement pursuant to this Agreement shall constitute a “Retirement” within the meaning of the applicable Equity Incentive Plan and award agreements and shall satisfy all notice, consent, approval and other conditions required for Retirement treatment under those documents. The Company further acknowledges and agrees that your transition to part-time employment under this Agreement shall not constitute a termination of employment or otherwise interrupt your continuous service for purposes of such awards. Accordingly, you shall remain eligible to receive the Retirement treatment provided under the applicable award agreements, including all applicable proration and post-retirement vesting provisions, with respect to (i) the Performance Share Unit award granted on April 4, 2024, and (ii) the Performance Share Unit award granted on July 30, 2025. The Company confirms that all notice and other procedural requirements within its authority have been satisfied or waived. No further notice or action by you shall be required to receive such Retirement treatment. Except as expressly provided in this Agreement, your outstanding equity awards shall continue to be governed by the applicable Equity Incentive Plan and award agreements. </w:t>
      </w:r>
    </w:p>
    <w:p>
      <w:pPr>
        <w:pStyle w:val="TextBody"/>
        <w:bidi w:val="0"/>
        <w:jc w:val="left"/>
        <w:rPr/>
      </w:pPr>
      <w:r>
        <w:rPr/>
        <w:t> </w:t>
      </w:r>
    </w:p>
    <w:p>
      <w:pPr>
        <w:pStyle w:val="TextBody"/>
        <w:bidi w:val="0"/>
        <w:jc w:val="left"/>
        <w:rPr>
          <w:rFonts w:ascii="Century Gothic;sans-serif" w:hAnsi="Century Gothic;sans-serif"/>
          <w:color w:val="000000"/>
          <w:sz w:val="24"/>
        </w:rPr>
      </w:pPr>
      <w:r>
        <w:rPr>
          <w:rFonts w:ascii="Century Gothic;sans-serif" w:hAnsi="Century Gothic;sans-serif"/>
          <w:color w:val="000000"/>
          <w:sz w:val="24"/>
        </w:rPr>
        <w:t>[*]</w:t>
      </w:r>
    </w:p>
    <w:p>
      <w:pPr>
        <w:pStyle w:val="TextBody"/>
        <w:bidi w:val="0"/>
        <w:jc w:val="left"/>
        <w:rPr/>
      </w:pPr>
      <w:r>
        <w:rPr/>
        <w:t> </w:t>
      </w:r>
    </w:p>
    <w:p>
      <w:pPr>
        <w:pStyle w:val="TextBody"/>
        <w:bidi w:val="0"/>
        <w:jc w:val="left"/>
        <w:rPr>
          <w:rFonts w:ascii="Century Gothic;sans-serif" w:hAnsi="Century Gothic;sans-serif"/>
          <w:sz w:val="24"/>
        </w:rPr>
      </w:pPr>
      <w:r>
        <w:rPr>
          <w:rFonts w:ascii="Century Gothic;sans-serif" w:hAnsi="Century Gothic;sans-serif"/>
          <w:b/>
          <w:color w:val="000000"/>
          <w:sz w:val="24"/>
        </w:rPr>
        <w:t xml:space="preserve">Retirement Date and Continuous Service. </w:t>
      </w:r>
      <w:r>
        <w:rPr>
          <w:rFonts w:ascii="Century Gothic;sans-serif" w:hAnsi="Century Gothic;sans-serif"/>
          <w:color w:val="000000"/>
          <w:sz w:val="24"/>
        </w:rPr>
        <w:t xml:space="preserve">You will officially retire from the Company effective October 31, 2026. For purposes of all applicable employee benefit plans, incentive compensation plans and equity award agreements, your employment and </w:t>
      </w:r>
    </w:p>
    <w:p>
      <w:pPr>
        <w:pStyle w:val="TextBody"/>
        <w:bidi w:val="0"/>
        <w:jc w:val="left"/>
        <w:rPr>
          <w:rFonts w:ascii="Century Gothic;sans-serif" w:hAnsi="Century Gothic;sans-serif"/>
          <w:color w:val="000000"/>
          <w:sz w:val="22"/>
        </w:rPr>
      </w:pPr>
      <w:r>
        <w:rPr>
          <w:rFonts w:ascii="Century Gothic;sans-serif" w:hAnsi="Century Gothic;sans-serif"/>
          <w:color w:val="000000"/>
          <w:sz w:val="22"/>
        </w:rPr>
        <w:t>2</w:t>
      </w:r>
    </w:p>
    <w:p>
      <w:pPr>
        <w:pStyle w:val="TextBody"/>
        <w:bidi w:val="0"/>
        <w:ind w:left="0" w:right="36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Century Gothic;sans-serif" w:hAnsi="Century Gothic;sans-serif"/>
          <w:color w:val="000000"/>
          <w:sz w:val="24"/>
        </w:rPr>
      </w:pPr>
      <w:r>
        <w:rPr>
          <w:rFonts w:ascii="Century Gothic;sans-serif" w:hAnsi="Century Gothic;sans-serif"/>
          <w:color w:val="000000"/>
          <w:sz w:val="24"/>
        </w:rPr>
        <w:t>continuous service shall be deemed to continue without interruption through October 31, 2026.</w:t>
      </w:r>
    </w:p>
    <w:p>
      <w:pPr>
        <w:pStyle w:val="TextBody"/>
        <w:bidi w:val="0"/>
        <w:jc w:val="left"/>
        <w:rPr/>
      </w:pPr>
      <w:r>
        <w:rPr/>
        <w:t> </w:t>
      </w:r>
    </w:p>
    <w:p>
      <w:pPr>
        <w:pStyle w:val="TextBody"/>
        <w:bidi w:val="0"/>
        <w:jc w:val="left"/>
        <w:rPr>
          <w:rFonts w:ascii="Century Gothic;sans-serif" w:hAnsi="Century Gothic;sans-serif"/>
          <w:sz w:val="24"/>
        </w:rPr>
      </w:pPr>
      <w:r>
        <w:rPr>
          <w:rFonts w:ascii="Century Gothic;sans-serif" w:hAnsi="Century Gothic;sans-serif"/>
          <w:b/>
          <w:color w:val="000000"/>
          <w:sz w:val="24"/>
        </w:rPr>
        <w:t xml:space="preserve">Consulting Arrangements. </w:t>
      </w:r>
      <w:r>
        <w:rPr>
          <w:rFonts w:ascii="Century Gothic;sans-serif" w:hAnsi="Century Gothic;sans-serif"/>
          <w:color w:val="000000"/>
          <w:sz w:val="24"/>
        </w:rPr>
        <w:t>Beginning on November 1, 2026, and continuing through January 31, 2027, you will provide consulting services, either in-person or virtually, at the Company’s reasonable request, subject to your availability. You will be paid $2,400 per day based on days worked (up to eight hours of services per day). Time spent traveling at the Company’s request shall constitute compensable time, and the Company shall reimburse reasonable, documented business and travel expenses in accordance with its executive travel policies. Consulting fees and reimbursable expenses shall be paid within thirty days following submission of an invoice.</w:t>
      </w:r>
    </w:p>
    <w:p>
      <w:pPr>
        <w:pStyle w:val="TextBody"/>
        <w:bidi w:val="0"/>
        <w:jc w:val="left"/>
        <w:rPr/>
      </w:pPr>
      <w:r>
        <w:rPr/>
        <w:t> </w:t>
      </w:r>
    </w:p>
    <w:p>
      <w:pPr>
        <w:pStyle w:val="TextBody"/>
        <w:bidi w:val="0"/>
        <w:jc w:val="left"/>
        <w:rPr>
          <w:rFonts w:ascii="Century Gothic;sans-serif" w:hAnsi="Century Gothic;sans-serif"/>
          <w:sz w:val="24"/>
        </w:rPr>
      </w:pPr>
      <w:r>
        <w:rPr>
          <w:rFonts w:ascii="Century Gothic;sans-serif" w:hAnsi="Century Gothic;sans-serif"/>
          <w:b/>
          <w:color w:val="000000"/>
          <w:sz w:val="24"/>
        </w:rPr>
        <w:t>Indemnification and D&amp;O Protection.</w:t>
      </w:r>
      <w:r>
        <w:rPr>
          <w:rFonts w:ascii="Century Gothic;sans-serif" w:hAnsi="Century Gothic;sans-serif"/>
          <w:color w:val="000000"/>
          <w:sz w:val="24"/>
        </w:rPr>
        <w:t xml:space="preserve"> Nothing in this Agreement shall reduce or impair any rights you have to indemnification, advancement of expenses or coverage under the Company’s directors’ and officers’ liability insurance policies with respect to acts or omissions occurring during your employment or service as an executive officer of the Company. The Company shall also indemnify and hold you harmless, to the fullest extent permitted by applicable law, with respect to acts or omissions undertaken in good faith within the scope of the consulting services contemplated by this Agreement. Such rights shall survive your retirement and the expiration of the consulting period.</w:t>
      </w:r>
    </w:p>
    <w:p>
      <w:pPr>
        <w:pStyle w:val="TextBody"/>
        <w:bidi w:val="0"/>
        <w:jc w:val="left"/>
        <w:rPr/>
      </w:pPr>
      <w:r>
        <w:rPr/>
        <w:t> </w:t>
      </w:r>
    </w:p>
    <w:p>
      <w:pPr>
        <w:pStyle w:val="TextBody"/>
        <w:bidi w:val="0"/>
        <w:jc w:val="left"/>
        <w:rPr>
          <w:rFonts w:ascii="Century Gothic;sans-serif" w:hAnsi="Century Gothic;sans-serif"/>
          <w:sz w:val="24"/>
        </w:rPr>
      </w:pPr>
      <w:r>
        <w:rPr>
          <w:rFonts w:ascii="Century Gothic;sans-serif" w:hAnsi="Century Gothic;sans-serif"/>
          <w:b/>
          <w:color w:val="000000"/>
          <w:sz w:val="24"/>
        </w:rPr>
        <w:t>Confidentiality.</w:t>
      </w:r>
      <w:r>
        <w:rPr>
          <w:rFonts w:ascii="Century Gothic;sans-serif" w:hAnsi="Century Gothic;sans-serif"/>
          <w:color w:val="000000"/>
          <w:sz w:val="24"/>
        </w:rPr>
        <w:t xml:space="preserve"> You agree that you will not at any time disclose any trade secrets or confidential information belonging to Genesco to any third party, except as may be required by law, nor will you use such trade secrets or confidential information for any purpose other than your employment duties or consulting services for Genesco.</w:t>
      </w:r>
    </w:p>
    <w:p>
      <w:pPr>
        <w:pStyle w:val="TextBody"/>
        <w:bidi w:val="0"/>
        <w:jc w:val="left"/>
        <w:rPr/>
      </w:pPr>
      <w:r>
        <w:rPr/>
        <w:t> </w:t>
      </w:r>
    </w:p>
    <w:p>
      <w:pPr>
        <w:pStyle w:val="TextBody"/>
        <w:bidi w:val="0"/>
        <w:jc w:val="left"/>
        <w:rPr>
          <w:rFonts w:ascii="Century Gothic;sans-serif" w:hAnsi="Century Gothic;sans-serif"/>
          <w:sz w:val="24"/>
        </w:rPr>
      </w:pPr>
      <w:r>
        <w:rPr>
          <w:rFonts w:ascii="Century Gothic;sans-serif" w:hAnsi="Century Gothic;sans-serif"/>
          <w:b/>
          <w:color w:val="000000"/>
          <w:sz w:val="24"/>
        </w:rPr>
        <w:t xml:space="preserve">Successors and Assigns. </w:t>
      </w:r>
      <w:r>
        <w:rPr>
          <w:rFonts w:ascii="Century Gothic;sans-serif" w:hAnsi="Century Gothic;sans-serif"/>
          <w:color w:val="000000"/>
          <w:sz w:val="24"/>
        </w:rPr>
        <w:t>This Agreement shall be binding upon and inure to the benefit of the parties and their respective personal representatives, successors and permitted assigns. The Company shall require any successor to all or substantially all of its business or assets to assume and perform this Agreement.</w:t>
      </w:r>
    </w:p>
    <w:p>
      <w:pPr>
        <w:pStyle w:val="TextBody"/>
        <w:bidi w:val="0"/>
        <w:jc w:val="left"/>
        <w:rPr/>
      </w:pPr>
      <w:r>
        <w:rPr/>
        <w:t> </w:t>
      </w:r>
    </w:p>
    <w:p>
      <w:pPr>
        <w:pStyle w:val="TextBody"/>
        <w:bidi w:val="0"/>
        <w:jc w:val="left"/>
        <w:rPr>
          <w:rFonts w:ascii="Century Gothic;sans-serif" w:hAnsi="Century Gothic;sans-serif"/>
          <w:sz w:val="24"/>
        </w:rPr>
      </w:pPr>
      <w:r>
        <w:rPr>
          <w:rFonts w:ascii="Century Gothic;sans-serif" w:hAnsi="Century Gothic;sans-serif"/>
          <w:b/>
          <w:color w:val="000000"/>
          <w:sz w:val="24"/>
        </w:rPr>
        <w:t xml:space="preserve">Entire Agreement and Amendments. </w:t>
      </w:r>
      <w:r>
        <w:rPr>
          <w:rFonts w:ascii="Century Gothic;sans-serif" w:hAnsi="Century Gothic;sans-serif"/>
          <w:color w:val="000000"/>
          <w:sz w:val="24"/>
        </w:rPr>
        <w:t>This Agreement constitutes the entire agreement and understanding between the parties with respect to the subject matter addressed herein and supersedes all prior or contemporaneous discussions, negotiations, understandings and agreements, whether oral or written, relating to such subject matter. This Agreement may be amended or modified only by a written instrument executed by both the Company and you. Notwithstanding the foregoing, except to the extent expressly modified by this Agreement, your rights under the applicable Equity Incentive Plans and award agreements, benefit plans, indemnification rights and agreements, and any continuing restrictive covenant or confidentiality obligations shall remain in full force and effect.</w:t>
      </w:r>
    </w:p>
    <w:p>
      <w:pPr>
        <w:pStyle w:val="TextBody"/>
        <w:bidi w:val="0"/>
        <w:jc w:val="left"/>
        <w:rPr/>
      </w:pPr>
      <w:r>
        <w:rPr/>
        <w:t> </w:t>
      </w:r>
    </w:p>
    <w:p>
      <w:pPr>
        <w:pStyle w:val="TextBody"/>
        <w:bidi w:val="0"/>
        <w:jc w:val="left"/>
        <w:rPr>
          <w:rFonts w:ascii="Century Gothic;sans-serif" w:hAnsi="Century Gothic;sans-serif"/>
          <w:color w:val="000000"/>
          <w:sz w:val="22"/>
        </w:rPr>
      </w:pPr>
      <w:r>
        <w:rPr>
          <w:rFonts w:ascii="Century Gothic;sans-serif" w:hAnsi="Century Gothic;sans-serif"/>
          <w:color w:val="000000"/>
          <w:sz w:val="22"/>
        </w:rPr>
        <w:t>3</w:t>
      </w:r>
    </w:p>
    <w:p>
      <w:pPr>
        <w:pStyle w:val="TextBody"/>
        <w:bidi w:val="0"/>
        <w:ind w:left="0" w:right="36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Century Gothic;sans-serif" w:hAnsi="Century Gothic;sans-serif"/>
          <w:sz w:val="24"/>
        </w:rPr>
      </w:pPr>
      <w:r>
        <w:rPr>
          <w:rFonts w:ascii="Century Gothic;sans-serif" w:hAnsi="Century Gothic;sans-serif"/>
          <w:b/>
          <w:color w:val="000000"/>
          <w:sz w:val="24"/>
        </w:rPr>
        <w:t xml:space="preserve">Section 409A. </w:t>
      </w:r>
      <w:r>
        <w:rPr>
          <w:rFonts w:ascii="Century Gothic;sans-serif" w:hAnsi="Century Gothic;sans-serif"/>
          <w:color w:val="000000"/>
          <w:sz w:val="24"/>
        </w:rPr>
        <w:t>The parties intend that all payments and benefits under this Agreement be exempt from or comply with Section 409A of the Internal Revenue Code, and this Agreement shall be interpreted and administered consistent with that intent. Each payment shall be treated as a separate payment for purposes of Section 409A. If any payment subject to Section 409A is payable upon your separation from service and you are a specified employee, payment shall be delayed only to the extent required by Section 409A.</w:t>
      </w:r>
    </w:p>
    <w:p>
      <w:pPr>
        <w:pStyle w:val="TextBody"/>
        <w:bidi w:val="0"/>
        <w:jc w:val="left"/>
        <w:rPr/>
      </w:pPr>
      <w:r>
        <w:rPr/>
        <w:t> </w:t>
      </w:r>
    </w:p>
    <w:p>
      <w:pPr>
        <w:pStyle w:val="TextBody"/>
        <w:bidi w:val="0"/>
        <w:jc w:val="left"/>
        <w:rPr>
          <w:rFonts w:ascii="Century Gothic;sans-serif" w:hAnsi="Century Gothic;sans-serif"/>
          <w:sz w:val="24"/>
        </w:rPr>
      </w:pPr>
      <w:r>
        <w:rPr>
          <w:rFonts w:ascii="Century Gothic;sans-serif" w:hAnsi="Century Gothic;sans-serif"/>
          <w:b/>
          <w:color w:val="000000"/>
          <w:sz w:val="24"/>
        </w:rPr>
        <w:t>Governing Law.</w:t>
      </w:r>
      <w:r>
        <w:rPr>
          <w:rFonts w:ascii="Century Gothic;sans-serif" w:hAnsi="Century Gothic;sans-serif"/>
          <w:color w:val="000000"/>
          <w:sz w:val="24"/>
        </w:rPr>
        <w:t xml:space="preserve"> This Agreement shall be governed by and construed in accordance with the laws of the State of Tennessee, without regard to its conflict of laws principles.</w:t>
      </w:r>
    </w:p>
    <w:p>
      <w:pPr>
        <w:pStyle w:val="TextBody"/>
        <w:pBdr/>
        <w:bidi w:val="0"/>
        <w:ind w:left="0" w:right="0" w:hanging="450"/>
        <w:jc w:val="left"/>
        <w:rPr/>
      </w:pPr>
      <w:r>
        <w:rPr/>
        <w:t> </w:t>
      </w:r>
    </w:p>
    <w:p>
      <w:pPr>
        <w:pStyle w:val="TextBody"/>
        <w:bidi w:val="0"/>
        <w:jc w:val="left"/>
        <w:rPr>
          <w:rFonts w:ascii="Century Gothic;sans-serif" w:hAnsi="Century Gothic;sans-serif"/>
          <w:color w:val="000000"/>
          <w:sz w:val="24"/>
        </w:rPr>
      </w:pPr>
      <w:r>
        <w:rPr>
          <w:rFonts w:ascii="Century Gothic;sans-serif" w:hAnsi="Century Gothic;sans-serif"/>
          <w:color w:val="000000"/>
          <w:sz w:val="24"/>
        </w:rPr>
        <w:t>Please confirm your acceptance of this Agreement by countersigning this letter.</w:t>
      </w:r>
    </w:p>
    <w:p>
      <w:pPr>
        <w:pStyle w:val="TextBody"/>
        <w:bidi w:val="0"/>
        <w:jc w:val="left"/>
        <w:rPr/>
      </w:pPr>
      <w:r>
        <w:rPr/>
        <w:t> </w:t>
      </w:r>
    </w:p>
    <w:p>
      <w:pPr>
        <w:pStyle w:val="TextBody"/>
        <w:bidi w:val="0"/>
        <w:jc w:val="left"/>
        <w:rPr>
          <w:rFonts w:ascii="Century Gothic;sans-serif" w:hAnsi="Century Gothic;sans-serif"/>
          <w:color w:val="000000"/>
          <w:sz w:val="24"/>
        </w:rPr>
      </w:pPr>
      <w:r>
        <w:rPr>
          <w:rFonts w:ascii="Century Gothic;sans-serif" w:hAnsi="Century Gothic;sans-serif"/>
          <w:color w:val="000000"/>
          <w:sz w:val="24"/>
        </w:rPr>
        <w:t>Sincerely,</w:t>
      </w:r>
    </w:p>
    <w:p>
      <w:pPr>
        <w:pStyle w:val="TextBody"/>
        <w:bidi w:val="0"/>
        <w:jc w:val="left"/>
        <w:rPr/>
      </w:pPr>
      <w:r>
        <w:rPr/>
        <w:t> </w:t>
      </w:r>
    </w:p>
    <w:p>
      <w:pPr>
        <w:pStyle w:val="TextBody"/>
        <w:bidi w:val="0"/>
        <w:jc w:val="left"/>
        <w:rPr/>
      </w:pPr>
      <w:r>
        <w:rPr/>
        <w:t> </w:t>
      </w:r>
    </w:p>
    <w:p>
      <w:pPr>
        <w:pStyle w:val="TextBody"/>
        <w:bidi w:val="0"/>
        <w:jc w:val="left"/>
        <w:rPr>
          <w:rFonts w:ascii="Century Gothic;sans-serif" w:hAnsi="Century Gothic;sans-serif"/>
          <w:color w:val="000000"/>
          <w:sz w:val="24"/>
        </w:rPr>
      </w:pPr>
      <w:r>
        <w:rPr>
          <w:rFonts w:ascii="Century Gothic;sans-serif" w:hAnsi="Century Gothic;sans-serif"/>
          <w:color w:val="000000"/>
          <w:sz w:val="24"/>
        </w:rPr>
        <w:t>_____________________________________</w:t>
      </w:r>
    </w:p>
    <w:p>
      <w:pPr>
        <w:pStyle w:val="TextBody"/>
        <w:bidi w:val="0"/>
        <w:jc w:val="left"/>
        <w:rPr>
          <w:rFonts w:ascii="Century Gothic;sans-serif" w:hAnsi="Century Gothic;sans-serif"/>
          <w:color w:val="000000"/>
          <w:sz w:val="24"/>
        </w:rPr>
      </w:pPr>
      <w:r>
        <w:rPr>
          <w:rFonts w:ascii="Century Gothic;sans-serif" w:hAnsi="Century Gothic;sans-serif"/>
          <w:color w:val="000000"/>
          <w:sz w:val="24"/>
        </w:rPr>
        <w:t xml:space="preserve">Kyle Standring Polischuk </w:t>
      </w:r>
    </w:p>
    <w:p>
      <w:pPr>
        <w:pStyle w:val="TextBody"/>
        <w:bidi w:val="0"/>
        <w:jc w:val="left"/>
        <w:rPr>
          <w:rFonts w:ascii="Century Gothic;sans-serif" w:hAnsi="Century Gothic;sans-serif"/>
          <w:color w:val="000000"/>
          <w:sz w:val="24"/>
        </w:rPr>
      </w:pPr>
      <w:r>
        <w:rPr>
          <w:rFonts w:ascii="Century Gothic;sans-serif" w:hAnsi="Century Gothic;sans-serif"/>
          <w:color w:val="000000"/>
          <w:sz w:val="24"/>
        </w:rPr>
        <w:t>August 5,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Century Gothic;sans-serif" w:hAnsi="Century Gothic;sans-serif"/>
          <w:color w:val="000000"/>
          <w:sz w:val="24"/>
        </w:rPr>
      </w:pPr>
      <w:r>
        <w:rPr>
          <w:rFonts w:ascii="Century Gothic;sans-serif" w:hAnsi="Century Gothic;sans-serif"/>
          <w:color w:val="000000"/>
          <w:sz w:val="24"/>
        </w:rPr>
        <w:t>Accepted and agreed:</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Century Gothic;sans-serif" w:hAnsi="Century Gothic;sans-serif"/>
          <w:color w:val="000000"/>
          <w:sz w:val="24"/>
        </w:rPr>
      </w:pPr>
      <w:r>
        <w:rPr>
          <w:rFonts w:ascii="Century Gothic;sans-serif" w:hAnsi="Century Gothic;sans-serif"/>
          <w:color w:val="000000"/>
          <w:sz w:val="24"/>
        </w:rPr>
        <w:t>_____________________________________</w:t>
      </w:r>
    </w:p>
    <w:p>
      <w:pPr>
        <w:pStyle w:val="TextBody"/>
        <w:bidi w:val="0"/>
        <w:jc w:val="left"/>
        <w:rPr>
          <w:rFonts w:ascii="Century Gothic;sans-serif" w:hAnsi="Century Gothic;sans-serif"/>
          <w:color w:val="000000"/>
          <w:sz w:val="24"/>
        </w:rPr>
      </w:pPr>
      <w:r>
        <w:rPr>
          <w:rFonts w:ascii="Century Gothic;sans-serif" w:hAnsi="Century Gothic;sans-serif"/>
          <w:color w:val="000000"/>
          <w:sz w:val="24"/>
        </w:rPr>
        <w:t>By: Parag D. Desai</w:t>
      </w:r>
    </w:p>
    <w:p>
      <w:pPr>
        <w:pStyle w:val="TextBody"/>
        <w:bidi w:val="0"/>
        <w:jc w:val="left"/>
        <w:rPr>
          <w:rFonts w:ascii="Century Gothic;sans-serif" w:hAnsi="Century Gothic;sans-serif"/>
          <w:color w:val="000000"/>
          <w:sz w:val="24"/>
        </w:rPr>
      </w:pPr>
      <w:r>
        <w:rPr>
          <w:rFonts w:ascii="Century Gothic;sans-serif" w:hAnsi="Century Gothic;sans-serif"/>
          <w:color w:val="000000"/>
          <w:sz w:val="24"/>
        </w:rPr>
        <w:t xml:space="preserve">August 5, 2026 </w:t>
      </w:r>
    </w:p>
    <w:p>
      <w:pPr>
        <w:pStyle w:val="TextBody"/>
        <w:bidi w:val="0"/>
        <w:jc w:val="left"/>
        <w:rPr>
          <w:rFonts w:ascii="Century Gothic;sans-serif" w:hAnsi="Century Gothic;sans-serif"/>
          <w:color w:val="000000"/>
          <w:sz w:val="22"/>
        </w:rPr>
      </w:pPr>
      <w:r>
        <w:rPr>
          <w:rFonts w:ascii="Century Gothic;sans-serif" w:hAnsi="Century Gothic;sans-serif"/>
          <w:color w:val="000000"/>
          <w:sz w:val="22"/>
        </w:rPr>
        <w:t>4</w:t>
      </w:r>
    </w:p>
    <w:p>
      <w:pPr>
        <w:pStyle w:val="TextBody"/>
        <w:bidi w:val="0"/>
        <w:ind w:left="0" w:right="360" w:hanging="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gco-ex31_1.htm"/>
      <w:bookmarkStart w:id="24" w:name="ksgcoex31_1"/>
      <w:bookmarkEnd w:id="23"/>
      <w:bookmarkEnd w:id="24"/>
      <w:r>
        <w:rPr>
          <w:rFonts w:ascii="Times New Roman" w:hAnsi="Times New Roman"/>
          <w:b/>
          <w:color w:val="000000"/>
          <w:sz w:val="20"/>
        </w:rPr>
        <w:t>Exhibit 31.1</w:t>
      </w:r>
      <w:r>
        <w:br w:type="page"/>
      </w:r>
    </w:p>
    <w:p>
      <w:pPr>
        <w:pStyle w:val="TextBody"/>
        <w:bidi w:val="0"/>
        <w:jc w:val="right"/>
        <w:rPr/>
      </w:pPr>
      <w:r>
        <w:rPr/>
        <w:t> </w:t>
      </w:r>
    </w:p>
    <w:p>
      <w:pPr>
        <w:pStyle w:val="TextBody"/>
        <w:bidi w:val="0"/>
        <w:jc w:val="center"/>
        <w:rPr>
          <w:rFonts w:ascii="Times New Roman" w:hAnsi="Times New Roman"/>
          <w:sz w:val="20"/>
        </w:rPr>
      </w:pPr>
      <w:r>
        <w:rPr>
          <w:rFonts w:ascii="Times New Roman" w:hAnsi="Times New Roman"/>
          <w:b/>
          <w:color w:val="000000"/>
          <w:sz w:val="20"/>
        </w:rPr>
        <w:t>CERTIFICATIONS OF PRINCIPAL EXECUTIVE OFFICER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Mimi E. Vaughn,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of Genesco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my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September 10, 2026</w:t>
      </w:r>
    </w:p>
    <w:p>
      <w:pPr>
        <w:pStyle w:val="TextBody"/>
        <w:bidi w:val="0"/>
        <w:jc w:val="left"/>
        <w:rPr/>
      </w:pPr>
      <w:r>
        <w:rPr/>
        <w:t> </w:t>
      </w:r>
    </w:p>
    <w:tbl>
      <w:tblPr>
        <w:tblW w:w="2131" w:type="dxa"/>
        <w:jc w:val="left"/>
        <w:tblInd w:w="0" w:type="dxa"/>
        <w:tblLayout w:type="fixed"/>
        <w:tblCellMar>
          <w:top w:w="28" w:type="dxa"/>
          <w:left w:w="28" w:type="dxa"/>
          <w:bottom w:w="28" w:type="dxa"/>
          <w:right w:w="28" w:type="dxa"/>
        </w:tblCellMar>
      </w:tblPr>
      <w:tblGrid>
        <w:gridCol w:w="2131"/>
      </w:tblGrid>
      <w:tr>
        <w:trPr/>
        <w:tc>
          <w:tcPr>
            <w:tcW w:w="2131" w:type="dxa"/>
            <w:tcBorders/>
            <w:vAlign w:val="center"/>
          </w:tcPr>
          <w:p>
            <w:pPr>
              <w:pStyle w:val="TableContents"/>
              <w:bidi w:val="0"/>
              <w:spacing w:before="0" w:after="283"/>
              <w:jc w:val="left"/>
              <w:rPr>
                <w:sz w:val="4"/>
                <w:szCs w:val="4"/>
              </w:rPr>
            </w:pPr>
            <w:r>
              <w:rPr>
                <w:sz w:val="4"/>
                <w:szCs w:val="4"/>
              </w:rPr>
            </w:r>
          </w:p>
        </w:tc>
      </w:tr>
      <w:tr>
        <w:trPr/>
        <w:tc>
          <w:tcPr>
            <w:tcW w:w="213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Mimi E. Vaughn</w:t>
            </w:r>
          </w:p>
        </w:tc>
      </w:tr>
      <w:tr>
        <w:trPr/>
        <w:tc>
          <w:tcPr>
            <w:tcW w:w="21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Mimi E. Vaughn</w:t>
            </w:r>
          </w:p>
        </w:tc>
      </w:tr>
      <w:tr>
        <w:trPr/>
        <w:tc>
          <w:tcPr>
            <w:tcW w:w="21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Executive Officer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gco-ex31_2.htm"/>
      <w:bookmarkStart w:id="26" w:name="ksgcoex31_2"/>
      <w:bookmarkEnd w:id="25"/>
      <w:bookmarkEnd w:id="26"/>
      <w:r>
        <w:rPr>
          <w:rFonts w:ascii="Times New Roman" w:hAnsi="Times New Roman"/>
          <w:b/>
          <w:color w:val="000000"/>
          <w:sz w:val="20"/>
        </w:rPr>
        <w:t>Exhibit 31.2</w:t>
      </w:r>
      <w:r>
        <w:br w:type="page"/>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CERTIFICATIONS OF PRINCIPAL FINANCIAL OFFICER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Jonathan M. Collins,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of Genesco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September 10, 2026</w:t>
      </w:r>
    </w:p>
    <w:p>
      <w:pPr>
        <w:pStyle w:val="TextBody"/>
        <w:bidi w:val="0"/>
        <w:jc w:val="left"/>
        <w:rPr/>
      </w:pPr>
      <w:r>
        <w:rPr/>
        <w:t> </w:t>
      </w:r>
    </w:p>
    <w:tbl>
      <w:tblPr>
        <w:tblW w:w="4951" w:type="dxa"/>
        <w:jc w:val="left"/>
        <w:tblInd w:w="0" w:type="dxa"/>
        <w:tblLayout w:type="fixed"/>
        <w:tblCellMar>
          <w:top w:w="28" w:type="dxa"/>
          <w:left w:w="28" w:type="dxa"/>
          <w:bottom w:w="28" w:type="dxa"/>
          <w:right w:w="28" w:type="dxa"/>
        </w:tblCellMar>
      </w:tblPr>
      <w:tblGrid>
        <w:gridCol w:w="4951"/>
      </w:tblGrid>
      <w:tr>
        <w:trPr/>
        <w:tc>
          <w:tcPr>
            <w:tcW w:w="4951" w:type="dxa"/>
            <w:tcBorders/>
            <w:vAlign w:val="center"/>
          </w:tcPr>
          <w:p>
            <w:pPr>
              <w:pStyle w:val="TableContents"/>
              <w:bidi w:val="0"/>
              <w:spacing w:before="0" w:after="283"/>
              <w:jc w:val="left"/>
              <w:rPr>
                <w:sz w:val="4"/>
                <w:szCs w:val="4"/>
              </w:rPr>
            </w:pPr>
            <w:r>
              <w:rPr>
                <w:sz w:val="4"/>
                <w:szCs w:val="4"/>
              </w:rPr>
            </w:r>
          </w:p>
        </w:tc>
      </w:tr>
      <w:tr>
        <w:trPr/>
        <w:tc>
          <w:tcPr>
            <w:tcW w:w="495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Jonathan M. Collins</w:t>
            </w:r>
          </w:p>
        </w:tc>
      </w:tr>
      <w:tr>
        <w:trPr/>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Jonathan M. Collins</w:t>
            </w:r>
          </w:p>
        </w:tc>
      </w:tr>
      <w:tr>
        <w:trPr/>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 Finance and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gco-ex32_1.htm"/>
      <w:bookmarkStart w:id="28" w:name="ksgcoex32_1"/>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connection with the Quarterly Report of Genesco Inc. (the “Company”) on Form 10-Q for the period ended August 1, 2026, as filed with the Securities and Exchange Commission on the date hereof (the “Report”), I, Mimi E. Vaughn, Chief Executive Officer of the Company, certify, pursuant to 18 U.S.C. Section 1350, as adopted pursuant to Section 906 of the Sarbanes-Oxley Act of 2002, that: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jc w:val="left"/>
        <w:rPr/>
      </w:pPr>
      <w:r>
        <w:rPr/>
        <w:t> </w:t>
      </w:r>
    </w:p>
    <w:tbl>
      <w:tblPr>
        <w:tblW w:w="2131" w:type="dxa"/>
        <w:jc w:val="left"/>
        <w:tblInd w:w="0" w:type="dxa"/>
        <w:tblLayout w:type="fixed"/>
        <w:tblCellMar>
          <w:top w:w="28" w:type="dxa"/>
          <w:left w:w="28" w:type="dxa"/>
          <w:bottom w:w="28" w:type="dxa"/>
          <w:right w:w="28" w:type="dxa"/>
        </w:tblCellMar>
      </w:tblPr>
      <w:tblGrid>
        <w:gridCol w:w="2131"/>
      </w:tblGrid>
      <w:tr>
        <w:trPr/>
        <w:tc>
          <w:tcPr>
            <w:tcW w:w="2131" w:type="dxa"/>
            <w:tcBorders/>
            <w:vAlign w:val="center"/>
          </w:tcPr>
          <w:p>
            <w:pPr>
              <w:pStyle w:val="TableContents"/>
              <w:bidi w:val="0"/>
              <w:spacing w:before="0" w:after="283"/>
              <w:jc w:val="left"/>
              <w:rPr>
                <w:sz w:val="4"/>
                <w:szCs w:val="4"/>
              </w:rPr>
            </w:pPr>
            <w:r>
              <w:rPr>
                <w:sz w:val="4"/>
                <w:szCs w:val="4"/>
              </w:rPr>
            </w:r>
          </w:p>
        </w:tc>
      </w:tr>
      <w:tr>
        <w:trPr/>
        <w:tc>
          <w:tcPr>
            <w:tcW w:w="213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Mimi E. Vaughn</w:t>
            </w:r>
          </w:p>
        </w:tc>
      </w:tr>
      <w:tr>
        <w:trPr/>
        <w:tc>
          <w:tcPr>
            <w:tcW w:w="21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Mimi E. Vaughn</w:t>
            </w:r>
          </w:p>
        </w:tc>
      </w:tr>
      <w:tr>
        <w:trPr/>
        <w:tc>
          <w:tcPr>
            <w:tcW w:w="21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Executive Officer </w:t>
            </w:r>
          </w:p>
        </w:tc>
      </w:tr>
      <w:tr>
        <w:trPr/>
        <w:tc>
          <w:tcPr>
            <w:tcW w:w="21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10, 2026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gco-ex32_2.htm"/>
      <w:bookmarkStart w:id="30" w:name="ksgcoex32_2"/>
      <w:bookmarkEnd w:id="29"/>
      <w:bookmarkEnd w:id="3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connection with the Quarterly Report of Genesco Inc. (the “Company”) on Form 10-Q for the period ending August 1, 2026 as filed with the Securities and Exchange Commission on the date hereof (the “Report”), I, Jonathan M. Collins, Senior Vice President - Finance and Chief Financial Officer of the Company, certify, pursuant to 18 U.S.C. Section 1350, as adopted pursuant to Section 906 of the Sarbanes-Oxley Act of 2002, that: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jc w:val="left"/>
        <w:rPr/>
      </w:pPr>
      <w:r>
        <w:rPr/>
        <w:t> </w:t>
      </w:r>
    </w:p>
    <w:tbl>
      <w:tblPr>
        <w:tblW w:w="4951" w:type="dxa"/>
        <w:jc w:val="left"/>
        <w:tblInd w:w="0" w:type="dxa"/>
        <w:tblLayout w:type="fixed"/>
        <w:tblCellMar>
          <w:top w:w="28" w:type="dxa"/>
          <w:left w:w="28" w:type="dxa"/>
          <w:bottom w:w="28" w:type="dxa"/>
          <w:right w:w="28" w:type="dxa"/>
        </w:tblCellMar>
      </w:tblPr>
      <w:tblGrid>
        <w:gridCol w:w="4951"/>
      </w:tblGrid>
      <w:tr>
        <w:trPr/>
        <w:tc>
          <w:tcPr>
            <w:tcW w:w="4951" w:type="dxa"/>
            <w:tcBorders/>
            <w:vAlign w:val="center"/>
          </w:tcPr>
          <w:p>
            <w:pPr>
              <w:pStyle w:val="TableContents"/>
              <w:bidi w:val="0"/>
              <w:spacing w:before="0" w:after="283"/>
              <w:jc w:val="left"/>
              <w:rPr>
                <w:sz w:val="4"/>
                <w:szCs w:val="4"/>
              </w:rPr>
            </w:pPr>
            <w:r>
              <w:rPr>
                <w:sz w:val="4"/>
                <w:szCs w:val="4"/>
              </w:rPr>
            </w:r>
          </w:p>
        </w:tc>
      </w:tr>
      <w:tr>
        <w:trPr/>
        <w:tc>
          <w:tcPr>
            <w:tcW w:w="49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Jonathan M. Collins</w:t>
            </w:r>
          </w:p>
        </w:tc>
      </w:tr>
      <w:tr>
        <w:trPr/>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Jonathan M. Collins</w:t>
            </w:r>
          </w:p>
        </w:tc>
      </w:tr>
      <w:tr>
        <w:trPr/>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 Finance and Chief Financial Officer</w:t>
            </w:r>
          </w:p>
        </w:tc>
      </w:tr>
      <w:tr>
        <w:trPr/>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10, 2026</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entury Gothic">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16858</Words>
  <Characters>90670</Characters>
  <CharactersWithSpaces>108474</CharactersWithSpaces>
  <Paragraphs>5130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