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4" w:lineRule="exact"/>
        <w:rPr>
          <w:sz w:val="24"/>
          <w:szCs w:val="24"/>
          <w:color w:val="auto"/>
        </w:rPr>
      </w:pPr>
    </w:p>
    <w:p>
      <w:pPr>
        <w:ind w:left="4705"/>
        <w:spacing w:after="0"/>
        <w:rPr>
          <w:sz w:val="20"/>
          <w:szCs w:val="20"/>
          <w:color w:val="auto"/>
        </w:rPr>
      </w:pPr>
      <w:r>
        <w:rPr>
          <w:rFonts w:ascii="Times New Roman" w:cs="Times New Roman" w:eastAsia="Times New Roman" w:hAnsi="Times New Roman"/>
          <w:sz w:val="16"/>
          <w:szCs w:val="16"/>
          <w:b w:val="1"/>
          <w:bCs w:val="1"/>
          <w:color w:val="231F20"/>
        </w:rPr>
        <w:t>CURRENT REPORT</w:t>
      </w:r>
    </w:p>
    <w:p>
      <w:pPr>
        <w:spacing w:after="0" w:line="24" w:lineRule="exact"/>
        <w:rPr>
          <w:sz w:val="24"/>
          <w:szCs w:val="24"/>
          <w:color w:val="auto"/>
        </w:rPr>
      </w:pPr>
    </w:p>
    <w:p>
      <w:pPr>
        <w:ind w:left="3265"/>
        <w:spacing w:after="0"/>
        <w:rPr>
          <w:sz w:val="20"/>
          <w:szCs w:val="20"/>
          <w:color w:val="auto"/>
        </w:rPr>
      </w:pPr>
      <w:r>
        <w:rPr>
          <w:rFonts w:ascii="Times New Roman" w:cs="Times New Roman" w:eastAsia="Times New Roman" w:hAnsi="Times New Roman"/>
          <w:sz w:val="16"/>
          <w:szCs w:val="16"/>
          <w:b w:val="1"/>
          <w:bCs w:val="1"/>
          <w:color w:val="231F20"/>
        </w:rPr>
        <w:t>Pursuant to Section 13 or 15(d) of the Securities Exchange Act of 1934</w:t>
      </w:r>
    </w:p>
    <w:p>
      <w:pPr>
        <w:spacing w:after="0" w:line="17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May 29, 2026</w:t>
      </w:r>
    </w:p>
    <w:p>
      <w:pPr>
        <w:spacing w:after="0" w:line="2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GENESCO INC.</w:t>
      </w:r>
    </w:p>
    <w:p>
      <w:pPr>
        <w:spacing w:after="0" w:line="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9" w:lineRule="exact"/>
        <w:rPr>
          <w:sz w:val="24"/>
          <w:szCs w:val="24"/>
          <w:color w:val="auto"/>
        </w:rPr>
      </w:pPr>
    </w:p>
    <w:tbl>
      <w:tblPr>
        <w:tblLayout w:type="fixed"/>
        <w:tblInd w:w="1065" w:type="dxa"/>
        <w:tblCellMar>
          <w:top w:w="0" w:type="dxa"/>
          <w:left w:w="0" w:type="dxa"/>
          <w:bottom w:w="0" w:type="dxa"/>
          <w:right w:w="0" w:type="dxa"/>
        </w:tblCellMar>
      </w:tblPr>
      <w:tr>
        <w:trPr>
          <w:trHeight w:val="175"/>
        </w:trPr>
        <w:tc>
          <w:tcPr>
            <w:tcW w:w="2320" w:type="dxa"/>
            <w:vAlign w:val="bottom"/>
          </w:tcPr>
          <w:p>
            <w:pPr>
              <w:jc w:val="center"/>
              <w:ind w:right="544"/>
              <w:spacing w:after="0"/>
              <w:rPr>
                <w:sz w:val="20"/>
                <w:szCs w:val="20"/>
                <w:color w:val="auto"/>
              </w:rPr>
            </w:pPr>
            <w:r>
              <w:rPr>
                <w:rFonts w:ascii="Times New Roman" w:cs="Times New Roman" w:eastAsia="Times New Roman" w:hAnsi="Times New Roman"/>
                <w:sz w:val="14"/>
                <w:szCs w:val="14"/>
                <w:b w:val="1"/>
                <w:bCs w:val="1"/>
                <w:color w:val="auto"/>
              </w:rPr>
              <w:t>Tennessee</w:t>
            </w:r>
          </w:p>
        </w:tc>
        <w:tc>
          <w:tcPr>
            <w:tcW w:w="1320" w:type="dxa"/>
            <w:vAlign w:val="bottom"/>
          </w:tcPr>
          <w:p>
            <w:pPr>
              <w:spacing w:after="0"/>
              <w:rPr>
                <w:sz w:val="15"/>
                <w:szCs w:val="15"/>
                <w:color w:val="auto"/>
              </w:rPr>
            </w:pPr>
          </w:p>
        </w:tc>
        <w:tc>
          <w:tcPr>
            <w:tcW w:w="306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1-3083</w:t>
            </w:r>
          </w:p>
        </w:tc>
        <w:tc>
          <w:tcPr>
            <w:tcW w:w="17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62-0211340</w:t>
            </w:r>
          </w:p>
        </w:tc>
      </w:tr>
      <w:tr>
        <w:trPr>
          <w:trHeight w:val="189"/>
        </w:trPr>
        <w:tc>
          <w:tcPr>
            <w:tcW w:w="2320" w:type="dxa"/>
            <w:vAlign w:val="bottom"/>
          </w:tcPr>
          <w:p>
            <w:pPr>
              <w:jc w:val="center"/>
              <w:ind w:right="544"/>
              <w:spacing w:after="0"/>
              <w:rPr>
                <w:sz w:val="20"/>
                <w:szCs w:val="20"/>
                <w:color w:val="auto"/>
              </w:rPr>
            </w:pPr>
            <w:r>
              <w:rPr>
                <w:rFonts w:ascii="Times New Roman" w:cs="Times New Roman" w:eastAsia="Times New Roman" w:hAnsi="Times New Roman"/>
                <w:sz w:val="16"/>
                <w:szCs w:val="16"/>
                <w:color w:val="auto"/>
                <w:w w:val="97"/>
              </w:rPr>
              <w:t>(State or Other Jurisdiction</w:t>
            </w:r>
          </w:p>
        </w:tc>
        <w:tc>
          <w:tcPr>
            <w:tcW w:w="1320" w:type="dxa"/>
            <w:vAlign w:val="bottom"/>
          </w:tcPr>
          <w:p>
            <w:pPr>
              <w:spacing w:after="0"/>
              <w:rPr>
                <w:sz w:val="16"/>
                <w:szCs w:val="16"/>
                <w:color w:val="auto"/>
              </w:rPr>
            </w:pPr>
          </w:p>
        </w:tc>
        <w:tc>
          <w:tcPr>
            <w:tcW w:w="3060" w:type="dxa"/>
            <w:vAlign w:val="bottom"/>
          </w:tcPr>
          <w:p>
            <w:pPr>
              <w:jc w:val="center"/>
              <w:ind w:right="2044"/>
              <w:spacing w:after="0"/>
              <w:rPr>
                <w:sz w:val="20"/>
                <w:szCs w:val="20"/>
                <w:color w:val="auto"/>
              </w:rPr>
            </w:pPr>
            <w:r>
              <w:rPr>
                <w:rFonts w:ascii="Times New Roman" w:cs="Times New Roman" w:eastAsia="Times New Roman" w:hAnsi="Times New Roman"/>
                <w:sz w:val="16"/>
                <w:szCs w:val="16"/>
                <w:color w:val="auto"/>
                <w:w w:val="99"/>
              </w:rPr>
              <w:t>(Commission</w:t>
            </w:r>
          </w:p>
        </w:tc>
        <w:tc>
          <w:tcPr>
            <w:tcW w:w="1700" w:type="dxa"/>
            <w:vAlign w:val="bottom"/>
          </w:tcPr>
          <w:p>
            <w:pPr>
              <w:jc w:val="center"/>
              <w:ind w:left="464"/>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06"/>
        </w:trPr>
        <w:tc>
          <w:tcPr>
            <w:tcW w:w="2320" w:type="dxa"/>
            <w:vAlign w:val="bottom"/>
          </w:tcPr>
          <w:p>
            <w:pPr>
              <w:jc w:val="center"/>
              <w:ind w:right="524"/>
              <w:spacing w:after="0"/>
              <w:rPr>
                <w:sz w:val="20"/>
                <w:szCs w:val="20"/>
                <w:color w:val="auto"/>
              </w:rPr>
            </w:pPr>
            <w:r>
              <w:rPr>
                <w:rFonts w:ascii="Times New Roman" w:cs="Times New Roman" w:eastAsia="Times New Roman" w:hAnsi="Times New Roman"/>
                <w:sz w:val="16"/>
                <w:szCs w:val="16"/>
                <w:color w:val="auto"/>
                <w:w w:val="98"/>
              </w:rPr>
              <w:t>of Incorporation)</w:t>
            </w:r>
          </w:p>
        </w:tc>
        <w:tc>
          <w:tcPr>
            <w:tcW w:w="1320" w:type="dxa"/>
            <w:vAlign w:val="bottom"/>
          </w:tcPr>
          <w:p>
            <w:pPr>
              <w:spacing w:after="0"/>
              <w:rPr>
                <w:sz w:val="17"/>
                <w:szCs w:val="17"/>
                <w:color w:val="auto"/>
              </w:rPr>
            </w:pPr>
          </w:p>
        </w:tc>
        <w:tc>
          <w:tcPr>
            <w:tcW w:w="3060" w:type="dxa"/>
            <w:vAlign w:val="bottom"/>
          </w:tcPr>
          <w:p>
            <w:pPr>
              <w:jc w:val="center"/>
              <w:ind w:right="2044"/>
              <w:spacing w:after="0"/>
              <w:rPr>
                <w:sz w:val="20"/>
                <w:szCs w:val="20"/>
                <w:color w:val="auto"/>
              </w:rPr>
            </w:pPr>
            <w:r>
              <w:rPr>
                <w:rFonts w:ascii="Times New Roman" w:cs="Times New Roman" w:eastAsia="Times New Roman" w:hAnsi="Times New Roman"/>
                <w:sz w:val="16"/>
                <w:szCs w:val="16"/>
                <w:color w:val="auto"/>
                <w:w w:val="99"/>
              </w:rPr>
              <w:t>File Number)</w:t>
            </w:r>
          </w:p>
        </w:tc>
        <w:tc>
          <w:tcPr>
            <w:tcW w:w="1700" w:type="dxa"/>
            <w:vAlign w:val="bottom"/>
          </w:tcPr>
          <w:p>
            <w:pPr>
              <w:jc w:val="center"/>
              <w:ind w:left="464"/>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267"/>
        </w:trPr>
        <w:tc>
          <w:tcPr>
            <w:tcW w:w="2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535 Marriott Drive</w:t>
            </w:r>
          </w:p>
        </w:tc>
        <w:tc>
          <w:tcPr>
            <w:tcW w:w="13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Nashville</w:t>
            </w:r>
          </w:p>
        </w:tc>
        <w:tc>
          <w:tcPr>
            <w:tcW w:w="3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Tennessee</w:t>
            </w:r>
          </w:p>
        </w:tc>
        <w:tc>
          <w:tcPr>
            <w:tcW w:w="17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37214</w:t>
            </w:r>
          </w:p>
        </w:tc>
      </w:tr>
      <w:tr>
        <w:trPr>
          <w:trHeight w:val="206"/>
        </w:trPr>
        <w:tc>
          <w:tcPr>
            <w:tcW w:w="36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60" w:type="dxa"/>
            <w:vAlign w:val="bottom"/>
          </w:tcPr>
          <w:p>
            <w:pPr>
              <w:spacing w:after="0"/>
              <w:rPr>
                <w:sz w:val="17"/>
                <w:szCs w:val="17"/>
                <w:color w:val="auto"/>
              </w:rPr>
            </w:pPr>
          </w:p>
        </w:tc>
        <w:tc>
          <w:tcPr>
            <w:tcW w:w="1700" w:type="dxa"/>
            <w:vAlign w:val="bottom"/>
          </w:tcPr>
          <w:p>
            <w:pPr>
              <w:jc w:val="center"/>
              <w:ind w:left="484"/>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61"/>
        </w:trPr>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60" w:type="dxa"/>
            <w:vAlign w:val="bottom"/>
          </w:tcPr>
          <w:p>
            <w:pPr>
              <w:jc w:val="right"/>
              <w:ind w:right="1564"/>
              <w:spacing w:after="0"/>
              <w:rPr>
                <w:sz w:val="20"/>
                <w:szCs w:val="20"/>
                <w:color w:val="auto"/>
              </w:rPr>
            </w:pPr>
            <w:r>
              <w:rPr>
                <w:rFonts w:ascii="Times New Roman" w:cs="Times New Roman" w:eastAsia="Times New Roman" w:hAnsi="Times New Roman"/>
                <w:sz w:val="16"/>
                <w:szCs w:val="16"/>
                <w:b w:val="1"/>
                <w:bCs w:val="1"/>
                <w:color w:val="auto"/>
              </w:rPr>
              <w:t>(615) 367-7000</w:t>
            </w:r>
          </w:p>
        </w:tc>
        <w:tc>
          <w:tcPr>
            <w:tcW w:w="1700" w:type="dxa"/>
            <w:vAlign w:val="bottom"/>
          </w:tcPr>
          <w:p>
            <w:pPr>
              <w:spacing w:after="0"/>
              <w:rPr>
                <w:sz w:val="24"/>
                <w:szCs w:val="24"/>
                <w:color w:val="auto"/>
              </w:rPr>
            </w:pPr>
          </w:p>
        </w:tc>
      </w:tr>
      <w:tr>
        <w:trPr>
          <w:trHeight w:val="206"/>
        </w:trPr>
        <w:tc>
          <w:tcPr>
            <w:tcW w:w="2320" w:type="dxa"/>
            <w:vAlign w:val="bottom"/>
          </w:tcPr>
          <w:p>
            <w:pPr>
              <w:spacing w:after="0"/>
              <w:rPr>
                <w:sz w:val="17"/>
                <w:szCs w:val="17"/>
                <w:color w:val="auto"/>
              </w:rPr>
            </w:pPr>
          </w:p>
        </w:tc>
        <w:tc>
          <w:tcPr>
            <w:tcW w:w="4380" w:type="dxa"/>
            <w:vAlign w:val="bottom"/>
            <w:gridSpan w:val="2"/>
          </w:tcPr>
          <w:p>
            <w:pPr>
              <w:jc w:val="center"/>
              <w:ind w:left="45"/>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1700" w:type="dxa"/>
            <w:vAlign w:val="bottom"/>
          </w:tcPr>
          <w:p>
            <w:pPr>
              <w:spacing w:after="0"/>
              <w:rPr>
                <w:sz w:val="17"/>
                <w:szCs w:val="17"/>
                <w:color w:val="auto"/>
              </w:rPr>
            </w:pPr>
          </w:p>
        </w:tc>
      </w:tr>
    </w:tbl>
    <w:p>
      <w:pPr>
        <w:spacing w:after="0" w:line="17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7"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2"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94"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194"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7" w:lineRule="exact"/>
        <w:rPr>
          <w:sz w:val="24"/>
          <w:szCs w:val="24"/>
          <w:color w:val="auto"/>
        </w:rPr>
      </w:pPr>
    </w:p>
    <w:tbl>
      <w:tblPr>
        <w:tblLayout w:type="fixed"/>
        <w:tblInd w:w="15" w:type="dxa"/>
        <w:tblCellMar>
          <w:top w:w="0" w:type="dxa"/>
          <w:left w:w="0" w:type="dxa"/>
          <w:bottom w:w="0" w:type="dxa"/>
          <w:right w:w="0" w:type="dxa"/>
        </w:tblCellMar>
      </w:tblPr>
      <w:tr>
        <w:trPr>
          <w:trHeight w:val="174"/>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r>
      <w:tr>
        <w:trPr>
          <w:trHeight w:val="153"/>
        </w:trPr>
        <w:tc>
          <w:tcPr>
            <w:tcW w:w="3960" w:type="dxa"/>
            <w:vAlign w:val="bottom"/>
            <w:tcBorders>
              <w:left w:val="single" w:sz="8" w:color="auto"/>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Common Stock, $1.00 par value</w:t>
            </w:r>
          </w:p>
        </w:tc>
        <w:tc>
          <w:tcPr>
            <w:tcW w:w="2440" w:type="dxa"/>
            <w:vAlign w:val="bottom"/>
            <w:tcBorders>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GCO</w:t>
            </w:r>
          </w:p>
        </w:tc>
        <w:tc>
          <w:tcPr>
            <w:tcW w:w="4860" w:type="dxa"/>
            <w:vAlign w:val="bottom"/>
            <w:tcBorders>
              <w:bottom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73"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345"/>
        <w:spacing w:after="0" w:line="173" w:lineRule="exact"/>
        <w:rPr>
          <w:sz w:val="20"/>
          <w:szCs w:val="20"/>
          <w:color w:val="auto"/>
        </w:rPr>
      </w:pPr>
      <w:r>
        <w:rPr>
          <w:rFonts w:ascii="Times New Roman" w:cs="Times New Roman" w:eastAsia="Times New Roman" w:hAnsi="Times New Roman"/>
          <w:sz w:val="15"/>
          <w:szCs w:val="15"/>
          <w:color w:val="231F20"/>
        </w:rPr>
        <w:t xml:space="preserve">Emerging growth company </w:t>
      </w:r>
      <w:r>
        <w:rPr>
          <w:rFonts w:ascii="MS PGothic" w:cs="MS PGothic" w:eastAsia="MS PGothic" w:hAnsi="MS PGothic"/>
          <w:sz w:val="15"/>
          <w:szCs w:val="15"/>
          <w:color w:val="000000"/>
        </w:rPr>
        <w:t>☐</w:t>
      </w:r>
    </w:p>
    <w:p>
      <w:pPr>
        <w:spacing w:after="0" w:line="240" w:lineRule="exact"/>
        <w:rPr>
          <w:sz w:val="24"/>
          <w:szCs w:val="24"/>
          <w:color w:val="auto"/>
        </w:rPr>
      </w:pPr>
    </w:p>
    <w:p>
      <w:pPr>
        <w:ind w:left="5" w:right="300"/>
        <w:spacing w:after="0" w:line="254"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jc w:val="right"/>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669290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left="5" w:right="180"/>
        <w:spacing w:after="0" w:line="276" w:lineRule="auto"/>
        <w:rPr>
          <w:sz w:val="20"/>
          <w:szCs w:val="20"/>
          <w:color w:val="auto"/>
        </w:rPr>
      </w:pPr>
      <w:r>
        <w:rPr>
          <w:rFonts w:ascii="Times New Roman" w:cs="Times New Roman" w:eastAsia="Times New Roman" w:hAnsi="Times New Roman"/>
          <w:sz w:val="16"/>
          <w:szCs w:val="16"/>
          <w:color w:val="auto"/>
        </w:rPr>
        <w:t>On May 29, 2026, Genesco Inc. issued a press release announcing results of operations for the first fiscal quarter ended May 2, 2026. A copy of the press release is furnished as Exhibit 99.1 to this Current Report on Form 8-K.</w:t>
      </w:r>
    </w:p>
    <w:p>
      <w:pPr>
        <w:spacing w:after="0" w:line="145"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 xml:space="preserve">On May 29, 2026, the Company also posted on its website, </w:t>
      </w:r>
      <w:r>
        <w:rPr>
          <w:rFonts w:ascii="Times New Roman" w:cs="Times New Roman" w:eastAsia="Times New Roman" w:hAnsi="Times New Roman"/>
          <w:sz w:val="16"/>
          <w:szCs w:val="16"/>
          <w:u w:val="single" w:color="auto"/>
          <w:color w:val="auto"/>
        </w:rPr>
        <w:t>www.genesco.com</w:t>
      </w:r>
      <w:r>
        <w:rPr>
          <w:rFonts w:ascii="Times New Roman" w:cs="Times New Roman" w:eastAsia="Times New Roman" w:hAnsi="Times New Roman"/>
          <w:sz w:val="16"/>
          <w:szCs w:val="16"/>
          <w:color w:val="auto"/>
        </w:rPr>
        <w:t>, a slide presentation with summary results. A copy of the slide presentation is furnished as Exhibit 99.2 to this Current Report on Form 8-K.</w:t>
      </w:r>
    </w:p>
    <w:p>
      <w:pPr>
        <w:spacing w:after="0" w:line="145" w:lineRule="exact"/>
        <w:rPr>
          <w:sz w:val="20"/>
          <w:szCs w:val="20"/>
          <w:color w:val="auto"/>
        </w:rPr>
      </w:pPr>
    </w:p>
    <w:p>
      <w:pPr>
        <w:ind w:left="5" w:right="80"/>
        <w:spacing w:after="0" w:line="254" w:lineRule="auto"/>
        <w:rPr>
          <w:sz w:val="20"/>
          <w:szCs w:val="20"/>
          <w:color w:val="auto"/>
        </w:rPr>
      </w:pPr>
      <w:r>
        <w:rPr>
          <w:rFonts w:ascii="Times New Roman" w:cs="Times New Roman" w:eastAsia="Times New Roman" w:hAnsi="Times New Roman"/>
          <w:sz w:val="16"/>
          <w:szCs w:val="16"/>
          <w:color w:val="auto"/>
        </w:rPr>
        <w:t>In addition to disclosing financial results calculated in accordance with United States generally accepted accounting principles (GAAP), the press release furnished herewith contains non-GAAP financial measures, including adjusted gross margin, selling and administrative expenses, operating income (loss), pretax earnings (loss), earnings (loss) from continuing operations and earnings (loss) per share from continuing operations, as discussed in the text of the release and as detailed on the reconciliation schedule attached to the press release. For consistency and ease of comparison with the adjusted results for the prior period announced last year, the Company believes that disclosure of the non-GAAP measures will be useful to investors.</w:t>
      </w:r>
    </w:p>
    <w:p>
      <w:pPr>
        <w:spacing w:after="0" w:line="2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465" w:hanging="465"/>
        <w:spacing w:after="0"/>
        <w:tabs>
          <w:tab w:leader="none" w:pos="4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4" w:lineRule="exact"/>
        <w:rPr>
          <w:sz w:val="20"/>
          <w:szCs w:val="20"/>
          <w:color w:val="auto"/>
        </w:rPr>
      </w:pPr>
    </w:p>
    <w:p>
      <w:pPr>
        <w:ind w:left="505"/>
        <w:spacing w:after="0"/>
        <w:rPr>
          <w:sz w:val="20"/>
          <w:szCs w:val="20"/>
          <w:color w:val="auto"/>
        </w:rPr>
      </w:pPr>
      <w:r>
        <w:rPr>
          <w:rFonts w:ascii="Times New Roman" w:cs="Times New Roman" w:eastAsia="Times New Roman" w:hAnsi="Times New Roman"/>
          <w:sz w:val="16"/>
          <w:szCs w:val="16"/>
          <w:color w:val="auto"/>
        </w:rPr>
        <w:t>The following exhibits are furnished herewith:</w:t>
      </w: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2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40" w:type="dxa"/>
            <w:vAlign w:val="bottom"/>
          </w:tcPr>
          <w:p>
            <w:pPr>
              <w:spacing w:after="0"/>
              <w:rPr>
                <w:sz w:val="13"/>
                <w:szCs w:val="13"/>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r>
      <w:tr>
        <w:trPr>
          <w:trHeight w:val="252"/>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99.1</w:t>
            </w:r>
          </w:p>
        </w:tc>
        <w:tc>
          <w:tcPr>
            <w:tcW w:w="140" w:type="dxa"/>
            <w:vAlign w:val="bottom"/>
          </w:tcPr>
          <w:p>
            <w:pPr>
              <w:spacing w:after="0"/>
              <w:rPr>
                <w:sz w:val="21"/>
                <w:szCs w:val="21"/>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issued by Genesco Inc. on May 29, 2026</w:t>
            </w:r>
          </w:p>
        </w:tc>
      </w:tr>
      <w:tr>
        <w:trPr>
          <w:trHeight w:val="20"/>
        </w:trPr>
        <w:tc>
          <w:tcPr>
            <w:tcW w:w="12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76"/>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99.2</w:t>
            </w:r>
          </w:p>
        </w:tc>
        <w:tc>
          <w:tcPr>
            <w:tcW w:w="140" w:type="dxa"/>
            <w:vAlign w:val="bottom"/>
          </w:tcPr>
          <w:p>
            <w:pPr>
              <w:spacing w:after="0"/>
              <w:rPr>
                <w:sz w:val="23"/>
                <w:szCs w:val="23"/>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Genesco Inc. First Quarter ended May 2, 2026 Summary Results</w:t>
            </w:r>
          </w:p>
        </w:tc>
      </w:tr>
      <w:tr>
        <w:trPr>
          <w:trHeight w:val="20"/>
        </w:trPr>
        <w:tc>
          <w:tcPr>
            <w:tcW w:w="12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312"/>
        </w:trPr>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104</w:t>
            </w:r>
          </w:p>
        </w:tc>
        <w:tc>
          <w:tcPr>
            <w:tcW w:w="140" w:type="dxa"/>
            <w:vAlign w:val="bottom"/>
          </w:tcPr>
          <w:p>
            <w:pPr>
              <w:spacing w:after="0"/>
              <w:rPr>
                <w:sz w:val="24"/>
                <w:szCs w:val="24"/>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44"/>
        </w:trPr>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30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40" w:type="dxa"/>
            <w:vAlign w:val="bottom"/>
          </w:tcPr>
          <w:p>
            <w:pPr>
              <w:spacing w:after="0"/>
              <w:rPr>
                <w:sz w:val="17"/>
                <w:szCs w:val="17"/>
                <w:color w:val="auto"/>
              </w:rPr>
            </w:pPr>
          </w:p>
        </w:tc>
        <w:tc>
          <w:tcPr>
            <w:tcW w:w="39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GENESCO INC.</w:t>
            </w:r>
          </w:p>
        </w:tc>
        <w:tc>
          <w:tcPr>
            <w:tcW w:w="4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7"/>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Date: May 29, 2026</w:t>
            </w:r>
          </w:p>
        </w:tc>
        <w:tc>
          <w:tcPr>
            <w:tcW w:w="39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Mimi E. Vaughn</w:t>
            </w:r>
          </w:p>
        </w:tc>
      </w:tr>
      <w:tr>
        <w:trPr>
          <w:trHeight w:val="165"/>
        </w:trPr>
        <w:tc>
          <w:tcPr>
            <w:tcW w:w="3240" w:type="dxa"/>
            <w:vAlign w:val="bottom"/>
          </w:tcPr>
          <w:p>
            <w:pPr>
              <w:spacing w:after="0"/>
              <w:rPr>
                <w:sz w:val="14"/>
                <w:szCs w:val="14"/>
                <w:color w:val="auto"/>
              </w:rPr>
            </w:pPr>
          </w:p>
        </w:tc>
        <w:tc>
          <w:tcPr>
            <w:tcW w:w="3940" w:type="dxa"/>
            <w:vAlign w:val="bottom"/>
          </w:tcPr>
          <w:p>
            <w:pPr>
              <w:ind w:left="19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0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Mimi E. Vaughn</w:t>
            </w:r>
          </w:p>
        </w:tc>
        <w:tc>
          <w:tcPr>
            <w:tcW w:w="40" w:type="dxa"/>
            <w:vAlign w:val="bottom"/>
          </w:tcPr>
          <w:p>
            <w:pPr>
              <w:spacing w:after="0"/>
              <w:rPr>
                <w:sz w:val="14"/>
                <w:szCs w:val="14"/>
                <w:color w:val="auto"/>
              </w:rPr>
            </w:pPr>
          </w:p>
        </w:tc>
      </w:tr>
      <w:tr>
        <w:trPr>
          <w:trHeight w:val="189"/>
        </w:trPr>
        <w:tc>
          <w:tcPr>
            <w:tcW w:w="3240" w:type="dxa"/>
            <w:vAlign w:val="bottom"/>
          </w:tcPr>
          <w:p>
            <w:pPr>
              <w:spacing w:after="0"/>
              <w:rPr>
                <w:sz w:val="16"/>
                <w:szCs w:val="16"/>
                <w:color w:val="auto"/>
              </w:rPr>
            </w:pPr>
          </w:p>
        </w:tc>
        <w:tc>
          <w:tcPr>
            <w:tcW w:w="394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Title:</w:t>
            </w: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Board Chair, President, Chief Executive Officer</w:t>
            </w:r>
          </w:p>
        </w:tc>
      </w:tr>
      <w:tr>
        <w:trPr>
          <w:trHeight w:val="206"/>
        </w:trPr>
        <w:tc>
          <w:tcPr>
            <w:tcW w:w="32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Interim Chief Financial Officer</w:t>
            </w:r>
          </w:p>
        </w:tc>
      </w:tr>
      <w:tr>
        <w:trPr>
          <w:trHeight w:val="1044"/>
        </w:trPr>
        <w:tc>
          <w:tcPr>
            <w:tcW w:w="32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50" w:lineRule="exact"/>
        <w:rPr>
          <w:sz w:val="20"/>
          <w:szCs w:val="20"/>
          <w:color w:val="auto"/>
        </w:rPr>
      </w:pPr>
    </w:p>
    <w:p>
      <w:pPr>
        <w:ind w:left="3125" w:right="2720" w:hanging="642"/>
        <w:spacing w:after="0" w:line="259" w:lineRule="auto"/>
        <w:rPr>
          <w:sz w:val="20"/>
          <w:szCs w:val="20"/>
          <w:color w:val="auto"/>
        </w:rPr>
      </w:pPr>
      <w:r>
        <w:rPr>
          <w:rFonts w:ascii="Arial" w:cs="Arial" w:eastAsia="Arial" w:hAnsi="Arial"/>
          <w:sz w:val="18"/>
          <w:szCs w:val="18"/>
          <w:b w:val="1"/>
          <w:bCs w:val="1"/>
          <w:color w:val="auto"/>
        </w:rPr>
        <w:t xml:space="preserve">GENESCO INC. REPORTS FISCAL 2027 FIRST QUARTER RESULTS </w:t>
      </w:r>
      <w:r>
        <w:rPr>
          <w:rFonts w:ascii="Arial" w:cs="Arial" w:eastAsia="Arial" w:hAnsi="Arial"/>
          <w:sz w:val="16"/>
          <w:szCs w:val="16"/>
          <w:b w:val="1"/>
          <w:bCs w:val="1"/>
          <w:color w:val="auto"/>
        </w:rPr>
        <w:t>--Sales and Bottom Line Improvement Exceed Expectations--</w:t>
      </w:r>
    </w:p>
    <w:p>
      <w:pPr>
        <w:jc w:val="center"/>
        <w:ind w:right="-4"/>
        <w:spacing w:after="0" w:line="233" w:lineRule="auto"/>
        <w:rPr>
          <w:sz w:val="20"/>
          <w:szCs w:val="20"/>
          <w:color w:val="auto"/>
        </w:rPr>
      </w:pPr>
      <w:r>
        <w:rPr>
          <w:rFonts w:ascii="Arial" w:cs="Arial" w:eastAsia="Arial" w:hAnsi="Arial"/>
          <w:sz w:val="17"/>
          <w:szCs w:val="17"/>
          <w:b w:val="1"/>
          <w:bCs w:val="1"/>
          <w:color w:val="auto"/>
        </w:rPr>
        <w:t>-- Journeys Comparable Sales +5%, Johnston &amp; Murphy Comparable Sales +7%--</w:t>
      </w:r>
    </w:p>
    <w:p>
      <w:pPr>
        <w:jc w:val="center"/>
        <w:ind w:right="-4"/>
        <w:spacing w:after="0" w:line="232" w:lineRule="auto"/>
        <w:rPr>
          <w:sz w:val="20"/>
          <w:szCs w:val="20"/>
          <w:color w:val="auto"/>
        </w:rPr>
      </w:pPr>
      <w:r>
        <w:rPr>
          <w:rFonts w:ascii="Arial" w:cs="Arial" w:eastAsia="Arial" w:hAnsi="Arial"/>
          <w:sz w:val="17"/>
          <w:szCs w:val="17"/>
          <w:b w:val="1"/>
          <w:bCs w:val="1"/>
          <w:color w:val="auto"/>
        </w:rPr>
        <w:t>--Seventh Consecutive Quarter of Positive Total Comparable Sales Growth--</w:t>
      </w:r>
    </w:p>
    <w:p>
      <w:pPr>
        <w:jc w:val="center"/>
        <w:ind w:right="-4"/>
        <w:spacing w:after="0" w:line="232" w:lineRule="auto"/>
        <w:rPr>
          <w:sz w:val="20"/>
          <w:szCs w:val="20"/>
          <w:color w:val="auto"/>
        </w:rPr>
      </w:pPr>
      <w:r>
        <w:rPr>
          <w:rFonts w:ascii="Arial" w:cs="Arial" w:eastAsia="Arial" w:hAnsi="Arial"/>
          <w:sz w:val="17"/>
          <w:szCs w:val="17"/>
          <w:b w:val="1"/>
          <w:bCs w:val="1"/>
          <w:color w:val="auto"/>
        </w:rPr>
        <w:t>--Announces New $40 to $50 million Cost Savings Program--</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--Raises Full Year EPS Outlook Range to $2.00 to $2.40--</w:t>
      </w:r>
    </w:p>
    <w:p>
      <w:pPr>
        <w:spacing w:after="0" w:line="167" w:lineRule="exact"/>
        <w:rPr>
          <w:sz w:val="20"/>
          <w:szCs w:val="20"/>
          <w:color w:val="auto"/>
        </w:rPr>
      </w:pPr>
    </w:p>
    <w:p>
      <w:pPr>
        <w:ind w:left="5" w:right="380"/>
        <w:spacing w:after="0" w:line="405" w:lineRule="auto"/>
        <w:rPr>
          <w:sz w:val="20"/>
          <w:szCs w:val="20"/>
          <w:color w:val="auto"/>
        </w:rPr>
      </w:pPr>
      <w:r>
        <w:rPr>
          <w:rFonts w:ascii="Arial" w:cs="Arial" w:eastAsia="Arial" w:hAnsi="Arial"/>
          <w:sz w:val="17"/>
          <w:szCs w:val="17"/>
          <w:color w:val="auto"/>
        </w:rPr>
        <w:t xml:space="preserve">NASHVILLE, Tenn., May 29, 2026 --- Genesco Inc. (NYSE: GCO) today reported first quarter results for the three months ended May 2, 2026. </w:t>
      </w:r>
      <w:r>
        <w:rPr>
          <w:rFonts w:ascii="Arial" w:cs="Arial" w:eastAsia="Arial" w:hAnsi="Arial"/>
          <w:sz w:val="17"/>
          <w:szCs w:val="17"/>
          <w:b w:val="1"/>
          <w:bCs w:val="1"/>
          <w:color w:val="auto"/>
        </w:rPr>
        <w:t>First Quarter Fiscal 2027 Financial Summary</w:t>
      </w:r>
    </w:p>
    <w:p>
      <w:pPr>
        <w:spacing w:after="0" w:line="3" w:lineRule="exact"/>
        <w:rPr>
          <w:sz w:val="20"/>
          <w:szCs w:val="20"/>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Net sales of $487 million increased 3% compared to Q1FY26</w:t>
      </w:r>
    </w:p>
    <w:p>
      <w:pPr>
        <w:spacing w:after="0" w:line="99"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Comparable sales increased 2%, with stores up 3% while e-commerce was flat</w:t>
      </w:r>
    </w:p>
    <w:p>
      <w:pPr>
        <w:spacing w:after="0" w:line="99"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Gross margin improved 30 basis points compared to last year</w:t>
      </w:r>
    </w:p>
    <w:p>
      <w:pPr>
        <w:spacing w:after="0" w:line="99" w:lineRule="exact"/>
        <w:rPr>
          <w:rFonts w:ascii="Times New Roman" w:cs="Times New Roman" w:eastAsia="Times New Roman" w:hAnsi="Times New Roman"/>
          <w:sz w:val="17"/>
          <w:szCs w:val="17"/>
          <w:color w:val="auto"/>
        </w:rPr>
      </w:pPr>
    </w:p>
    <w:p>
      <w:pPr>
        <w:ind w:left="365" w:right="40" w:hanging="365"/>
        <w:spacing w:after="0" w:line="272" w:lineRule="auto"/>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Selling and administrative expenses leveraged 30 basis points compared to last year; Adjusted selling and administrative expenses leveraged 60 basis points compared to last year</w:t>
      </w:r>
    </w:p>
    <w:p>
      <w:pPr>
        <w:spacing w:after="0" w:line="39" w:lineRule="exact"/>
        <w:rPr>
          <w:rFonts w:ascii="Times New Roman" w:cs="Times New Roman" w:eastAsia="Times New Roman" w:hAnsi="Times New Roman"/>
          <w:sz w:val="17"/>
          <w:szCs w:val="17"/>
          <w:color w:val="auto"/>
        </w:rPr>
      </w:pPr>
    </w:p>
    <w:p>
      <w:pPr>
        <w:ind w:left="365" w:hanging="365"/>
        <w:spacing w:after="0"/>
        <w:tabs>
          <w:tab w:leader="none" w:pos="365"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GAAP EPS was ($1.42) and Non-GAAP EPS was ($2.18)</w:t>
      </w:r>
      <w:r>
        <w:rPr>
          <w:rFonts w:ascii="Arial" w:cs="Arial" w:eastAsia="Arial" w:hAnsi="Arial"/>
          <w:sz w:val="23"/>
          <w:szCs w:val="23"/>
          <w:color w:val="auto"/>
          <w:vertAlign w:val="superscript"/>
        </w:rPr>
        <w:t>1</w:t>
      </w:r>
      <w:r>
        <w:rPr>
          <w:rFonts w:ascii="Arial" w:cs="Arial" w:eastAsia="Arial" w:hAnsi="Arial"/>
          <w:sz w:val="17"/>
          <w:szCs w:val="17"/>
          <w:color w:val="auto"/>
        </w:rPr>
        <w:t xml:space="preserve"> versus GAAP EPS of ($2.02) and Non-GAAP EPS of ($2.05) last year</w:t>
      </w:r>
      <w:r>
        <w:rPr>
          <w:rFonts w:ascii="Arial" w:cs="Arial" w:eastAsia="Arial" w:hAnsi="Arial"/>
          <w:sz w:val="23"/>
          <w:szCs w:val="23"/>
          <w:color w:val="auto"/>
          <w:vertAlign w:val="superscript"/>
        </w:rPr>
        <w:t>2</w:t>
      </w:r>
    </w:p>
    <w:p>
      <w:pPr>
        <w:spacing w:after="0" w:line="127" w:lineRule="exact"/>
        <w:rPr>
          <w:sz w:val="20"/>
          <w:szCs w:val="20"/>
          <w:color w:val="auto"/>
        </w:rPr>
      </w:pPr>
    </w:p>
    <w:p>
      <w:pPr>
        <w:ind w:left="5" w:right="40"/>
        <w:spacing w:after="0"/>
        <w:rPr>
          <w:sz w:val="20"/>
          <w:szCs w:val="20"/>
          <w:color w:val="auto"/>
        </w:rPr>
      </w:pPr>
      <w:r>
        <w:rPr>
          <w:rFonts w:ascii="Arial" w:cs="Arial" w:eastAsia="Arial" w:hAnsi="Arial"/>
          <w:sz w:val="17"/>
          <w:szCs w:val="17"/>
          <w:color w:val="auto"/>
        </w:rPr>
        <w:t>Mimi E. Vaughn, Genesco’s Board Chair, President, Chief Executive Officer and Interim Chief Financial Officer, said, “After a strong finish to Fiscal 2026, we are pleased to report a solid start to Fiscal 2027, delivering our seventh consecutive quarter of positive comparable sales and first quarter results that exceeded expectations across the board. The execution of our strategic initiatives continues to translate into tangible results. Journeys’ comparable sales grew mid-single-digits on top of a high-single-digit gain last year, as our work around product elevation and customer experience continues to drive market share gains. At the same time, Johnston &amp; Murphy’s comparable sales accelerated sharply, increasing high-single-digits, while Schuh’s comparable sales performance reflects our decision to pull back on promotions and prioritize a more full-price selling model.”</w:t>
      </w:r>
    </w:p>
    <w:p>
      <w:pPr>
        <w:spacing w:after="0" w:line="341" w:lineRule="exact"/>
        <w:rPr>
          <w:sz w:val="20"/>
          <w:szCs w:val="20"/>
          <w:color w:val="auto"/>
        </w:rPr>
      </w:pPr>
    </w:p>
    <w:p>
      <w:pPr>
        <w:ind w:left="5" w:right="560"/>
        <w:spacing w:after="0" w:line="246" w:lineRule="auto"/>
        <w:rPr>
          <w:sz w:val="20"/>
          <w:szCs w:val="20"/>
          <w:color w:val="auto"/>
        </w:rPr>
      </w:pPr>
      <w:r>
        <w:rPr>
          <w:rFonts w:ascii="Arial" w:cs="Arial" w:eastAsia="Arial" w:hAnsi="Arial"/>
          <w:sz w:val="17"/>
          <w:szCs w:val="17"/>
          <w:color w:val="auto"/>
        </w:rPr>
        <w:t>Vaughn continued, “With the better than expected start, we are raising our full-year adjusted EPS outlook to $2.00 to $2.40. We are creating meaningful value through our strategic growth plan and operational execution. Across our portfolio, we’re seeing encouraging progress and momentum as our top-line initiatives gain traction, which along with disciplined expense management and a new cost savings program are establishing a more profitable, higher-quality business for the near and longer-term.”</w:t>
      </w:r>
    </w:p>
    <w:p>
      <w:pPr>
        <w:spacing w:after="0" w:line="8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__________________________</w:t>
      </w:r>
    </w:p>
    <w:p>
      <w:pPr>
        <w:spacing w:after="0" w:line="13" w:lineRule="exact"/>
        <w:rPr>
          <w:sz w:val="20"/>
          <w:szCs w:val="20"/>
          <w:color w:val="auto"/>
        </w:rPr>
      </w:pPr>
    </w:p>
    <w:p>
      <w:pPr>
        <w:ind w:left="5" w:right="20"/>
        <w:spacing w:after="0" w:line="255"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Non-GAAP earnings per share (“EPS”) is a non-GAAP measure. Non-GAAP EPS excludes (i) a gross margin gain for a reversal of an inventory write-down related to license exits in Genesco Brands Group, net of tax effect, in the first quarter of Fiscal 2027, and (ii) a gain related to payment card interchange fee litigation, partially offset by charges for store restructuring, costs associated with information technology transformation, severance and professional fees related to shareholder activities, net of tax effect, in the first quarter of Fiscal 2027 and a charge for severance, net of tax effect, in the first quarter of Fiscal 2026 (“the Excluded Items”). A reconciliation of loss and loss per share from continuing operations in accordance with U.S. Generally Accepted Accounting Principles (“GAAP”) with the adjusted loss and loss per share numbers is set forth on Schedule B to this press release. The Company believes that disclosure of loss and loss per share from continuing operations adjusted for the items not reflected in the previously announced expectations will be meaningful to investors, especially in light of the impact of such items on the results.</w:t>
      </w:r>
    </w:p>
    <w:p>
      <w:pPr>
        <w:spacing w:after="0" w:line="110" w:lineRule="exact"/>
        <w:rPr>
          <w:sz w:val="20"/>
          <w:szCs w:val="20"/>
          <w:color w:val="auto"/>
        </w:rPr>
      </w:pPr>
    </w:p>
    <w:p>
      <w:pPr>
        <w:ind w:left="5" w:right="140" w:hanging="5"/>
        <w:spacing w:after="0" w:line="214" w:lineRule="auto"/>
        <w:tabs>
          <w:tab w:leader="none" w:pos="84"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The effective tax rate for the first quarter was 6.8% in Fiscal 2027 compared to 28.5% in the first quarter last year. The adjusted tax rate, reflecting Excluded Items, was 6.9% in Fiscal 2027 compared to 26.7% in the first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518160</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First Quarter Review</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Net sales for the first quarter of Fiscal 2027 increased 3% to $487 million compared to $474 million in the first quarter of Fiscal 2026. The net sales increase reflects a 2% increase in comparable sales, including a 3% increase in same store sales, other non-comp gains and a favorable foreign exchange impact, partially offset by the impact of net store closings.</w:t>
      </w:r>
    </w:p>
    <w:p>
      <w:pPr>
        <w:spacing w:after="0" w:line="175" w:lineRule="exact"/>
        <w:rPr>
          <w:sz w:val="20"/>
          <w:szCs w:val="20"/>
          <w:color w:val="auto"/>
        </w:rPr>
      </w:pPr>
    </w:p>
    <w:tbl>
      <w:tblPr>
        <w:tblLayout w:type="fixed"/>
        <w:tblInd w:w="1220" w:type="dxa"/>
        <w:tblCellMar>
          <w:top w:w="0" w:type="dxa"/>
          <w:left w:w="0" w:type="dxa"/>
          <w:bottom w:w="0" w:type="dxa"/>
          <w:right w:w="0" w:type="dxa"/>
        </w:tblCellMar>
      </w:tblPr>
      <w:tr>
        <w:trPr>
          <w:trHeight w:val="239"/>
        </w:trPr>
        <w:tc>
          <w:tcPr>
            <w:tcW w:w="6540" w:type="dxa"/>
            <w:vAlign w:val="bottom"/>
          </w:tcPr>
          <w:p>
            <w:pPr>
              <w:ind w:left="3980"/>
              <w:spacing w:after="0"/>
              <w:rPr>
                <w:sz w:val="20"/>
                <w:szCs w:val="20"/>
                <w:color w:val="auto"/>
              </w:rPr>
            </w:pPr>
            <w:r>
              <w:rPr>
                <w:rFonts w:ascii="Arial" w:cs="Arial" w:eastAsia="Arial" w:hAnsi="Arial"/>
                <w:sz w:val="17"/>
                <w:szCs w:val="17"/>
                <w:b w:val="1"/>
                <w:bCs w:val="1"/>
                <w:color w:val="auto"/>
              </w:rPr>
              <w:t>Comparable Sales</w:t>
            </w: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3"/>
        </w:trPr>
        <w:tc>
          <w:tcPr>
            <w:tcW w:w="6540" w:type="dxa"/>
            <w:vAlign w:val="bottom"/>
          </w:tcPr>
          <w:p>
            <w:pPr>
              <w:spacing w:after="0"/>
              <w:rPr>
                <w:sz w:val="20"/>
                <w:szCs w:val="20"/>
                <w:color w:val="auto"/>
              </w:rPr>
            </w:pPr>
            <w:r>
              <w:rPr>
                <w:rFonts w:ascii="Arial" w:cs="Arial" w:eastAsia="Arial" w:hAnsi="Arial"/>
                <w:sz w:val="17"/>
                <w:szCs w:val="17"/>
                <w:b w:val="1"/>
                <w:bCs w:val="1"/>
                <w:color w:val="auto"/>
              </w:rPr>
              <w:t>Comparable Same Store and E-commerce Sales:</w:t>
            </w: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1QFY27</w:t>
            </w:r>
          </w:p>
        </w:tc>
        <w:tc>
          <w:tcPr>
            <w:tcW w:w="13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1QFY26</w:t>
            </w:r>
          </w:p>
        </w:tc>
      </w:tr>
      <w:tr>
        <w:trPr>
          <w:trHeight w:val="249"/>
        </w:trPr>
        <w:tc>
          <w:tcPr>
            <w:tcW w:w="6540" w:type="dxa"/>
            <w:vAlign w:val="bottom"/>
          </w:tcPr>
          <w:p>
            <w:pPr>
              <w:spacing w:after="0"/>
              <w:rPr>
                <w:sz w:val="20"/>
                <w:szCs w:val="20"/>
                <w:color w:val="auto"/>
              </w:rPr>
            </w:pPr>
            <w:r>
              <w:rPr>
                <w:rFonts w:ascii="Arial" w:cs="Arial" w:eastAsia="Arial" w:hAnsi="Arial"/>
                <w:sz w:val="17"/>
                <w:szCs w:val="17"/>
                <w:color w:val="auto"/>
              </w:rPr>
              <w:t>Journeys Group</w:t>
            </w:r>
          </w:p>
        </w:tc>
        <w:tc>
          <w:tcPr>
            <w:tcW w:w="1660" w:type="dxa"/>
            <w:vAlign w:val="bottom"/>
          </w:tcPr>
          <w:p>
            <w:pPr>
              <w:jc w:val="right"/>
              <w:ind w:right="193"/>
              <w:spacing w:after="0"/>
              <w:rPr>
                <w:sz w:val="20"/>
                <w:szCs w:val="20"/>
                <w:color w:val="auto"/>
              </w:rPr>
            </w:pPr>
            <w:r>
              <w:rPr>
                <w:rFonts w:ascii="Arial" w:cs="Arial" w:eastAsia="Arial" w:hAnsi="Arial"/>
                <w:sz w:val="17"/>
                <w:szCs w:val="17"/>
                <w:color w:val="auto"/>
              </w:rPr>
              <w:t>5%</w:t>
            </w:r>
          </w:p>
        </w:tc>
        <w:tc>
          <w:tcPr>
            <w:tcW w:w="13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2"/>
        </w:trPr>
        <w:tc>
          <w:tcPr>
            <w:tcW w:w="6540" w:type="dxa"/>
            <w:vAlign w:val="bottom"/>
          </w:tcPr>
          <w:p>
            <w:pPr>
              <w:spacing w:after="0"/>
              <w:rPr>
                <w:sz w:val="20"/>
                <w:szCs w:val="20"/>
                <w:color w:val="auto"/>
              </w:rPr>
            </w:pPr>
            <w:r>
              <w:rPr>
                <w:rFonts w:ascii="Arial" w:cs="Arial" w:eastAsia="Arial" w:hAnsi="Arial"/>
                <w:sz w:val="17"/>
                <w:szCs w:val="17"/>
                <w:color w:val="auto"/>
              </w:rPr>
              <w:t>Schuh Group</w:t>
            </w:r>
          </w:p>
        </w:tc>
        <w:tc>
          <w:tcPr>
            <w:tcW w:w="1660" w:type="dxa"/>
            <w:vAlign w:val="bottom"/>
          </w:tcPr>
          <w:p>
            <w:pPr>
              <w:jc w:val="right"/>
              <w:ind w:right="193"/>
              <w:spacing w:after="0"/>
              <w:rPr>
                <w:sz w:val="20"/>
                <w:szCs w:val="20"/>
                <w:color w:val="auto"/>
              </w:rPr>
            </w:pPr>
            <w:r>
              <w:rPr>
                <w:rFonts w:ascii="Arial" w:cs="Arial" w:eastAsia="Arial" w:hAnsi="Arial"/>
                <w:sz w:val="17"/>
                <w:szCs w:val="17"/>
                <w:color w:val="auto"/>
              </w:rPr>
              <w:t>(9)%</w:t>
            </w: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8"/>
        </w:trPr>
        <w:tc>
          <w:tcPr>
            <w:tcW w:w="6540" w:type="dxa"/>
            <w:vAlign w:val="bottom"/>
          </w:tcPr>
          <w:p>
            <w:pPr>
              <w:spacing w:after="0"/>
              <w:rPr>
                <w:sz w:val="20"/>
                <w:szCs w:val="20"/>
                <w:color w:val="auto"/>
              </w:rPr>
            </w:pPr>
            <w:r>
              <w:rPr>
                <w:rFonts w:ascii="Arial" w:cs="Arial" w:eastAsia="Arial" w:hAnsi="Arial"/>
                <w:sz w:val="17"/>
                <w:szCs w:val="17"/>
                <w:color w:val="auto"/>
              </w:rPr>
              <w:t>Johnston &amp; Murphy Group</w:t>
            </w: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185"/>
        </w:trPr>
        <w:tc>
          <w:tcPr>
            <w:tcW w:w="6540" w:type="dxa"/>
            <w:vAlign w:val="bottom"/>
          </w:tcPr>
          <w:p>
            <w:pPr>
              <w:spacing w:after="0" w:line="181" w:lineRule="exact"/>
              <w:rPr>
                <w:sz w:val="20"/>
                <w:szCs w:val="20"/>
                <w:color w:val="auto"/>
              </w:rPr>
            </w:pPr>
            <w:r>
              <w:rPr>
                <w:rFonts w:ascii="Arial" w:cs="Arial" w:eastAsia="Arial" w:hAnsi="Arial"/>
                <w:sz w:val="17"/>
                <w:szCs w:val="17"/>
                <w:color w:val="auto"/>
              </w:rPr>
              <w:t>Total Genesco Comparable Sales</w:t>
            </w:r>
          </w:p>
        </w:tc>
        <w:tc>
          <w:tcPr>
            <w:tcW w:w="1660" w:type="dxa"/>
            <w:vAlign w:val="bottom"/>
            <w:tcBorders>
              <w:bottom w:val="single" w:sz="8" w:color="auto"/>
            </w:tcBorders>
          </w:tcPr>
          <w:p>
            <w:pPr>
              <w:jc w:val="right"/>
              <w:ind w:right="193"/>
              <w:spacing w:after="0" w:line="181" w:lineRule="exact"/>
              <w:rPr>
                <w:sz w:val="20"/>
                <w:szCs w:val="20"/>
                <w:color w:val="auto"/>
              </w:rPr>
            </w:pPr>
            <w:r>
              <w:rPr>
                <w:rFonts w:ascii="Arial" w:cs="Arial" w:eastAsia="Arial" w:hAnsi="Arial"/>
                <w:sz w:val="17"/>
                <w:szCs w:val="17"/>
                <w:color w:val="auto"/>
              </w:rPr>
              <w:t>2%</w:t>
            </w:r>
          </w:p>
        </w:tc>
        <w:tc>
          <w:tcPr>
            <w:tcW w:w="13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5%</w:t>
            </w:r>
          </w:p>
        </w:tc>
      </w:tr>
      <w:tr>
        <w:trPr>
          <w:trHeight w:val="359"/>
        </w:trPr>
        <w:tc>
          <w:tcPr>
            <w:tcW w:w="6540" w:type="dxa"/>
            <w:vAlign w:val="bottom"/>
          </w:tcPr>
          <w:p>
            <w:pPr>
              <w:spacing w:after="0"/>
              <w:rPr>
                <w:sz w:val="20"/>
                <w:szCs w:val="20"/>
                <w:color w:val="auto"/>
              </w:rPr>
            </w:pPr>
            <w:r>
              <w:rPr>
                <w:rFonts w:ascii="Arial" w:cs="Arial" w:eastAsia="Arial" w:hAnsi="Arial"/>
                <w:sz w:val="17"/>
                <w:szCs w:val="17"/>
                <w:color w:val="auto"/>
              </w:rPr>
              <w:t>Same Store Sales</w:t>
            </w:r>
          </w:p>
        </w:tc>
        <w:tc>
          <w:tcPr>
            <w:tcW w:w="1660" w:type="dxa"/>
            <w:vAlign w:val="bottom"/>
          </w:tcPr>
          <w:p>
            <w:pPr>
              <w:jc w:val="right"/>
              <w:ind w:right="193"/>
              <w:spacing w:after="0"/>
              <w:rPr>
                <w:sz w:val="20"/>
                <w:szCs w:val="20"/>
                <w:color w:val="auto"/>
              </w:rPr>
            </w:pPr>
            <w:r>
              <w:rPr>
                <w:rFonts w:ascii="Arial" w:cs="Arial" w:eastAsia="Arial" w:hAnsi="Arial"/>
                <w:sz w:val="17"/>
                <w:szCs w:val="17"/>
                <w:color w:val="auto"/>
              </w:rPr>
              <w:t>3%</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2"/>
        </w:trPr>
        <w:tc>
          <w:tcPr>
            <w:tcW w:w="6540" w:type="dxa"/>
            <w:vAlign w:val="bottom"/>
          </w:tcPr>
          <w:p>
            <w:pPr>
              <w:spacing w:after="0"/>
              <w:rPr>
                <w:sz w:val="20"/>
                <w:szCs w:val="20"/>
                <w:color w:val="auto"/>
              </w:rPr>
            </w:pPr>
            <w:r>
              <w:rPr>
                <w:rFonts w:ascii="Arial" w:cs="Arial" w:eastAsia="Arial" w:hAnsi="Arial"/>
                <w:sz w:val="17"/>
                <w:szCs w:val="17"/>
                <w:color w:val="auto"/>
              </w:rPr>
              <w:t>Comparable E-commerce Sales</w:t>
            </w:r>
          </w:p>
        </w:tc>
        <w:tc>
          <w:tcPr>
            <w:tcW w:w="16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bl>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overall sales increase of 3% for the first quarter of Fiscal 2027 compared to the first quarter of Fiscal 2026 was driven by an increase of 5% at Journeys, an increase of 6% at Johnston &amp; Murphy and a 4% increase at Genesco Brands, partially offset by a decrease of 5% at Schuh. On a constant currency basis, Schuh sales were down 9% for the first quarter this year.</w:t>
      </w:r>
    </w:p>
    <w:p>
      <w:pPr>
        <w:spacing w:after="0" w:line="14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Gross margin for the first quarter this year of 47.0% increased 30 basis points as a percentage of sales compared to 46.7% last year. The increase as a percentage of sales compared to Fiscal 2026 is due primarily to efficiencies in shipping and warehouse costs and less promotional activity across our businesses, partially offset by changes in brand mix at Journeys and Schuh.</w:t>
      </w:r>
    </w:p>
    <w:p>
      <w:pPr>
        <w:spacing w:after="0" w:line="141"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Selling and administrative expenses improved to 52.2% compared to 52.5% last year. Adjusted selling and administrative expenses for the first quarter this year of 51.9% improved 60 basis points as a percentage of sales compared with last year primarily reflecting decreased selling salaries, occupancy, freight and warehouse expenses as well as ongoing cost savings initiatives, partially offset by increased performance-based incentive compensation expenses and investments in marketing.</w:t>
      </w:r>
    </w:p>
    <w:p>
      <w:pPr>
        <w:spacing w:after="0" w:line="145"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Genesco’s GAAP operating loss for the first quarter was $15.4 million, or 3.2% of sales this year, compared with a loss of $28.1 million, or 5.9% of sales in the first quarter last year. Adjusted for the Excluded Items in the first quarters of both Fiscal 2027 and Fiscal 2026, the operating loss for the first quarter was $23.9 million this year compared to a loss of $27.9 million last year. Adjusted operating margin was a loss of 4.9% of sales in the first quarter of Fiscal 2027 compared to a loss of 5.9% in the first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1007745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7"/>
          <w:szCs w:val="17"/>
          <w:color w:val="auto"/>
        </w:rPr>
        <w:t>The effective tax rate for the first quarter was 6.8% in Fiscal 2027 compared to 28.5% in the first quarter last year. The adjusted tax rate, reflecting Excluded Items, was 6.9% in Fiscal 2027 compared to 26.7% in the first quarter last year. The lower adjusted tax rate for the first quarter of Fiscal 2027 compared to the first quarter last year primarily reflects a lower expected tax rate for Fiscal 2027 versus Fiscal 2026 due to the impact of the valuation allowance in certain jurisdictions combined with the income tax law changes from the One Big Beautiful Bill Act (“OBBBA”).</w:t>
      </w:r>
    </w:p>
    <w:p>
      <w:pPr>
        <w:spacing w:after="0" w:line="145" w:lineRule="exact"/>
        <w:rPr>
          <w:sz w:val="20"/>
          <w:szCs w:val="20"/>
          <w:color w:val="auto"/>
        </w:rPr>
      </w:pPr>
    </w:p>
    <w:p>
      <w:pPr>
        <w:jc w:val="both"/>
        <w:ind w:right="180"/>
        <w:spacing w:after="0" w:line="252" w:lineRule="auto"/>
        <w:rPr>
          <w:sz w:val="20"/>
          <w:szCs w:val="20"/>
          <w:color w:val="auto"/>
        </w:rPr>
      </w:pPr>
      <w:r>
        <w:rPr>
          <w:rFonts w:ascii="Arial" w:cs="Arial" w:eastAsia="Arial" w:hAnsi="Arial"/>
          <w:sz w:val="17"/>
          <w:szCs w:val="17"/>
          <w:color w:val="auto"/>
        </w:rPr>
        <w:t>GAAP loss from continuing operations was $14.8 million in the first quarter of Fiscal 2027 compared to a loss of $21.2 million in the first quarter last year. Adjusted for the Excluded Items, the first quarter loss from continuing operations was $22.7 million, or $2.18 per share, in Fiscal 2027, compared to a loss of $21.5 million, or $2.05 per share, in the first quarter last year.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Tariff Refunds</w:t>
      </w:r>
    </w:p>
    <w:p>
      <w:pPr>
        <w:spacing w:after="0" w:line="18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Company is expecting refunds under the International Emergency Economic Powers Act of approximately $23 to $25 million related to its branded businesses, for which it has already applied but which are not included in the financials this quarter. In addition, the tariff refunds are not included in the Company’s guidance for the remainder of the year.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Savings Program</w:t>
      </w:r>
    </w:p>
    <w:p>
      <w:pPr>
        <w:spacing w:after="0" w:line="185"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connection with its IT Transformation and programs to drive automation, operating efficiencies and spend optimization, the Company is announcing a new cost reduction program which is expected to generate cost savings of $40 to $50 million between now and Fiscal 2029. This program is aimed at structurally reducing the cost base, continued investment in growth initiatives, further supporting operating margin expansion and continued utilization of AI capabilities which unlock additional opportunities.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Borrowings and Inventory</w:t>
      </w:r>
    </w:p>
    <w:p>
      <w:pPr>
        <w:spacing w:after="0" w:line="185" w:lineRule="exact"/>
        <w:rPr>
          <w:sz w:val="20"/>
          <w:szCs w:val="20"/>
          <w:color w:val="auto"/>
        </w:rPr>
      </w:pPr>
    </w:p>
    <w:p>
      <w:pPr>
        <w:jc w:val="both"/>
        <w:ind w:right="40"/>
        <w:spacing w:after="0" w:line="252" w:lineRule="auto"/>
        <w:rPr>
          <w:sz w:val="20"/>
          <w:szCs w:val="20"/>
          <w:color w:val="auto"/>
        </w:rPr>
      </w:pPr>
      <w:r>
        <w:rPr>
          <w:rFonts w:ascii="Arial" w:cs="Arial" w:eastAsia="Arial" w:hAnsi="Arial"/>
          <w:sz w:val="17"/>
          <w:szCs w:val="17"/>
          <w:color w:val="auto"/>
        </w:rPr>
        <w:t>Cash as of May 2, 2026, was $27.1 million, compared with $21.7 million as of May 3, 2025. Total debt at the end of the first quarter of Fiscal 2027 was $45.3 million compared with $121.0 million at the end of last year’s first quarter. Inventories increased 6% on a year-over-year basis primarily reflecting increased inventory for Journeys, partially offset by decreased inventory at Genesco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869950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Capital Expenditures and Store Activity</w:t>
      </w:r>
    </w:p>
    <w:p>
      <w:pPr>
        <w:spacing w:after="0" w:line="185"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For the first quarter this year, capital expenditures were $15 million, related primarily to retail stores. Depreciation and amortization was $13 million. During the quarter, the Company opened two stores and closed 30 stores. The Company ended the quarter with 1,208 stores compared with 1,256 stores at the end of the first quarter last year, or a decrease of 4%. Square footage was down 4% on a year-over-year basis.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85"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The Company did not repurchase any shares during the first quarter of Fiscal 2027. The Company currently has $29.8 million remaining on its expanded share repurchase authorization announced in June 2023, after repurchasing 604,531 shares during Fiscal 2026. The Company continues to view share repurchases as an important component of its balanced capital allocation strategy and is committed to deploying excess capital.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2027 Outlook</w:t>
      </w:r>
    </w:p>
    <w:p>
      <w:pPr>
        <w:spacing w:after="0" w:line="185"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Vaughn concluded, “We have clear plans in place to drive continued improvement in Fiscal 2027. Our top-line guidance reflects another year of overall positive comparable sales growth, offset by store closures and license transitions in our branded footwear group. The projected increase in our bottom line is being driven by another year of increased profitability at Journeys and improvement at Johnston &amp; Murphy. We also expect higher gross margins, primarily at Schuh, as we reduce the business’ dependency on promotions and focus on returning to a full price, full margin sales model.”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For Fiscal 2027, the Company:</w:t>
      </w:r>
    </w:p>
    <w:p>
      <w:pPr>
        <w:spacing w:after="0" w:line="99" w:lineRule="exact"/>
        <w:rPr>
          <w:sz w:val="20"/>
          <w:szCs w:val="20"/>
          <w:color w:val="auto"/>
        </w:rPr>
      </w:pPr>
    </w:p>
    <w:p>
      <w:pPr>
        <w:ind w:left="440" w:right="180" w:hanging="385"/>
        <w:spacing w:after="0" w:line="227" w:lineRule="auto"/>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Raises expectations for adjusted diluted earnings per share from continuing operations to a range of $2.00 to $2.40</w:t>
      </w:r>
      <w:r>
        <w:rPr>
          <w:rFonts w:ascii="Arial" w:cs="Arial" w:eastAsia="Arial" w:hAnsi="Arial"/>
          <w:sz w:val="23"/>
          <w:szCs w:val="23"/>
          <w:color w:val="auto"/>
          <w:vertAlign w:val="superscript"/>
        </w:rPr>
        <w:t>2</w:t>
      </w:r>
      <w:r>
        <w:rPr>
          <w:rFonts w:ascii="Arial" w:cs="Arial" w:eastAsia="Arial" w:hAnsi="Arial"/>
          <w:sz w:val="17"/>
          <w:szCs w:val="17"/>
          <w:color w:val="auto"/>
        </w:rPr>
        <w:t>, with the middle of the range the most likely outcome, as a result of the better than expected start to Fiscal 2027, versus the previous range of $1.90 to $2.30 per share</w:t>
      </w:r>
    </w:p>
    <w:p>
      <w:pPr>
        <w:spacing w:after="0" w:line="55" w:lineRule="exact"/>
        <w:rPr>
          <w:rFonts w:ascii="Times New Roman" w:cs="Times New Roman" w:eastAsia="Times New Roman" w:hAnsi="Times New Roman"/>
          <w:sz w:val="17"/>
          <w:szCs w:val="17"/>
          <w:color w:val="auto"/>
        </w:rPr>
      </w:pPr>
    </w:p>
    <w:p>
      <w:pPr>
        <w:ind w:left="440" w:hanging="385"/>
        <w:spacing w:after="0"/>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Continues to expect positive comparable sales of 1% to 2%</w:t>
      </w:r>
    </w:p>
    <w:p>
      <w:pPr>
        <w:spacing w:after="0" w:line="99" w:lineRule="exact"/>
        <w:rPr>
          <w:rFonts w:ascii="Times New Roman" w:cs="Times New Roman" w:eastAsia="Times New Roman" w:hAnsi="Times New Roman"/>
          <w:sz w:val="17"/>
          <w:szCs w:val="17"/>
          <w:color w:val="auto"/>
        </w:rPr>
      </w:pPr>
    </w:p>
    <w:p>
      <w:pPr>
        <w:ind w:left="440" w:hanging="385"/>
        <w:spacing w:after="0"/>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Continues to expect total sales to be down 1% to flat compared to Fiscal 2026, reflecting the impact of store closures and license exits, and</w:t>
      </w:r>
    </w:p>
    <w:p>
      <w:pPr>
        <w:spacing w:after="0" w:line="99" w:lineRule="exact"/>
        <w:rPr>
          <w:rFonts w:ascii="Times New Roman" w:cs="Times New Roman" w:eastAsia="Times New Roman" w:hAnsi="Times New Roman"/>
          <w:sz w:val="17"/>
          <w:szCs w:val="17"/>
          <w:color w:val="auto"/>
        </w:rPr>
      </w:pPr>
    </w:p>
    <w:p>
      <w:pPr>
        <w:ind w:left="440" w:hanging="385"/>
        <w:spacing w:after="0" w:line="272" w:lineRule="auto"/>
        <w:tabs>
          <w:tab w:leader="none" w:pos="4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Guidance assumes no further share repurchases and a tax rate of 30% for Fiscal 2027 but due to the valuation allowance, the tax rate for the second and third quarters of the year will be in the range of approximately 7% to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w:t>
      </w:r>
    </w:p>
    <w:p>
      <w:pPr>
        <w:spacing w:after="0" w:line="17" w:lineRule="exact"/>
        <w:rPr>
          <w:sz w:val="20"/>
          <w:szCs w:val="20"/>
          <w:color w:val="auto"/>
        </w:rPr>
      </w:pPr>
    </w:p>
    <w:p>
      <w:pPr>
        <w:ind w:right="80"/>
        <w:spacing w:after="0" w:line="215"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A reconciliation of the adjusted financial measures cited in the guidance to their corresponding measures as reported pursuant to GAAP is included in Schedule B to this press release.</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Management Commentary and Investor Presentation</w:t>
      </w:r>
    </w:p>
    <w:p>
      <w:pPr>
        <w:spacing w:after="0" w:line="185" w:lineRule="exact"/>
        <w:rPr>
          <w:sz w:val="20"/>
          <w:szCs w:val="20"/>
          <w:color w:val="auto"/>
        </w:rPr>
      </w:pPr>
    </w:p>
    <w:p>
      <w:pPr>
        <w:ind w:right="840"/>
        <w:spacing w:after="0" w:line="273" w:lineRule="auto"/>
        <w:rPr>
          <w:sz w:val="20"/>
          <w:szCs w:val="20"/>
          <w:color w:val="auto"/>
        </w:rPr>
      </w:pPr>
      <w:r>
        <w:rPr>
          <w:rFonts w:ascii="Arial" w:cs="Arial" w:eastAsia="Arial" w:hAnsi="Arial"/>
          <w:sz w:val="17"/>
          <w:szCs w:val="17"/>
          <w:color w:val="auto"/>
        </w:rPr>
        <w:t>The Company has posted detailed financial commentary and a supplemental financial presentation of first quarter results on its website, www.genesco.com, in the investor relations section.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497840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 w:name="page8"/>
    <w:bookmarkEnd w:id="7"/>
    <w:p>
      <w:pPr>
        <w:ind w:right="100"/>
        <w:spacing w:after="0" w:line="273" w:lineRule="auto"/>
        <w:rPr>
          <w:sz w:val="20"/>
          <w:szCs w:val="20"/>
          <w:color w:val="auto"/>
        </w:rPr>
      </w:pPr>
      <w:r>
        <w:rPr>
          <w:rFonts w:ascii="Arial" w:cs="Arial" w:eastAsia="Arial" w:hAnsi="Arial"/>
          <w:sz w:val="17"/>
          <w:szCs w:val="17"/>
          <w:color w:val="auto"/>
        </w:rPr>
        <w:t>live conference call on May 29, 2026, at 7:30 a.m. (Central time), may be accessed through the Company's website, www.genesco.com. To listen live, please go to the website at least 15 minutes early to register, download and install any necessary software.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release contains forward-looking statements, including those regarding future sales, earnings, operating income, gross margins, expenses, tariff refunds, capital expenditures, depreciation and amortization, tax rates, store openings and closures, cost reductions, and all other statements not addressing solely historical facts or present conditions. Forward-looking statements are usually identified by or are associated with such words as “intend,” “expect,” “feel,” “should,” “believe,” “anticipate,” “optimistic,” “confident” and similar terminology. Actual results could vary materially from the expectations reflected in these statements. A number of factors could cause differences. These include adjustments to projections reflected in forward-looking statements, including those resulting from weakness in store, e-commerce and shopping mall traffic, the imposition of tariffs (including the timing and amount thereof) on products imported by the Company or its vendors as well as the ability and costs to move production of products in response to tariffs; the amount and timing of any tariff refunds; our ability to pass on price increases to our customers; restrictions on operations imposed by government entities and/or landlords, changes in public safety and health requirements, and limitations on the Company’s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the Company’s ability to obtain from suppliers products that are in-demand on a timely basis and effectively manage disruptions in product supply or distribution, including disruptions as a result of pandemics or geopolitical events, including shipping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store closures and effects on the business as a result of civil disturbances; our ability to renew our license agreements; impacts of the ongoing geopolitical conflicts around the world including, without limitation, the conflict with Iran; and other sources of market weakness in the locations in which we operate; the effectiveness of the Company's omnichannel initiatives; costs associated with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509905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spacing w:after="0" w:line="235" w:lineRule="auto"/>
        <w:rPr>
          <w:sz w:val="20"/>
          <w:szCs w:val="20"/>
          <w:color w:val="auto"/>
        </w:rPr>
      </w:pPr>
      <w:r>
        <w:rPr>
          <w:rFonts w:ascii="Arial" w:cs="Arial" w:eastAsia="Arial" w:hAnsi="Arial"/>
          <w:sz w:val="17"/>
          <w:szCs w:val="17"/>
          <w:color w:val="auto"/>
        </w:rPr>
        <w:t>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the Company's markets, including trends with respect to the popularity of casual and dress footwear; any failure to increase sales at our existing stores, given our high fixed expense cost structure, and in our e -commerce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demand;the ability to renew leases in existing stores and control or lower occupancy costs, to open or close stores in the number and on the planned schedule, and to conduct required remodeling or refurbishment on schedule and at expected expense levels; the Company’s ability to realize anticipated cost savings, including rent savings and savings in connection with the restructuring of the Company’s information technology functions; the amount and timing of share repurchases; our ability to make our occupancy costs more variable; the Company’s ability to achieve expected digital gains and gain market share; deterioration in the performance of individual businesses or of the Company's market value relative to its book value, resulting in impairments of fixed assets, operating lease right of use assets or intangible assets or other adverse financial consequences and the timing and amount of such impairments or other consequences; unexpected changes to the market for the Company's shares or for the retail sector in general; costs and reputational harm as a result of disruptions in the Company’s business or information technology systems either by security breaches and incidents or by potential problems associated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1026160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5"/>
        <w:spacing w:after="0" w:line="237" w:lineRule="auto"/>
        <w:rPr>
          <w:sz w:val="20"/>
          <w:szCs w:val="20"/>
          <w:color w:val="auto"/>
        </w:rPr>
      </w:pPr>
      <w:r>
        <w:rPr>
          <w:rFonts w:ascii="Arial" w:cs="Arial" w:eastAsia="Arial" w:hAnsi="Arial"/>
          <w:sz w:val="17"/>
          <w:szCs w:val="17"/>
          <w:color w:val="auto"/>
        </w:rPr>
        <w:t>implementation of new or upgraded systems or as the result of the restructuring of the Company’s information technology functions; changes in tax laws and tax rates and the Company’s ability to realize any anticipated tax benefits in both the amount and timeframe anticipated; and the cost and outcome of litigation, investigations, environmental matters and other disputes involving the Company. Additional factors are cited in the "Risk Factors," "Legal Proceedings" and "Management's Discussion and Analysis of Financial Condition and Results of Operations" sections of, and elsewhere in, the Company’s SEC filings, copies of which may be obtained from the SEC website, www.sec.gov, or by contacting the investor relations department of Genesco via the Company’s website, www.genesco.com. Many of the factors that will determine the outcome of the subject matter of this release are beyond Genesco's ability to control or predict. Genesco undertakes no obligation to release publicly the results of any revisions to these forward-looking statements that may be made to reflect events or circumstances after the date hereof or to reflect the occurrence of unanticipated events. Forward-looking statements reflect the expectations of the Company at the time they are made. The Company disclaims any obligation to update such statements.</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About Genesco Inc.</w:t>
      </w:r>
    </w:p>
    <w:p>
      <w:pPr>
        <w:spacing w:after="0" w:line="185" w:lineRule="exact"/>
        <w:rPr>
          <w:sz w:val="20"/>
          <w:szCs w:val="20"/>
          <w:color w:val="auto"/>
        </w:rPr>
      </w:pPr>
    </w:p>
    <w:p>
      <w:pPr>
        <w:ind w:left="5" w:right="20"/>
        <w:spacing w:after="0" w:line="239" w:lineRule="auto"/>
        <w:rPr>
          <w:sz w:val="20"/>
          <w:szCs w:val="20"/>
          <w:color w:val="auto"/>
        </w:rPr>
      </w:pPr>
      <w:r>
        <w:rPr>
          <w:rFonts w:ascii="Arial" w:cs="Arial" w:eastAsia="Arial" w:hAnsi="Arial"/>
          <w:sz w:val="17"/>
          <w:szCs w:val="17"/>
          <w:color w:val="auto"/>
        </w:rPr>
        <w:t>Genesco Inc. (NYSE: GCO) is a footwear first company with distinctively positioned retail and lifestyle brands and proven omnichannel capabilities offering customers the footwear they desire in engaging shopping environments, including more than 1,200 retail stores and branded e-commerce websites. Its Journeys, Little Burgundy and Schuh brands serve teens, kids and young adults with on-trend fashion footwear that inspires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www.genesco.com.</w:t>
      </w:r>
    </w:p>
    <w:p>
      <w:pPr>
        <w:spacing w:after="0" w:line="338"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Genesco Financial Contact</w:t>
      </w:r>
    </w:p>
    <w:p>
      <w:pPr>
        <w:spacing w:after="0" w:line="12" w:lineRule="exact"/>
        <w:rPr>
          <w:sz w:val="20"/>
          <w:szCs w:val="20"/>
          <w:color w:val="auto"/>
        </w:rPr>
      </w:pPr>
    </w:p>
    <w:p>
      <w:pPr>
        <w:ind w:left="5"/>
        <w:spacing w:after="0"/>
        <w:rPr>
          <w:sz w:val="20"/>
          <w:szCs w:val="20"/>
          <w:color w:val="auto"/>
        </w:rPr>
      </w:pPr>
      <w:r>
        <w:rPr>
          <w:rFonts w:ascii="Arial" w:cs="Arial" w:eastAsia="Arial" w:hAnsi="Arial"/>
          <w:sz w:val="17"/>
          <w:szCs w:val="17"/>
          <w:color w:val="auto"/>
        </w:rPr>
        <w:t>Darryl MacQuarrie, Senior Director, FP&amp;A &amp; Investor Relations</w:t>
      </w:r>
    </w:p>
    <w:p>
      <w:pPr>
        <w:spacing w:after="0" w:line="6" w:lineRule="exact"/>
        <w:rPr>
          <w:sz w:val="20"/>
          <w:szCs w:val="20"/>
          <w:color w:val="auto"/>
        </w:rPr>
      </w:pPr>
    </w:p>
    <w:p>
      <w:pPr>
        <w:ind w:left="445" w:hanging="445"/>
        <w:spacing w:after="0"/>
        <w:tabs>
          <w:tab w:leader="none" w:pos="44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308-5629 / </w:t>
      </w:r>
      <w:r>
        <w:rPr>
          <w:rFonts w:ascii="Arial" w:cs="Arial" w:eastAsia="Arial" w:hAnsi="Arial"/>
          <w:sz w:val="17"/>
          <w:szCs w:val="17"/>
          <w:u w:val="single" w:color="auto"/>
          <w:color w:val="0000FF"/>
        </w:rPr>
        <w:t>dmacquarrie@genesco.com</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Genesco Media Contact</w:t>
      </w:r>
    </w:p>
    <w:p>
      <w:pPr>
        <w:spacing w:after="0" w:line="5" w:lineRule="exact"/>
        <w:rPr>
          <w:sz w:val="20"/>
          <w:szCs w:val="20"/>
          <w:color w:val="auto"/>
        </w:rPr>
      </w:pPr>
    </w:p>
    <w:p>
      <w:pPr>
        <w:ind w:left="5"/>
        <w:spacing w:after="0"/>
        <w:rPr>
          <w:sz w:val="20"/>
          <w:szCs w:val="20"/>
          <w:color w:val="auto"/>
        </w:rPr>
      </w:pPr>
      <w:r>
        <w:rPr>
          <w:rFonts w:ascii="Arial" w:cs="Arial" w:eastAsia="Arial" w:hAnsi="Arial"/>
          <w:sz w:val="17"/>
          <w:szCs w:val="17"/>
          <w:color w:val="auto"/>
        </w:rPr>
        <w:t>Claire S. McCall, Director, Corporate Relations</w:t>
      </w:r>
    </w:p>
    <w:p>
      <w:pPr>
        <w:ind w:left="445" w:hanging="445"/>
        <w:spacing w:after="0"/>
        <w:tabs>
          <w:tab w:leader="none" w:pos="44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308-2483 / </w:t>
      </w:r>
      <w:r>
        <w:rPr>
          <w:rFonts w:ascii="Arial" w:cs="Arial" w:eastAsia="Arial" w:hAnsi="Arial"/>
          <w:sz w:val="17"/>
          <w:szCs w:val="17"/>
          <w:u w:val="single" w:color="auto"/>
          <w:color w:val="0000FF"/>
        </w:rPr>
        <w:t>cmccall@genesco.com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646430</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090" w:right="359" w:bottom="1440" w:gutter="0" w:footer="0" w:header="0"/>
        </w:sectPr>
      </w:pPr>
    </w:p>
    <w:bookmarkStart w:id="10" w:name="page11"/>
    <w:bookmarkEnd w:id="10"/>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GENESCO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Quarter 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Quarter 1</w:t>
            </w:r>
          </w:p>
        </w:tc>
        <w:tc>
          <w:tcPr>
            <w:tcW w:w="920" w:type="dxa"/>
            <w:vAlign w:val="bottom"/>
            <w:tcBorders>
              <w:bottom w:val="single" w:sz="8" w:color="auto"/>
            </w:tcBorders>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581"/>
              <w:spacing w:after="0" w:line="162" w:lineRule="exact"/>
              <w:rPr>
                <w:sz w:val="20"/>
                <w:szCs w:val="20"/>
                <w:color w:val="auto"/>
              </w:rPr>
            </w:pPr>
            <w:r>
              <w:rPr>
                <w:rFonts w:ascii="Times New Roman" w:cs="Times New Roman" w:eastAsia="Times New Roman" w:hAnsi="Times New Roman"/>
                <w:sz w:val="16"/>
                <w:szCs w:val="16"/>
                <w:b w:val="1"/>
                <w:bCs w:val="1"/>
                <w:color w:val="auto"/>
              </w:rPr>
              <w:t>May 2,</w:t>
            </w:r>
          </w:p>
        </w:tc>
        <w:tc>
          <w:tcPr>
            <w:tcW w:w="96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jc w:val="right"/>
              <w:ind w:right="561"/>
              <w:spacing w:after="0" w:line="162" w:lineRule="exact"/>
              <w:rPr>
                <w:sz w:val="20"/>
                <w:szCs w:val="20"/>
                <w:color w:val="auto"/>
              </w:rPr>
            </w:pPr>
            <w:r>
              <w:rPr>
                <w:rFonts w:ascii="Times New Roman" w:cs="Times New Roman" w:eastAsia="Times New Roman" w:hAnsi="Times New Roman"/>
                <w:sz w:val="16"/>
                <w:szCs w:val="16"/>
                <w:color w:val="auto"/>
              </w:rPr>
              <w:t>May 3,</w:t>
            </w:r>
          </w:p>
        </w:tc>
        <w:tc>
          <w:tcPr>
            <w:tcW w:w="920" w:type="dxa"/>
            <w:vAlign w:val="bottom"/>
          </w:tcPr>
          <w:p>
            <w:pPr>
              <w:jc w:val="right"/>
              <w:ind w:right="61"/>
              <w:spacing w:after="0" w:line="162" w:lineRule="exact"/>
              <w:rPr>
                <w:sz w:val="20"/>
                <w:szCs w:val="20"/>
                <w:color w:val="auto"/>
              </w:rPr>
            </w:pPr>
            <w:r>
              <w:rPr>
                <w:rFonts w:ascii="Times New Roman" w:cs="Times New Roman" w:eastAsia="Times New Roman" w:hAnsi="Times New Roman"/>
                <w:sz w:val="16"/>
                <w:szCs w:val="16"/>
                <w:color w:val="auto"/>
              </w:rPr>
              <w:t>% of</w:t>
            </w: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2025</w:t>
            </w: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Net Sales</w:t>
            </w:r>
          </w:p>
        </w:tc>
      </w:tr>
      <w:tr>
        <w:trPr>
          <w:trHeight w:val="181"/>
        </w:trPr>
        <w:tc>
          <w:tcPr>
            <w:tcW w:w="20" w:type="dxa"/>
            <w:vAlign w:val="bottom"/>
          </w:tcPr>
          <w:p>
            <w:pPr>
              <w:spacing w:after="0"/>
              <w:rPr>
                <w:sz w:val="15"/>
                <w:szCs w:val="15"/>
                <w:color w:val="auto"/>
              </w:rPr>
            </w:pPr>
          </w:p>
        </w:tc>
        <w:tc>
          <w:tcPr>
            <w:tcW w:w="46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sales</w:t>
            </w:r>
          </w:p>
        </w:tc>
        <w:tc>
          <w:tcPr>
            <w:tcW w:w="140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b w:val="1"/>
                <w:bCs w:val="1"/>
                <w:color w:val="auto"/>
              </w:rPr>
              <w:t>487,025</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44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561"/>
              <w:spacing w:after="0" w:line="181" w:lineRule="exact"/>
              <w:rPr>
                <w:sz w:val="20"/>
                <w:szCs w:val="20"/>
                <w:color w:val="auto"/>
              </w:rPr>
            </w:pPr>
            <w:r>
              <w:rPr>
                <w:rFonts w:ascii="Times New Roman" w:cs="Times New Roman" w:eastAsia="Times New Roman" w:hAnsi="Times New Roman"/>
                <w:sz w:val="16"/>
                <w:szCs w:val="16"/>
                <w:color w:val="auto"/>
              </w:rPr>
              <w:t>473,973</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100.0%</w:t>
            </w:r>
          </w:p>
        </w:tc>
      </w:tr>
      <w:tr>
        <w:trPr>
          <w:trHeight w:val="189"/>
        </w:trPr>
        <w:tc>
          <w:tcPr>
            <w:tcW w:w="20" w:type="dxa"/>
            <w:vAlign w:val="bottom"/>
          </w:tcPr>
          <w:p>
            <w:pPr>
              <w:spacing w:after="0"/>
              <w:rPr>
                <w:sz w:val="16"/>
                <w:szCs w:val="16"/>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258,106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252,792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181"/>
        </w:trPr>
        <w:tc>
          <w:tcPr>
            <w:tcW w:w="20" w:type="dxa"/>
            <w:vAlign w:val="bottom"/>
          </w:tcPr>
          <w:p>
            <w:pPr>
              <w:spacing w:after="0"/>
              <w:rPr>
                <w:sz w:val="15"/>
                <w:szCs w:val="15"/>
                <w:color w:val="auto"/>
              </w:rPr>
            </w:pPr>
          </w:p>
        </w:tc>
        <w:tc>
          <w:tcPr>
            <w:tcW w:w="4660" w:type="dxa"/>
            <w:vAlign w:val="bottom"/>
            <w:shd w:val="clear" w:color="auto" w:fill="CFF0FC"/>
          </w:tcPr>
          <w:p>
            <w:pPr>
              <w:ind w:left="80"/>
              <w:spacing w:after="0" w:line="181" w:lineRule="exact"/>
              <w:rPr>
                <w:sz w:val="20"/>
                <w:szCs w:val="20"/>
                <w:color w:val="auto"/>
              </w:rPr>
            </w:pPr>
            <w:r>
              <w:rPr>
                <w:rFonts w:ascii="Times New Roman" w:cs="Times New Roman" w:eastAsia="Times New Roman" w:hAnsi="Times New Roman"/>
                <w:sz w:val="15"/>
                <w:szCs w:val="15"/>
                <w:color w:val="auto"/>
              </w:rPr>
              <w:t>Gross margin</w:t>
            </w:r>
            <w:r>
              <w:rPr>
                <w:rFonts w:ascii="Times New Roman" w:cs="Times New Roman" w:eastAsia="Times New Roman" w:hAnsi="Times New Roman"/>
                <w:sz w:val="20"/>
                <w:szCs w:val="20"/>
                <w:color w:val="auto"/>
                <w:vertAlign w:val="superscript"/>
              </w:rPr>
              <w:t>(1)</w:t>
            </w: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581"/>
              <w:spacing w:after="0" w:line="181" w:lineRule="exact"/>
              <w:rPr>
                <w:sz w:val="20"/>
                <w:szCs w:val="20"/>
                <w:color w:val="auto"/>
              </w:rPr>
            </w:pPr>
            <w:r>
              <w:rPr>
                <w:rFonts w:ascii="Times New Roman" w:cs="Times New Roman" w:eastAsia="Times New Roman" w:hAnsi="Times New Roman"/>
                <w:sz w:val="16"/>
                <w:szCs w:val="16"/>
                <w:b w:val="1"/>
                <w:bCs w:val="1"/>
                <w:color w:val="auto"/>
              </w:rPr>
              <w:t>228,919</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47.0%</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61"/>
              <w:spacing w:after="0" w:line="181" w:lineRule="exact"/>
              <w:rPr>
                <w:sz w:val="20"/>
                <w:szCs w:val="20"/>
                <w:color w:val="auto"/>
              </w:rPr>
            </w:pPr>
            <w:r>
              <w:rPr>
                <w:rFonts w:ascii="Times New Roman" w:cs="Times New Roman" w:eastAsia="Times New Roman" w:hAnsi="Times New Roman"/>
                <w:sz w:val="16"/>
                <w:szCs w:val="16"/>
                <w:color w:val="auto"/>
              </w:rPr>
              <w:t>221,181</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46.7%</w:t>
            </w:r>
          </w:p>
        </w:tc>
      </w:tr>
      <w:tr>
        <w:trPr>
          <w:trHeight w:val="189"/>
        </w:trPr>
        <w:tc>
          <w:tcPr>
            <w:tcW w:w="20" w:type="dxa"/>
            <w:vAlign w:val="bottom"/>
          </w:tcPr>
          <w:p>
            <w:pPr>
              <w:spacing w:after="0"/>
              <w:rPr>
                <w:sz w:val="16"/>
                <w:szCs w:val="16"/>
                <w:color w:val="auto"/>
              </w:rPr>
            </w:pPr>
          </w:p>
        </w:tc>
        <w:tc>
          <w:tcPr>
            <w:tcW w:w="4660" w:type="dxa"/>
            <w:vAlign w:val="bottom"/>
          </w:tcPr>
          <w:p>
            <w:pPr>
              <w:spacing w:after="0" w:line="190" w:lineRule="exact"/>
              <w:rPr>
                <w:sz w:val="20"/>
                <w:szCs w:val="20"/>
                <w:color w:val="auto"/>
              </w:rPr>
            </w:pPr>
            <w:r>
              <w:rPr>
                <w:rFonts w:ascii="Times New Roman" w:cs="Times New Roman" w:eastAsia="Times New Roman" w:hAnsi="Times New Roman"/>
                <w:sz w:val="16"/>
                <w:szCs w:val="16"/>
                <w:color w:val="auto"/>
              </w:rPr>
              <w:t>Selling and administrative expenses</w:t>
            </w:r>
            <w:r>
              <w:rPr>
                <w:rFonts w:ascii="Times New Roman" w:cs="Times New Roman" w:eastAsia="Times New Roman" w:hAnsi="Times New Roman"/>
                <w:sz w:val="21"/>
                <w:szCs w:val="21"/>
                <w:color w:val="auto"/>
                <w:vertAlign w:val="superscript"/>
              </w:rPr>
              <w:t>(2)</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254,403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249,035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189"/>
        </w:trPr>
        <w:tc>
          <w:tcPr>
            <w:tcW w:w="20" w:type="dxa"/>
            <w:vAlign w:val="bottom"/>
          </w:tcPr>
          <w:p>
            <w:pPr>
              <w:spacing w:after="0"/>
              <w:rPr>
                <w:sz w:val="16"/>
                <w:szCs w:val="16"/>
                <w:color w:val="auto"/>
              </w:rPr>
            </w:pPr>
          </w:p>
        </w:tc>
        <w:tc>
          <w:tcPr>
            <w:tcW w:w="4660" w:type="dxa"/>
            <w:vAlign w:val="bottom"/>
            <w:tcBorders>
              <w:bottom w:val="single" w:sz="8" w:color="auto"/>
            </w:tcBorders>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Asset impairments and other, net</w:t>
            </w:r>
            <w:r>
              <w:rPr>
                <w:rFonts w:ascii="Times New Roman" w:cs="Times New Roman" w:eastAsia="Times New Roman" w:hAnsi="Times New Roman"/>
                <w:sz w:val="21"/>
                <w:szCs w:val="21"/>
                <w:color w:val="auto"/>
                <w:vertAlign w:val="superscript"/>
              </w:rPr>
              <w:t>(3)</w:t>
            </w:r>
          </w:p>
        </w:tc>
        <w:tc>
          <w:tcPr>
            <w:tcW w:w="108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(10,107)</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2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291</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81"/>
        </w:trPr>
        <w:tc>
          <w:tcPr>
            <w:tcW w:w="20" w:type="dxa"/>
            <w:vAlign w:val="bottom"/>
          </w:tcPr>
          <w:p>
            <w:pPr>
              <w:spacing w:after="0"/>
              <w:rPr>
                <w:sz w:val="15"/>
                <w:szCs w:val="15"/>
                <w:color w:val="auto"/>
              </w:rPr>
            </w:pPr>
          </w:p>
        </w:tc>
        <w:tc>
          <w:tcPr>
            <w:tcW w:w="46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Operating loss</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ind w:right="541"/>
              <w:spacing w:after="0" w:line="181" w:lineRule="exact"/>
              <w:rPr>
                <w:sz w:val="20"/>
                <w:szCs w:val="20"/>
                <w:color w:val="auto"/>
              </w:rPr>
            </w:pPr>
            <w:r>
              <w:rPr>
                <w:rFonts w:ascii="Times New Roman" w:cs="Times New Roman" w:eastAsia="Times New Roman" w:hAnsi="Times New Roman"/>
                <w:sz w:val="16"/>
                <w:szCs w:val="16"/>
                <w:b w:val="1"/>
                <w:bCs w:val="1"/>
                <w:color w:val="auto"/>
              </w:rPr>
              <w:t>(15,377)</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(28,145)</w:t>
            </w: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-5.9%</w:t>
            </w:r>
          </w:p>
        </w:tc>
      </w:tr>
      <w:tr>
        <w:trPr>
          <w:trHeight w:val="189"/>
        </w:trPr>
        <w:tc>
          <w:tcPr>
            <w:tcW w:w="20" w:type="dxa"/>
            <w:vAlign w:val="bottom"/>
          </w:tcPr>
          <w:p>
            <w:pPr>
              <w:spacing w:after="0"/>
              <w:rPr>
                <w:sz w:val="16"/>
                <w:szCs w:val="16"/>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1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237</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180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89"/>
        </w:trPr>
        <w:tc>
          <w:tcPr>
            <w:tcW w:w="20" w:type="dxa"/>
            <w:vAlign w:val="bottom"/>
          </w:tcPr>
          <w:p>
            <w:pPr>
              <w:spacing w:after="0"/>
              <w:rPr>
                <w:sz w:val="16"/>
                <w:szCs w:val="16"/>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265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1,339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181"/>
        </w:trPr>
        <w:tc>
          <w:tcPr>
            <w:tcW w:w="20" w:type="dxa"/>
            <w:vAlign w:val="bottom"/>
          </w:tcPr>
          <w:p>
            <w:pPr>
              <w:spacing w:after="0"/>
              <w:rPr>
                <w:sz w:val="15"/>
                <w:szCs w:val="15"/>
                <w:color w:val="auto"/>
              </w:rPr>
            </w:pPr>
          </w:p>
        </w:tc>
        <w:tc>
          <w:tcPr>
            <w:tcW w:w="466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Loss from continuing operations before income taxes</w:t>
            </w: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541"/>
              <w:spacing w:after="0" w:line="181" w:lineRule="exact"/>
              <w:rPr>
                <w:sz w:val="20"/>
                <w:szCs w:val="20"/>
                <w:color w:val="auto"/>
              </w:rPr>
            </w:pPr>
            <w:r>
              <w:rPr>
                <w:rFonts w:ascii="Times New Roman" w:cs="Times New Roman" w:eastAsia="Times New Roman" w:hAnsi="Times New Roman"/>
                <w:sz w:val="16"/>
                <w:szCs w:val="16"/>
                <w:b w:val="1"/>
                <w:bCs w:val="1"/>
                <w:color w:val="auto"/>
              </w:rPr>
              <w:t>(15,879)</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(29,664)</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-6.3%</w:t>
            </w:r>
          </w:p>
        </w:tc>
      </w:tr>
      <w:tr>
        <w:trPr>
          <w:trHeight w:val="189"/>
        </w:trPr>
        <w:tc>
          <w:tcPr>
            <w:tcW w:w="20" w:type="dxa"/>
            <w:vAlign w:val="bottom"/>
          </w:tcPr>
          <w:p>
            <w:pPr>
              <w:spacing w:after="0"/>
              <w:rPr>
                <w:sz w:val="16"/>
                <w:szCs w:val="16"/>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(1,073)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rPr>
              <w:t>(8,452)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1"/>
        </w:trPr>
        <w:tc>
          <w:tcPr>
            <w:tcW w:w="20" w:type="dxa"/>
            <w:vAlign w:val="bottom"/>
          </w:tcPr>
          <w:p>
            <w:pPr>
              <w:spacing w:after="0"/>
              <w:rPr>
                <w:sz w:val="15"/>
                <w:szCs w:val="15"/>
                <w:color w:val="auto"/>
              </w:rPr>
            </w:pPr>
          </w:p>
        </w:tc>
        <w:tc>
          <w:tcPr>
            <w:tcW w:w="466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Loss from continuing operations</w:t>
            </w:r>
          </w:p>
        </w:tc>
        <w:tc>
          <w:tcPr>
            <w:tcW w:w="10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541"/>
              <w:spacing w:after="0" w:line="181" w:lineRule="exact"/>
              <w:rPr>
                <w:sz w:val="20"/>
                <w:szCs w:val="20"/>
                <w:color w:val="auto"/>
              </w:rPr>
            </w:pPr>
            <w:r>
              <w:rPr>
                <w:rFonts w:ascii="Times New Roman" w:cs="Times New Roman" w:eastAsia="Times New Roman" w:hAnsi="Times New Roman"/>
                <w:sz w:val="16"/>
                <w:szCs w:val="16"/>
                <w:b w:val="1"/>
                <w:bCs w:val="1"/>
                <w:color w:val="auto"/>
              </w:rPr>
              <w:t>(14,806)</w:t>
            </w:r>
          </w:p>
        </w:tc>
        <w:tc>
          <w:tcPr>
            <w:tcW w:w="96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(21,212)</w:t>
            </w:r>
          </w:p>
        </w:tc>
        <w:tc>
          <w:tcPr>
            <w:tcW w:w="9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w:t>
            </w:r>
          </w:p>
        </w:tc>
      </w:tr>
      <w:tr>
        <w:trPr>
          <w:trHeight w:val="189"/>
        </w:trPr>
        <w:tc>
          <w:tcPr>
            <w:tcW w:w="20" w:type="dxa"/>
            <w:vAlign w:val="bottom"/>
          </w:tcPr>
          <w:p>
            <w:pPr>
              <w:spacing w:after="0"/>
              <w:rPr>
                <w:sz w:val="16"/>
                <w:szCs w:val="16"/>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rPr>
              <w:t>(15)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21"/>
        </w:trPr>
        <w:tc>
          <w:tcPr>
            <w:tcW w:w="20" w:type="dxa"/>
            <w:vAlign w:val="bottom"/>
          </w:tcPr>
          <w:p>
            <w:pPr>
              <w:spacing w:after="0"/>
              <w:rPr>
                <w:sz w:val="19"/>
                <w:szCs w:val="19"/>
                <w:color w:val="auto"/>
              </w:rPr>
            </w:pPr>
          </w:p>
        </w:tc>
        <w:tc>
          <w:tcPr>
            <w:tcW w:w="4660" w:type="dxa"/>
            <w:vAlign w:val="bottom"/>
            <w:tcBorders>
              <w:bottom w:val="single" w:sz="8" w:color="auto"/>
            </w:tcBorders>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1400" w:type="dxa"/>
            <w:vAlign w:val="bottom"/>
            <w:tcBorders>
              <w:bottom w:val="single" w:sz="8" w:color="auto"/>
            </w:tcBorders>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auto"/>
            </w:tcBorders>
            <w:shd w:val="clear" w:color="auto" w:fill="CFF0FC"/>
          </w:tcPr>
          <w:p>
            <w:pPr>
              <w:jc w:val="right"/>
              <w:ind w:right="541"/>
              <w:spacing w:after="0" w:line="181" w:lineRule="exact"/>
              <w:rPr>
                <w:sz w:val="20"/>
                <w:szCs w:val="20"/>
                <w:color w:val="auto"/>
              </w:rPr>
            </w:pPr>
            <w:r>
              <w:rPr>
                <w:rFonts w:ascii="Times New Roman" w:cs="Times New Roman" w:eastAsia="Times New Roman" w:hAnsi="Times New Roman"/>
                <w:sz w:val="16"/>
                <w:szCs w:val="16"/>
                <w:b w:val="1"/>
                <w:bCs w:val="1"/>
                <w:color w:val="auto"/>
              </w:rPr>
              <w:t>(14,814)</w:t>
            </w:r>
          </w:p>
        </w:tc>
        <w:tc>
          <w:tcPr>
            <w:tcW w:w="96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-3.0%</w:t>
            </w:r>
          </w:p>
        </w:tc>
        <w:tc>
          <w:tcPr>
            <w:tcW w:w="440" w:type="dxa"/>
            <w:vAlign w:val="bottom"/>
            <w:tcBorders>
              <w:bottom w:val="single" w:sz="8" w:color="auto"/>
            </w:tcBorders>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FF0FC"/>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(21,227)</w:t>
            </w:r>
          </w:p>
        </w:tc>
        <w:tc>
          <w:tcPr>
            <w:tcW w:w="9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-4.5%</w:t>
            </w:r>
          </w:p>
        </w:tc>
      </w:tr>
      <w:tr>
        <w:trPr>
          <w:trHeight w:val="165"/>
        </w:trPr>
        <w:tc>
          <w:tcPr>
            <w:tcW w:w="20" w:type="dxa"/>
            <w:vAlign w:val="bottom"/>
          </w:tcPr>
          <w:p>
            <w:pPr>
              <w:spacing w:after="0"/>
              <w:rPr>
                <w:sz w:val="14"/>
                <w:szCs w:val="14"/>
                <w:color w:val="auto"/>
              </w:rPr>
            </w:pPr>
          </w:p>
        </w:tc>
        <w:tc>
          <w:tcPr>
            <w:tcW w:w="46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Basic loss per share:</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Before discontinued operations</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(1.42)</w:t>
            </w:r>
          </w:p>
        </w:tc>
        <w:tc>
          <w:tcPr>
            <w:tcW w:w="96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521"/>
              <w:spacing w:after="0"/>
              <w:rPr>
                <w:sz w:val="20"/>
                <w:szCs w:val="20"/>
                <w:color w:val="auto"/>
              </w:rPr>
            </w:pPr>
            <w:r>
              <w:rPr>
                <w:rFonts w:ascii="Times New Roman" w:cs="Times New Roman" w:eastAsia="Times New Roman" w:hAnsi="Times New Roman"/>
                <w:sz w:val="16"/>
                <w:szCs w:val="16"/>
                <w:color w:val="auto"/>
              </w:rPr>
              <w:t>(2.02)</w:t>
            </w:r>
          </w:p>
        </w:tc>
        <w:tc>
          <w:tcPr>
            <w:tcW w:w="9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(1.42)</w:t>
            </w:r>
          </w:p>
        </w:tc>
        <w:tc>
          <w:tcPr>
            <w:tcW w:w="96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rPr>
              <w:t>(2.02)</w:t>
            </w:r>
          </w:p>
        </w:tc>
        <w:tc>
          <w:tcPr>
            <w:tcW w:w="9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loss per share:</w:t>
            </w:r>
          </w:p>
        </w:tc>
        <w:tc>
          <w:tcPr>
            <w:tcW w:w="1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Before discontinued operations</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(1.42)</w:t>
            </w:r>
          </w:p>
        </w:tc>
        <w:tc>
          <w:tcPr>
            <w:tcW w:w="96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rPr>
              <w:t>(2.02)</w:t>
            </w:r>
          </w:p>
        </w:tc>
        <w:tc>
          <w:tcPr>
            <w:tcW w:w="9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shd w:val="clear" w:color="auto" w:fill="CFF0FC"/>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(1.42)</w:t>
            </w:r>
          </w:p>
        </w:tc>
        <w:tc>
          <w:tcPr>
            <w:tcW w:w="96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521"/>
              <w:spacing w:after="0"/>
              <w:rPr>
                <w:sz w:val="20"/>
                <w:szCs w:val="20"/>
                <w:color w:val="auto"/>
              </w:rPr>
            </w:pPr>
            <w:r>
              <w:rPr>
                <w:rFonts w:ascii="Times New Roman" w:cs="Times New Roman" w:eastAsia="Times New Roman" w:hAnsi="Times New Roman"/>
                <w:sz w:val="16"/>
                <w:szCs w:val="16"/>
                <w:color w:val="auto"/>
              </w:rPr>
              <w:t>(2.02)</w:t>
            </w:r>
          </w:p>
        </w:tc>
        <w:tc>
          <w:tcPr>
            <w:tcW w:w="9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10,428</w:t>
            </w: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10,495</w:t>
            </w:r>
          </w:p>
        </w:tc>
        <w:tc>
          <w:tcPr>
            <w:tcW w:w="920" w:type="dxa"/>
            <w:vAlign w:val="bottom"/>
            <w:shd w:val="clear" w:color="auto" w:fill="CFF0FC"/>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10,428</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10,495</w:t>
            </w:r>
          </w:p>
        </w:tc>
        <w:tc>
          <w:tcPr>
            <w:tcW w:w="920" w:type="dxa"/>
            <w:vAlign w:val="bottom"/>
          </w:tcPr>
          <w:p>
            <w:pPr>
              <w:spacing w:after="0"/>
              <w:rPr>
                <w:sz w:val="18"/>
                <w:szCs w:val="18"/>
                <w:color w:val="auto"/>
              </w:rPr>
            </w:pPr>
          </w:p>
        </w:tc>
      </w:tr>
    </w:tbl>
    <w:p>
      <w:pPr>
        <w:spacing w:after="0" w:line="118" w:lineRule="exact"/>
        <w:rPr>
          <w:sz w:val="20"/>
          <w:szCs w:val="20"/>
          <w:color w:val="auto"/>
        </w:rPr>
      </w:pPr>
    </w:p>
    <w:p>
      <w:pPr>
        <w:ind w:left="365" w:hanging="365"/>
        <w:spacing w:after="0"/>
        <w:tabs>
          <w:tab w:leader="none" w:pos="36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$0.1 million gross margin gain in the first quarter of Fiscal 2027 for the reversal of an inventory write-down in Genesco Brands Group related to license exits.</w:t>
      </w:r>
    </w:p>
    <w:p>
      <w:pPr>
        <w:ind w:left="365" w:hanging="365"/>
        <w:spacing w:after="0" w:line="187" w:lineRule="auto"/>
        <w:tabs>
          <w:tab w:leader="none" w:pos="36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$1.7 million charge for costs associated with information technology transformation in the first quarter of Fiscal 2027.</w:t>
      </w:r>
    </w:p>
    <w:p>
      <w:pPr>
        <w:spacing w:after="0" w:line="1" w:lineRule="exact"/>
        <w:rPr>
          <w:rFonts w:ascii="Times New Roman" w:cs="Times New Roman" w:eastAsia="Times New Roman" w:hAnsi="Times New Roman"/>
          <w:sz w:val="21"/>
          <w:szCs w:val="21"/>
          <w:color w:val="auto"/>
          <w:vertAlign w:val="superscript"/>
        </w:rPr>
      </w:pPr>
    </w:p>
    <w:p>
      <w:pPr>
        <w:jc w:val="both"/>
        <w:ind w:left="365" w:right="180" w:hanging="365"/>
        <w:spacing w:after="0" w:line="223" w:lineRule="auto"/>
        <w:tabs>
          <w:tab w:leader="none" w:pos="36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$10.1 million gain in the first quarter of Fiscal 2027 which includes a $13.4 million gain related to payment card interchange fee litigation, partially offset by a $3.0 million charge for store restructuring, a $0.2 million charge for costs associated with information technology transformation and a $0.1 million charge for severance. Includes a $0.3 million charge for severance in the first quarter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2811145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11" w:name="page12"/>
    <w:bookmarkEnd w:id="11"/>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GENESCO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Sales/Earnings Summary by Segment</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Quarter 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Quarter 1</w:t>
            </w:r>
          </w:p>
        </w:tc>
        <w:tc>
          <w:tcPr>
            <w:tcW w:w="920" w:type="dxa"/>
            <w:vAlign w:val="bottom"/>
            <w:tcBorders>
              <w:bottom w:val="single" w:sz="8" w:color="auto"/>
            </w:tcBorders>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320"/>
              <w:spacing w:after="0" w:line="162" w:lineRule="exact"/>
              <w:rPr>
                <w:sz w:val="20"/>
                <w:szCs w:val="20"/>
                <w:color w:val="auto"/>
              </w:rPr>
            </w:pPr>
            <w:r>
              <w:rPr>
                <w:rFonts w:ascii="Times New Roman" w:cs="Times New Roman" w:eastAsia="Times New Roman" w:hAnsi="Times New Roman"/>
                <w:sz w:val="16"/>
                <w:szCs w:val="16"/>
                <w:b w:val="1"/>
                <w:bCs w:val="1"/>
                <w:color w:val="auto"/>
              </w:rPr>
              <w:t>May 2,</w:t>
            </w:r>
          </w:p>
        </w:tc>
        <w:tc>
          <w:tcPr>
            <w:tcW w:w="96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6"/>
                <w:szCs w:val="16"/>
                <w:b w:val="1"/>
                <w:bCs w:val="1"/>
                <w:color w:val="auto"/>
              </w:rPr>
              <w: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561"/>
              <w:spacing w:after="0" w:line="162" w:lineRule="exact"/>
              <w:rPr>
                <w:sz w:val="20"/>
                <w:szCs w:val="20"/>
                <w:color w:val="auto"/>
              </w:rPr>
            </w:pPr>
            <w:r>
              <w:rPr>
                <w:rFonts w:ascii="Times New Roman" w:cs="Times New Roman" w:eastAsia="Times New Roman" w:hAnsi="Times New Roman"/>
                <w:sz w:val="16"/>
                <w:szCs w:val="16"/>
                <w:color w:val="auto"/>
              </w:rPr>
              <w:t>May 3,</w:t>
            </w:r>
          </w:p>
        </w:tc>
        <w:tc>
          <w:tcPr>
            <w:tcW w:w="920" w:type="dxa"/>
            <w:vAlign w:val="bottom"/>
          </w:tcPr>
          <w:p>
            <w:pPr>
              <w:jc w:val="right"/>
              <w:ind w:right="61"/>
              <w:spacing w:after="0" w:line="162" w:lineRule="exact"/>
              <w:rPr>
                <w:sz w:val="20"/>
                <w:szCs w:val="20"/>
                <w:color w:val="auto"/>
              </w:rPr>
            </w:pPr>
            <w:r>
              <w:rPr>
                <w:rFonts w:ascii="Times New Roman" w:cs="Times New Roman" w:eastAsia="Times New Roman" w:hAnsi="Times New Roman"/>
                <w:sz w:val="16"/>
                <w:szCs w:val="16"/>
                <w:color w:val="auto"/>
              </w:rPr>
              <w:t>% of</w:t>
            </w: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color w:val="auto"/>
              </w:rPr>
              <w:t>2025</w:t>
            </w:r>
          </w:p>
        </w:tc>
        <w:tc>
          <w:tcPr>
            <w:tcW w:w="9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Net Sales</w:t>
            </w:r>
          </w:p>
        </w:tc>
      </w:tr>
      <w:tr>
        <w:trPr>
          <w:trHeight w:val="181"/>
        </w:trPr>
        <w:tc>
          <w:tcPr>
            <w:tcW w:w="20" w:type="dxa"/>
            <w:vAlign w:val="bottom"/>
          </w:tcPr>
          <w:p>
            <w:pPr>
              <w:spacing w:after="0"/>
              <w:rPr>
                <w:sz w:val="15"/>
                <w:szCs w:val="15"/>
                <w:color w:val="auto"/>
              </w:rPr>
            </w:pPr>
          </w:p>
        </w:tc>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Sales:</w:t>
            </w:r>
          </w:p>
        </w:tc>
        <w:tc>
          <w:tcPr>
            <w:tcW w:w="1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Journeys Group</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285,323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272,634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189"/>
        </w:trPr>
        <w:tc>
          <w:tcPr>
            <w:tcW w:w="20" w:type="dxa"/>
            <w:vAlign w:val="bottom"/>
          </w:tcPr>
          <w:p>
            <w:pPr>
              <w:spacing w:after="0"/>
              <w:rPr>
                <w:sz w:val="16"/>
                <w:szCs w:val="16"/>
                <w:color w:val="auto"/>
              </w:rPr>
            </w:pPr>
          </w:p>
        </w:tc>
        <w:tc>
          <w:tcPr>
            <w:tcW w:w="4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Schuh Group</w:t>
            </w: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90,702</w:t>
            </w: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95,915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189"/>
        </w:trPr>
        <w:tc>
          <w:tcPr>
            <w:tcW w:w="20" w:type="dxa"/>
            <w:vAlign w:val="bottom"/>
          </w:tcPr>
          <w:p>
            <w:pPr>
              <w:spacing w:after="0"/>
              <w:rPr>
                <w:sz w:val="16"/>
                <w:szCs w:val="16"/>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Johnston &amp; Murphy Group</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81,310</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76,839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9"/>
        </w:trPr>
        <w:tc>
          <w:tcPr>
            <w:tcW w:w="2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Genesco Brands Group</w:t>
            </w: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29,690</w:t>
            </w:r>
          </w:p>
        </w:tc>
        <w:tc>
          <w:tcPr>
            <w:tcW w:w="4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w:t>
            </w:r>
          </w:p>
        </w:tc>
        <w:tc>
          <w:tcPr>
            <w:tcW w:w="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28,585</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73"/>
        </w:trPr>
        <w:tc>
          <w:tcPr>
            <w:tcW w:w="20" w:type="dxa"/>
            <w:vAlign w:val="bottom"/>
          </w:tcPr>
          <w:p>
            <w:pPr>
              <w:spacing w:after="0"/>
              <w:rPr>
                <w:sz w:val="15"/>
                <w:szCs w:val="15"/>
                <w:color w:val="auto"/>
              </w:rPr>
            </w:pPr>
          </w:p>
        </w:tc>
        <w:tc>
          <w:tcPr>
            <w:tcW w:w="4640" w:type="dxa"/>
            <w:vAlign w:val="bottom"/>
            <w:tcBorders>
              <w:top w:val="single" w:sz="8" w:color="auto"/>
              <w:bottom w:val="single" w:sz="8" w:color="auto"/>
            </w:tcBorders>
          </w:tcPr>
          <w:p>
            <w:pPr>
              <w:ind w:left="80"/>
              <w:spacing w:after="0" w:line="173"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20" w:type="dxa"/>
            <w:vAlign w:val="bottom"/>
            <w:tcBorders>
              <w:top w:val="single" w:sz="8" w:color="auto"/>
              <w:bottom w:val="single" w:sz="8" w:color="auto"/>
            </w:tcBorders>
            <w:gridSpan w:val="2"/>
          </w:tcPr>
          <w:p>
            <w:pPr>
              <w:jc w:val="right"/>
              <w:ind w:right="240"/>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top w:val="single" w:sz="8" w:color="auto"/>
              <w:bottom w:val="single" w:sz="8" w:color="auto"/>
            </w:tcBorders>
          </w:tcPr>
          <w:p>
            <w:pPr>
              <w:jc w:val="right"/>
              <w:ind w:right="121"/>
              <w:spacing w:after="0" w:line="173" w:lineRule="exact"/>
              <w:rPr>
                <w:sz w:val="20"/>
                <w:szCs w:val="20"/>
                <w:color w:val="auto"/>
              </w:rPr>
            </w:pPr>
            <w:r>
              <w:rPr>
                <w:rFonts w:ascii="Times New Roman" w:cs="Times New Roman" w:eastAsia="Times New Roman" w:hAnsi="Times New Roman"/>
                <w:sz w:val="16"/>
                <w:szCs w:val="16"/>
                <w:b w:val="1"/>
                <w:bCs w:val="1"/>
                <w:color w:val="auto"/>
              </w:rPr>
              <w:t>487,025</w:t>
            </w:r>
          </w:p>
        </w:tc>
        <w:tc>
          <w:tcPr>
            <w:tcW w:w="4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bottom w:val="single" w:sz="8" w:color="auto"/>
            </w:tcBorders>
            <w:gridSpan w:val="2"/>
          </w:tcPr>
          <w:p>
            <w:pPr>
              <w:jc w:val="right"/>
              <w:ind w:right="20"/>
              <w:spacing w:after="0" w:line="173"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top w:val="single" w:sz="8" w:color="auto"/>
              <w:bottom w:val="single" w:sz="8" w:color="auto"/>
            </w:tcBorders>
          </w:tcPr>
          <w:p>
            <w:pPr>
              <w:jc w:val="right"/>
              <w:ind w:right="561"/>
              <w:spacing w:after="0" w:line="173" w:lineRule="exact"/>
              <w:rPr>
                <w:sz w:val="20"/>
                <w:szCs w:val="20"/>
                <w:color w:val="auto"/>
              </w:rPr>
            </w:pPr>
            <w:r>
              <w:rPr>
                <w:rFonts w:ascii="Times New Roman" w:cs="Times New Roman" w:eastAsia="Times New Roman" w:hAnsi="Times New Roman"/>
                <w:sz w:val="16"/>
                <w:szCs w:val="16"/>
                <w:color w:val="auto"/>
              </w:rPr>
              <w:t>473,973</w:t>
            </w: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100.0%</w:t>
            </w:r>
          </w:p>
        </w:tc>
      </w:tr>
      <w:tr>
        <w:trPr>
          <w:trHeight w:val="181"/>
        </w:trPr>
        <w:tc>
          <w:tcPr>
            <w:tcW w:w="20" w:type="dxa"/>
            <w:vAlign w:val="bottom"/>
          </w:tcPr>
          <w:p>
            <w:pPr>
              <w:spacing w:after="0"/>
              <w:rPr>
                <w:sz w:val="15"/>
                <w:szCs w:val="15"/>
                <w:color w:val="auto"/>
              </w:rPr>
            </w:pPr>
          </w:p>
        </w:tc>
        <w:tc>
          <w:tcPr>
            <w:tcW w:w="46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income (loss):</w:t>
            </w:r>
          </w:p>
        </w:tc>
        <w:tc>
          <w:tcPr>
            <w:tcW w:w="1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Journeys Group</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(11,555)</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rPr>
              <w:t>(15,283)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89"/>
        </w:trPr>
        <w:tc>
          <w:tcPr>
            <w:tcW w:w="20" w:type="dxa"/>
            <w:vAlign w:val="bottom"/>
          </w:tcPr>
          <w:p>
            <w:pPr>
              <w:spacing w:after="0"/>
              <w:rPr>
                <w:sz w:val="16"/>
                <w:szCs w:val="16"/>
                <w:color w:val="auto"/>
              </w:rPr>
            </w:pPr>
          </w:p>
        </w:tc>
        <w:tc>
          <w:tcPr>
            <w:tcW w:w="4640" w:type="dxa"/>
            <w:vAlign w:val="bottom"/>
            <w:shd w:val="clear" w:color="auto" w:fill="CFF0FC"/>
          </w:tcPr>
          <w:p>
            <w:pPr>
              <w:ind w:left="80"/>
              <w:spacing w:after="0" w:line="190" w:lineRule="exact"/>
              <w:rPr>
                <w:sz w:val="20"/>
                <w:szCs w:val="20"/>
                <w:color w:val="auto"/>
              </w:rPr>
            </w:pPr>
            <w:r>
              <w:rPr>
                <w:rFonts w:ascii="Times New Roman" w:cs="Times New Roman" w:eastAsia="Times New Roman" w:hAnsi="Times New Roman"/>
                <w:sz w:val="16"/>
                <w:szCs w:val="16"/>
                <w:color w:val="auto"/>
              </w:rPr>
              <w:t>Schuh Group</w:t>
            </w:r>
            <w:r>
              <w:rPr>
                <w:rFonts w:ascii="Times New Roman" w:cs="Times New Roman" w:eastAsia="Times New Roman" w:hAnsi="Times New Roman"/>
                <w:sz w:val="21"/>
                <w:szCs w:val="21"/>
                <w:color w:val="auto"/>
                <w:vertAlign w:val="superscript"/>
              </w:rPr>
              <w:t>(1)</w:t>
            </w: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(6,987)</w:t>
            </w: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521"/>
              <w:spacing w:after="0"/>
              <w:rPr>
                <w:sz w:val="20"/>
                <w:szCs w:val="20"/>
                <w:color w:val="auto"/>
              </w:rPr>
            </w:pPr>
            <w:r>
              <w:rPr>
                <w:rFonts w:ascii="Times New Roman" w:cs="Times New Roman" w:eastAsia="Times New Roman" w:hAnsi="Times New Roman"/>
                <w:sz w:val="16"/>
                <w:szCs w:val="16"/>
                <w:color w:val="auto"/>
              </w:rPr>
              <w:t>(6,131)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89"/>
        </w:trPr>
        <w:tc>
          <w:tcPr>
            <w:tcW w:w="20" w:type="dxa"/>
            <w:vAlign w:val="bottom"/>
          </w:tcPr>
          <w:p>
            <w:pPr>
              <w:spacing w:after="0"/>
              <w:rPr>
                <w:sz w:val="16"/>
                <w:szCs w:val="16"/>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Johnston &amp; Murphy Group</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1,507</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500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189"/>
        </w:trPr>
        <w:tc>
          <w:tcPr>
            <w:tcW w:w="20" w:type="dxa"/>
            <w:vAlign w:val="bottom"/>
          </w:tcPr>
          <w:p>
            <w:pPr>
              <w:spacing w:after="0"/>
              <w:rPr>
                <w:sz w:val="16"/>
                <w:szCs w:val="16"/>
                <w:color w:val="auto"/>
              </w:rPr>
            </w:pPr>
          </w:p>
        </w:tc>
        <w:tc>
          <w:tcPr>
            <w:tcW w:w="4640" w:type="dxa"/>
            <w:vAlign w:val="bottom"/>
            <w:shd w:val="clear" w:color="auto" w:fill="CFF0FC"/>
          </w:tcPr>
          <w:p>
            <w:pPr>
              <w:ind w:left="80"/>
              <w:spacing w:after="0" w:line="190" w:lineRule="exact"/>
              <w:rPr>
                <w:sz w:val="20"/>
                <w:szCs w:val="20"/>
                <w:color w:val="auto"/>
              </w:rPr>
            </w:pPr>
            <w:r>
              <w:rPr>
                <w:rFonts w:ascii="Times New Roman" w:cs="Times New Roman" w:eastAsia="Times New Roman" w:hAnsi="Times New Roman"/>
                <w:sz w:val="16"/>
                <w:szCs w:val="16"/>
                <w:color w:val="auto"/>
              </w:rPr>
              <w:t>Genesco Brands Group</w:t>
            </w:r>
            <w:r>
              <w:rPr>
                <w:rFonts w:ascii="Times New Roman" w:cs="Times New Roman" w:eastAsia="Times New Roman" w:hAnsi="Times New Roman"/>
                <w:sz w:val="21"/>
                <w:szCs w:val="21"/>
                <w:color w:val="auto"/>
                <w:vertAlign w:val="superscript"/>
              </w:rPr>
              <w:t>(2)</w:t>
            </w:r>
          </w:p>
        </w:tc>
        <w:tc>
          <w:tcPr>
            <w:tcW w:w="1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1,162</w:t>
            </w: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698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20" w:type="dxa"/>
            <w:vAlign w:val="bottom"/>
          </w:tcPr>
          <w:p>
            <w:pPr>
              <w:spacing w:after="0"/>
              <w:rPr>
                <w:sz w:val="18"/>
                <w:szCs w:val="18"/>
                <w:color w:val="auto"/>
              </w:rPr>
            </w:pPr>
          </w:p>
        </w:tc>
        <w:tc>
          <w:tcPr>
            <w:tcW w:w="4640" w:type="dxa"/>
            <w:vAlign w:val="bottom"/>
          </w:tcPr>
          <w:p>
            <w:pPr>
              <w:ind w:left="80"/>
              <w:spacing w:after="0" w:line="190" w:lineRule="exact"/>
              <w:rPr>
                <w:sz w:val="20"/>
                <w:szCs w:val="20"/>
                <w:color w:val="auto"/>
              </w:rPr>
            </w:pPr>
            <w:r>
              <w:rPr>
                <w:rFonts w:ascii="Times New Roman" w:cs="Times New Roman" w:eastAsia="Times New Roman" w:hAnsi="Times New Roman"/>
                <w:sz w:val="16"/>
                <w:szCs w:val="16"/>
                <w:color w:val="auto"/>
              </w:rPr>
              <w:t>Corporate and Other</w:t>
            </w:r>
            <w:r>
              <w:rPr>
                <w:rFonts w:ascii="Times New Roman" w:cs="Times New Roman" w:eastAsia="Times New Roman" w:hAnsi="Times New Roman"/>
                <w:sz w:val="21"/>
                <w:szCs w:val="21"/>
                <w:color w:val="auto"/>
                <w:vertAlign w:val="superscript"/>
              </w:rPr>
              <w:t>(3)</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496</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rPr>
              <w:t>(7,929)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73"/>
        </w:trPr>
        <w:tc>
          <w:tcPr>
            <w:tcW w:w="20" w:type="dxa"/>
            <w:vAlign w:val="bottom"/>
          </w:tcPr>
          <w:p>
            <w:pPr>
              <w:spacing w:after="0"/>
              <w:rPr>
                <w:sz w:val="15"/>
                <w:szCs w:val="15"/>
                <w:color w:val="auto"/>
              </w:rPr>
            </w:pPr>
          </w:p>
        </w:tc>
        <w:tc>
          <w:tcPr>
            <w:tcW w:w="4640" w:type="dxa"/>
            <w:vAlign w:val="bottom"/>
            <w:tcBorders>
              <w:top w:val="single" w:sz="8" w:color="auto"/>
            </w:tcBorders>
            <w:shd w:val="clear" w:color="auto" w:fill="CFF0FC"/>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Operating loss</w:t>
            </w:r>
          </w:p>
        </w:tc>
        <w:tc>
          <w:tcPr>
            <w:tcW w:w="110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jc w:val="right"/>
              <w:ind w:right="81"/>
              <w:spacing w:after="0" w:line="173" w:lineRule="exact"/>
              <w:rPr>
                <w:sz w:val="20"/>
                <w:szCs w:val="20"/>
                <w:color w:val="auto"/>
              </w:rPr>
            </w:pPr>
            <w:r>
              <w:rPr>
                <w:rFonts w:ascii="Times New Roman" w:cs="Times New Roman" w:eastAsia="Times New Roman" w:hAnsi="Times New Roman"/>
                <w:sz w:val="16"/>
                <w:szCs w:val="16"/>
                <w:b w:val="1"/>
                <w:bCs w:val="1"/>
                <w:color w:val="auto"/>
              </w:rPr>
              <w:t>(15,377)</w:t>
            </w:r>
          </w:p>
        </w:tc>
        <w:tc>
          <w:tcPr>
            <w:tcW w:w="460" w:type="dxa"/>
            <w:vAlign w:val="bottom"/>
            <w:tcBorders>
              <w:top w:val="single" w:sz="8" w:color="CFF0FC"/>
            </w:tcBorders>
            <w:shd w:val="clear" w:color="auto" w:fill="CFF0FC"/>
          </w:tcPr>
          <w:p>
            <w:pPr>
              <w:spacing w:after="0"/>
              <w:rPr>
                <w:sz w:val="15"/>
                <w:szCs w:val="15"/>
                <w:color w:val="auto"/>
              </w:rPr>
            </w:pPr>
          </w:p>
        </w:tc>
        <w:tc>
          <w:tcPr>
            <w:tcW w:w="960" w:type="dxa"/>
            <w:vAlign w:val="bottom"/>
            <w:tcBorders>
              <w:top w:val="single" w:sz="8" w:color="CFF0FC"/>
            </w:tcBorders>
            <w:shd w:val="clear" w:color="auto" w:fill="CFF0FC"/>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-3.2%</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640" w:type="dxa"/>
            <w:vAlign w:val="bottom"/>
            <w:tcBorders>
              <w:top w:val="single" w:sz="8" w:color="CFF0FC"/>
            </w:tcBorders>
            <w:shd w:val="clear" w:color="auto" w:fill="CFF0FC"/>
          </w:tcPr>
          <w:p>
            <w:pPr>
              <w:jc w:val="right"/>
              <w:ind w:right="521"/>
              <w:spacing w:after="0" w:line="173" w:lineRule="exact"/>
              <w:rPr>
                <w:sz w:val="20"/>
                <w:szCs w:val="20"/>
                <w:color w:val="auto"/>
              </w:rPr>
            </w:pPr>
            <w:r>
              <w:rPr>
                <w:rFonts w:ascii="Times New Roman" w:cs="Times New Roman" w:eastAsia="Times New Roman" w:hAnsi="Times New Roman"/>
                <w:sz w:val="16"/>
                <w:szCs w:val="16"/>
                <w:color w:val="auto"/>
              </w:rPr>
              <w:t>(28,145)</w:t>
            </w:r>
          </w:p>
        </w:tc>
        <w:tc>
          <w:tcPr>
            <w:tcW w:w="920" w:type="dxa"/>
            <w:vAlign w:val="bottom"/>
            <w:tcBorders>
              <w:top w:val="single" w:sz="8" w:color="CFF0FC"/>
            </w:tcBorders>
            <w:shd w:val="clear" w:color="auto" w:fill="CFF0FC"/>
          </w:tcPr>
          <w:p>
            <w:pPr>
              <w:jc w:val="right"/>
              <w:spacing w:after="0" w:line="173" w:lineRule="exact"/>
              <w:rPr>
                <w:sz w:val="20"/>
                <w:szCs w:val="20"/>
                <w:color w:val="auto"/>
              </w:rPr>
            </w:pPr>
            <w:r>
              <w:rPr>
                <w:rFonts w:ascii="Times New Roman" w:cs="Times New Roman" w:eastAsia="Times New Roman" w:hAnsi="Times New Roman"/>
                <w:sz w:val="16"/>
                <w:szCs w:val="16"/>
                <w:color w:val="auto"/>
              </w:rPr>
              <w:t>-5.9%</w:t>
            </w:r>
          </w:p>
        </w:tc>
      </w:tr>
      <w:tr>
        <w:trPr>
          <w:trHeight w:val="189"/>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237</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180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265</w:t>
            </w:r>
          </w:p>
        </w:tc>
        <w:tc>
          <w:tcPr>
            <w:tcW w:w="4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561"/>
              <w:spacing w:after="0"/>
              <w:rPr>
                <w:sz w:val="20"/>
                <w:szCs w:val="20"/>
                <w:color w:val="auto"/>
              </w:rPr>
            </w:pPr>
            <w:r>
              <w:rPr>
                <w:rFonts w:ascii="Times New Roman" w:cs="Times New Roman" w:eastAsia="Times New Roman" w:hAnsi="Times New Roman"/>
                <w:sz w:val="16"/>
                <w:szCs w:val="16"/>
                <w:color w:val="auto"/>
              </w:rPr>
              <w:t>1,339</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181"/>
        </w:trPr>
        <w:tc>
          <w:tcPr>
            <w:tcW w:w="2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from continuing operations before income taxes</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(15,879)</w:t>
            </w:r>
          </w:p>
        </w:tc>
        <w:tc>
          <w:tcPr>
            <w:tcW w:w="4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(29,664)</w:t>
            </w: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-6.3%</w:t>
            </w: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10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(1,073)</w:t>
            </w:r>
          </w:p>
        </w:tc>
        <w:tc>
          <w:tcPr>
            <w:tcW w:w="4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521"/>
              <w:spacing w:after="0"/>
              <w:rPr>
                <w:sz w:val="20"/>
                <w:szCs w:val="20"/>
                <w:color w:val="auto"/>
              </w:rPr>
            </w:pPr>
            <w:r>
              <w:rPr>
                <w:rFonts w:ascii="Times New Roman" w:cs="Times New Roman" w:eastAsia="Times New Roman" w:hAnsi="Times New Roman"/>
                <w:sz w:val="16"/>
                <w:szCs w:val="16"/>
                <w:color w:val="auto"/>
              </w:rPr>
              <w:t>(8,452)</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1"/>
        </w:trPr>
        <w:tc>
          <w:tcPr>
            <w:tcW w:w="20" w:type="dxa"/>
            <w:vAlign w:val="bottom"/>
          </w:tcPr>
          <w:p>
            <w:pPr>
              <w:spacing w:after="0"/>
              <w:rPr>
                <w:sz w:val="15"/>
                <w:szCs w:val="15"/>
                <w:color w:val="auto"/>
              </w:rPr>
            </w:pPr>
          </w:p>
        </w:tc>
        <w:tc>
          <w:tcPr>
            <w:tcW w:w="46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continuing operations</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(14,806)</w:t>
            </w:r>
          </w:p>
        </w:tc>
        <w:tc>
          <w:tcPr>
            <w:tcW w:w="46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(21,212)</w:t>
            </w: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-4.5%</w:t>
            </w: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110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(8)</w:t>
            </w:r>
          </w:p>
        </w:tc>
        <w:tc>
          <w:tcPr>
            <w:tcW w:w="4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0.0%</w:t>
            </w: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521"/>
              <w:spacing w:after="0"/>
              <w:rPr>
                <w:sz w:val="20"/>
                <w:szCs w:val="20"/>
                <w:color w:val="auto"/>
              </w:rPr>
            </w:pPr>
            <w:r>
              <w:rPr>
                <w:rFonts w:ascii="Times New Roman" w:cs="Times New Roman" w:eastAsia="Times New Roman" w:hAnsi="Times New Roman"/>
                <w:sz w:val="16"/>
                <w:szCs w:val="16"/>
                <w:color w:val="auto"/>
              </w:rPr>
              <w:t>(15)</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81"/>
        </w:trPr>
        <w:tc>
          <w:tcPr>
            <w:tcW w:w="2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1420" w:type="dxa"/>
            <w:vAlign w:val="bottom"/>
            <w:tcBorders>
              <w:bottom w:val="single" w:sz="8" w:color="auto"/>
            </w:tcBorders>
            <w:gridSpan w:val="2"/>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81"/>
              <w:spacing w:after="0" w:line="181" w:lineRule="exact"/>
              <w:rPr>
                <w:sz w:val="20"/>
                <w:szCs w:val="20"/>
                <w:color w:val="auto"/>
              </w:rPr>
            </w:pPr>
            <w:r>
              <w:rPr>
                <w:rFonts w:ascii="Times New Roman" w:cs="Times New Roman" w:eastAsia="Times New Roman" w:hAnsi="Times New Roman"/>
                <w:sz w:val="16"/>
                <w:szCs w:val="16"/>
                <w:b w:val="1"/>
                <w:bCs w:val="1"/>
                <w:color w:val="auto"/>
              </w:rPr>
              <w:t>(14,814)</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Borders>
              <w:bottom w:val="single" w:sz="8" w:color="auto"/>
            </w:tcBorders>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521"/>
              <w:spacing w:after="0" w:line="181" w:lineRule="exact"/>
              <w:rPr>
                <w:sz w:val="20"/>
                <w:szCs w:val="20"/>
                <w:color w:val="auto"/>
              </w:rPr>
            </w:pPr>
            <w:r>
              <w:rPr>
                <w:rFonts w:ascii="Times New Roman" w:cs="Times New Roman" w:eastAsia="Times New Roman" w:hAnsi="Times New Roman"/>
                <w:sz w:val="16"/>
                <w:szCs w:val="16"/>
                <w:color w:val="auto"/>
              </w:rPr>
              <w:t>(21,227)</w:t>
            </w:r>
          </w:p>
        </w:tc>
        <w:tc>
          <w:tcPr>
            <w:tcW w:w="9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-4.5%</w:t>
            </w: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-1884045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307" w:lineRule="exact"/>
        <w:rPr>
          <w:sz w:val="20"/>
          <w:szCs w:val="20"/>
          <w:color w:val="auto"/>
        </w:rPr>
      </w:pPr>
    </w:p>
    <w:p>
      <w:pPr>
        <w:ind w:left="365" w:hanging="365"/>
        <w:spacing w:after="0"/>
        <w:tabs>
          <w:tab w:leader="none" w:pos="36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$0.3 million charge for costs associated with information technology transformation</w:t>
      </w:r>
    </w:p>
    <w:p>
      <w:pPr>
        <w:ind w:left="365" w:hanging="365"/>
        <w:spacing w:after="0" w:line="187" w:lineRule="auto"/>
        <w:tabs>
          <w:tab w:leader="none" w:pos="36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$0.1 million gross margin gain in the first quarter of Fiscal 2027 for the reversal of an inventory write-down in Genesco Brands Group related to license exits.</w:t>
      </w:r>
    </w:p>
    <w:p>
      <w:pPr>
        <w:spacing w:after="0" w:line="1" w:lineRule="exact"/>
        <w:rPr>
          <w:rFonts w:ascii="Times New Roman" w:cs="Times New Roman" w:eastAsia="Times New Roman" w:hAnsi="Times New Roman"/>
          <w:sz w:val="21"/>
          <w:szCs w:val="21"/>
          <w:color w:val="auto"/>
          <w:vertAlign w:val="superscript"/>
        </w:rPr>
      </w:pPr>
    </w:p>
    <w:p>
      <w:pPr>
        <w:ind w:left="365" w:right="220" w:hanging="365"/>
        <w:spacing w:after="0" w:line="223" w:lineRule="auto"/>
        <w:tabs>
          <w:tab w:leader="none" w:pos="36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 $13.4 million gain related to payment card interchange fee litigation, partially offset by a $3.0 million charge for store restructuring, a $1.6 million charge for costs associated with information technology transformation and a $0.1 million charge for severance in the first quarter of Fiscal 2027. Includes a $0.3 million charge for severance in the first quarter of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3171190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12" w:name="page13"/>
    <w:bookmarkEnd w:id="12"/>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GENESCO INC.</w:t>
      </w:r>
    </w:p>
    <w:p>
      <w:pPr>
        <w:spacing w:after="0" w:line="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4"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May 2, 2026</w:t>
            </w: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May 3, 2025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Assets</w:t>
            </w:r>
          </w:p>
        </w:tc>
        <w:tc>
          <w:tcPr>
            <w:tcW w:w="3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27,122</w:t>
            </w:r>
          </w:p>
        </w:tc>
        <w:tc>
          <w:tcPr>
            <w:tcW w:w="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21,748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30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47,694</w:t>
            </w:r>
          </w:p>
        </w:tc>
        <w:tc>
          <w:tcPr>
            <w:tcW w:w="5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52,815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30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476,853</w:t>
            </w:r>
          </w:p>
        </w:tc>
        <w:tc>
          <w:tcPr>
            <w:tcW w:w="540" w:type="dxa"/>
            <w:vAlign w:val="bottom"/>
          </w:tcPr>
          <w:p>
            <w:pPr>
              <w:spacing w:after="0"/>
              <w:rPr>
                <w:sz w:val="16"/>
                <w:szCs w:val="16"/>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450,829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Borders>
              <w:bottom w:val="single" w:sz="8" w:color="auto"/>
            </w:tcBorders>
            <w:shd w:val="clear" w:color="auto" w:fill="CFF0FC"/>
          </w:tcPr>
          <w:p>
            <w:pPr>
              <w:spacing w:after="0" w:line="190" w:lineRule="exact"/>
              <w:rPr>
                <w:sz w:val="20"/>
                <w:szCs w:val="20"/>
                <w:color w:val="auto"/>
              </w:rPr>
            </w:pPr>
            <w:r>
              <w:rPr>
                <w:rFonts w:ascii="Times New Roman" w:cs="Times New Roman" w:eastAsia="Times New Roman" w:hAnsi="Times New Roman"/>
                <w:sz w:val="16"/>
                <w:szCs w:val="16"/>
                <w:color w:val="auto"/>
              </w:rPr>
              <w:t>Other current assets</w:t>
            </w:r>
            <w:r>
              <w:rPr>
                <w:rFonts w:ascii="Times New Roman" w:cs="Times New Roman" w:eastAsia="Times New Roman" w:hAnsi="Times New Roman"/>
                <w:sz w:val="21"/>
                <w:szCs w:val="21"/>
                <w:color w:val="auto"/>
                <w:vertAlign w:val="superscript"/>
              </w:rPr>
              <w:t>(1)</w:t>
            </w:r>
          </w:p>
        </w:tc>
        <w:tc>
          <w:tcPr>
            <w:tcW w:w="30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44,109</w:t>
            </w:r>
          </w:p>
        </w:tc>
        <w:tc>
          <w:tcPr>
            <w:tcW w:w="5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107,922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Borders>
              <w:bottom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30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595,778</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633,314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Property and equipment</w:t>
            </w:r>
          </w:p>
        </w:tc>
        <w:tc>
          <w:tcPr>
            <w:tcW w:w="30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239,701</w:t>
            </w:r>
          </w:p>
        </w:tc>
        <w:tc>
          <w:tcPr>
            <w:tcW w:w="5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236,909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0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485,669</w:t>
            </w:r>
          </w:p>
        </w:tc>
        <w:tc>
          <w:tcPr>
            <w:tcW w:w="540" w:type="dxa"/>
            <w:vAlign w:val="bottom"/>
          </w:tcPr>
          <w:p>
            <w:pPr>
              <w:spacing w:after="0"/>
              <w:rPr>
                <w:sz w:val="16"/>
                <w:szCs w:val="16"/>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472,091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and other intangibles</w:t>
            </w:r>
          </w:p>
        </w:tc>
        <w:tc>
          <w:tcPr>
            <w:tcW w:w="30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37,011</w:t>
            </w:r>
          </w:p>
        </w:tc>
        <w:tc>
          <w:tcPr>
            <w:tcW w:w="5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36,857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25,870</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25,420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FF0FC"/>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3000" w:type="dxa"/>
            <w:vAlign w:val="bottom"/>
            <w:tcBorders>
              <w:bottom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1,384,029</w:t>
            </w:r>
          </w:p>
        </w:tc>
        <w:tc>
          <w:tcPr>
            <w:tcW w:w="540" w:type="dxa"/>
            <w:vAlign w:val="bottom"/>
            <w:tcBorders>
              <w:bottom w:val="single" w:sz="8" w:color="auto"/>
            </w:tcBorders>
            <w:shd w:val="clear" w:color="auto" w:fill="CFF0FC"/>
          </w:tcPr>
          <w:p>
            <w:pPr>
              <w:jc w:val="right"/>
              <w:ind w:right="2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1,404,591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5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00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129,033</w:t>
            </w:r>
          </w:p>
        </w:tc>
        <w:tc>
          <w:tcPr>
            <w:tcW w:w="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122,166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portion long-term debt</w:t>
            </w:r>
          </w:p>
        </w:tc>
        <w:tc>
          <w:tcPr>
            <w:tcW w:w="30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7,299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 operating lease liabilities</w:t>
            </w:r>
          </w:p>
        </w:tc>
        <w:tc>
          <w:tcPr>
            <w:tcW w:w="30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115,773</w:t>
            </w:r>
          </w:p>
        </w:tc>
        <w:tc>
          <w:tcPr>
            <w:tcW w:w="540" w:type="dxa"/>
            <w:vAlign w:val="bottom"/>
          </w:tcPr>
          <w:p>
            <w:pPr>
              <w:spacing w:after="0"/>
              <w:rPr>
                <w:sz w:val="16"/>
                <w:szCs w:val="16"/>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126,954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80,054</w:t>
            </w:r>
          </w:p>
        </w:tc>
        <w:tc>
          <w:tcPr>
            <w:tcW w:w="5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74,504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tcBorders>
              <w:bottom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30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324,860</w:t>
            </w: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330,923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Long-term debt</w:t>
            </w:r>
          </w:p>
        </w:tc>
        <w:tc>
          <w:tcPr>
            <w:tcW w:w="30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45,346</w:t>
            </w:r>
          </w:p>
        </w:tc>
        <w:tc>
          <w:tcPr>
            <w:tcW w:w="5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113,733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000" w:type="dxa"/>
            <w:vAlign w:val="bottom"/>
          </w:tcPr>
          <w:p>
            <w:pPr>
              <w:spacing w:after="0"/>
              <w:rPr>
                <w:sz w:val="16"/>
                <w:szCs w:val="16"/>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414,604</w:t>
            </w:r>
          </w:p>
        </w:tc>
        <w:tc>
          <w:tcPr>
            <w:tcW w:w="540" w:type="dxa"/>
            <w:vAlign w:val="bottom"/>
          </w:tcPr>
          <w:p>
            <w:pPr>
              <w:spacing w:after="0"/>
              <w:rPr>
                <w:sz w:val="16"/>
                <w:szCs w:val="16"/>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389,384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46,782</w:t>
            </w:r>
          </w:p>
        </w:tc>
        <w:tc>
          <w:tcPr>
            <w:tcW w:w="5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48,319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Equity</w:t>
            </w:r>
          </w:p>
        </w:tc>
        <w:tc>
          <w:tcPr>
            <w:tcW w:w="3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552,437</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522,232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FF0FC"/>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3000" w:type="dxa"/>
            <w:vAlign w:val="bottom"/>
            <w:tcBorders>
              <w:bottom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1,384,029</w:t>
            </w:r>
          </w:p>
        </w:tc>
        <w:tc>
          <w:tcPr>
            <w:tcW w:w="540" w:type="dxa"/>
            <w:vAlign w:val="bottom"/>
            <w:tcBorders>
              <w:bottom w:val="single" w:sz="8" w:color="auto"/>
            </w:tcBorders>
            <w:shd w:val="clear" w:color="auto" w:fill="CFF0FC"/>
          </w:tcPr>
          <w:p>
            <w:pPr>
              <w:jc w:val="right"/>
              <w:ind w:right="2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1,404,591</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365" w:hanging="365"/>
        <w:spacing w:after="0"/>
        <w:tabs>
          <w:tab w:leader="none" w:pos="365"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prepaid income taxes of $74.8 million at May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1008380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GENESCO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Store Count Activity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08"/>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02/01/25</w:t>
            </w: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Open</w:t>
            </w:r>
          </w:p>
        </w:tc>
        <w:tc>
          <w:tcPr>
            <w:tcW w:w="10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Close</w:t>
            </w: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01/31/26</w:t>
            </w:r>
          </w:p>
        </w:tc>
        <w:tc>
          <w:tcPr>
            <w:tcW w:w="12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Open</w:t>
            </w:r>
          </w:p>
        </w:tc>
        <w:tc>
          <w:tcPr>
            <w:tcW w:w="6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Close</w:t>
            </w: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05/02/26</w:t>
            </w:r>
          </w:p>
        </w:tc>
      </w:tr>
      <w:tr>
        <w:trPr>
          <w:trHeight w:val="181"/>
        </w:trPr>
        <w:tc>
          <w:tcPr>
            <w:tcW w:w="20" w:type="dxa"/>
            <w:vAlign w:val="bottom"/>
          </w:tcPr>
          <w:p>
            <w:pPr>
              <w:spacing w:after="0"/>
              <w:rPr>
                <w:sz w:val="15"/>
                <w:szCs w:val="15"/>
                <w:color w:val="auto"/>
              </w:rPr>
            </w:pPr>
          </w:p>
        </w:tc>
        <w:tc>
          <w:tcPr>
            <w:tcW w:w="3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Journeys Group</w:t>
            </w:r>
          </w:p>
        </w:tc>
        <w:tc>
          <w:tcPr>
            <w:tcW w:w="2220" w:type="dxa"/>
            <w:vAlign w:val="bottom"/>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1,006</w:t>
            </w:r>
          </w:p>
        </w:tc>
        <w:tc>
          <w:tcPr>
            <w:tcW w:w="1000" w:type="dxa"/>
            <w:vAlign w:val="bottom"/>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8</w:t>
            </w:r>
          </w:p>
        </w:tc>
        <w:tc>
          <w:tcPr>
            <w:tcW w:w="1080" w:type="dxa"/>
            <w:vAlign w:val="bottom"/>
            <w:shd w:val="clear" w:color="auto" w:fill="CFF0FC"/>
          </w:tcPr>
          <w:p>
            <w:pPr>
              <w:jc w:val="right"/>
              <w:ind w:right="341"/>
              <w:spacing w:after="0" w:line="181" w:lineRule="exact"/>
              <w:rPr>
                <w:sz w:val="20"/>
                <w:szCs w:val="20"/>
                <w:color w:val="auto"/>
              </w:rPr>
            </w:pPr>
            <w:r>
              <w:rPr>
                <w:rFonts w:ascii="Times New Roman" w:cs="Times New Roman" w:eastAsia="Times New Roman" w:hAnsi="Times New Roman"/>
                <w:sz w:val="16"/>
                <w:szCs w:val="16"/>
                <w:color w:val="auto"/>
              </w:rPr>
              <w:t>49</w:t>
            </w:r>
          </w:p>
        </w:tc>
        <w:tc>
          <w:tcPr>
            <w:tcW w:w="880" w:type="dxa"/>
            <w:vAlign w:val="bottom"/>
            <w:shd w:val="clear" w:color="auto" w:fill="CFF0FC"/>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rPr>
              <w:t>965</w:t>
            </w:r>
          </w:p>
        </w:tc>
        <w:tc>
          <w:tcPr>
            <w:tcW w:w="1220" w:type="dxa"/>
            <w:vAlign w:val="bottom"/>
            <w:shd w:val="clear" w:color="auto" w:fill="CFF0FC"/>
          </w:tcPr>
          <w:p>
            <w:pPr>
              <w:jc w:val="right"/>
              <w:ind w:right="461"/>
              <w:spacing w:after="0" w:line="181" w:lineRule="exact"/>
              <w:rPr>
                <w:sz w:val="20"/>
                <w:szCs w:val="20"/>
                <w:color w:val="auto"/>
              </w:rPr>
            </w:pPr>
            <w:r>
              <w:rPr>
                <w:rFonts w:ascii="Times New Roman" w:cs="Times New Roman" w:eastAsia="Times New Roman" w:hAnsi="Times New Roman"/>
                <w:sz w:val="16"/>
                <w:szCs w:val="16"/>
                <w:color w:val="auto"/>
              </w:rPr>
              <w:t>0</w:t>
            </w:r>
          </w:p>
        </w:tc>
        <w:tc>
          <w:tcPr>
            <w:tcW w:w="640" w:type="dxa"/>
            <w:vAlign w:val="bottom"/>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25</w:t>
            </w:r>
          </w:p>
        </w:tc>
        <w:tc>
          <w:tcPr>
            <w:tcW w:w="90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940</w:t>
            </w: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Schuh Group</w:t>
            </w:r>
          </w:p>
        </w:tc>
        <w:tc>
          <w:tcPr>
            <w:tcW w:w="22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124</w:t>
            </w:r>
          </w:p>
        </w:tc>
        <w:tc>
          <w:tcPr>
            <w:tcW w:w="10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118</w:t>
            </w:r>
          </w:p>
        </w:tc>
        <w:tc>
          <w:tcPr>
            <w:tcW w:w="122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5</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114</w:t>
            </w:r>
          </w:p>
        </w:tc>
      </w:tr>
      <w:tr>
        <w:trPr>
          <w:trHeight w:val="189"/>
        </w:trPr>
        <w:tc>
          <w:tcPr>
            <w:tcW w:w="20" w:type="dxa"/>
            <w:vAlign w:val="bottom"/>
          </w:tcPr>
          <w:p>
            <w:pPr>
              <w:spacing w:after="0"/>
              <w:rPr>
                <w:sz w:val="16"/>
                <w:szCs w:val="16"/>
                <w:color w:val="auto"/>
              </w:rPr>
            </w:pPr>
          </w:p>
        </w:tc>
        <w:tc>
          <w:tcPr>
            <w:tcW w:w="3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Johnston &amp; Murphy Group</w:t>
            </w:r>
          </w:p>
        </w:tc>
        <w:tc>
          <w:tcPr>
            <w:tcW w:w="222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rPr>
              <w:t>148</w:t>
            </w:r>
          </w:p>
        </w:tc>
        <w:tc>
          <w:tcPr>
            <w:tcW w:w="100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rPr>
              <w:t>14</w:t>
            </w:r>
          </w:p>
        </w:tc>
        <w:tc>
          <w:tcPr>
            <w:tcW w:w="1080" w:type="dxa"/>
            <w:vAlign w:val="bottom"/>
            <w:tcBorders>
              <w:bottom w:val="single" w:sz="8" w:color="auto"/>
            </w:tcBorders>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9</w:t>
            </w:r>
          </w:p>
        </w:tc>
        <w:tc>
          <w:tcPr>
            <w:tcW w:w="880" w:type="dxa"/>
            <w:vAlign w:val="bottom"/>
            <w:tcBorders>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153</w:t>
            </w:r>
          </w:p>
        </w:tc>
        <w:tc>
          <w:tcPr>
            <w:tcW w:w="1220" w:type="dxa"/>
            <w:vAlign w:val="bottom"/>
            <w:tcBorders>
              <w:bottom w:val="single" w:sz="8" w:color="auto"/>
            </w:tcBorders>
            <w:shd w:val="clear" w:color="auto" w:fill="CFF0FC"/>
          </w:tcPr>
          <w:p>
            <w:pPr>
              <w:jc w:val="right"/>
              <w:ind w:right="461"/>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0</w:t>
            </w: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154</w:t>
            </w:r>
          </w:p>
        </w:tc>
      </w:tr>
      <w:tr>
        <w:trPr>
          <w:trHeight w:val="181"/>
        </w:trPr>
        <w:tc>
          <w:tcPr>
            <w:tcW w:w="20" w:type="dxa"/>
            <w:vAlign w:val="bottom"/>
          </w:tcPr>
          <w:p>
            <w:pPr>
              <w:spacing w:after="0"/>
              <w:rPr>
                <w:sz w:val="15"/>
                <w:szCs w:val="15"/>
                <w:color w:val="auto"/>
              </w:rPr>
            </w:pPr>
          </w:p>
        </w:tc>
        <w:tc>
          <w:tcPr>
            <w:tcW w:w="330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Total Retail Stores</w:t>
            </w:r>
          </w:p>
        </w:tc>
        <w:tc>
          <w:tcPr>
            <w:tcW w:w="2220" w:type="dxa"/>
            <w:vAlign w:val="bottom"/>
            <w:tcBorders>
              <w:bottom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1,278</w:t>
            </w:r>
          </w:p>
        </w:tc>
        <w:tc>
          <w:tcPr>
            <w:tcW w:w="1000" w:type="dxa"/>
            <w:vAlign w:val="bottom"/>
            <w:tcBorders>
              <w:bottom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23</w:t>
            </w:r>
          </w:p>
        </w:tc>
        <w:tc>
          <w:tcPr>
            <w:tcW w:w="108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color w:val="auto"/>
              </w:rPr>
              <w:t>65</w:t>
            </w:r>
          </w:p>
        </w:tc>
        <w:tc>
          <w:tcPr>
            <w:tcW w:w="880" w:type="dxa"/>
            <w:vAlign w:val="bottom"/>
            <w:tcBorders>
              <w:bottom w:val="single" w:sz="8" w:color="auto"/>
            </w:tcBorders>
          </w:tcPr>
          <w:p>
            <w:pPr>
              <w:jc w:val="right"/>
              <w:ind w:right="221"/>
              <w:spacing w:after="0" w:line="181" w:lineRule="exact"/>
              <w:rPr>
                <w:sz w:val="20"/>
                <w:szCs w:val="20"/>
                <w:color w:val="auto"/>
              </w:rPr>
            </w:pPr>
            <w:r>
              <w:rPr>
                <w:rFonts w:ascii="Times New Roman" w:cs="Times New Roman" w:eastAsia="Times New Roman" w:hAnsi="Times New Roman"/>
                <w:sz w:val="16"/>
                <w:szCs w:val="16"/>
                <w:color w:val="auto"/>
              </w:rPr>
              <w:t>1,236</w:t>
            </w:r>
          </w:p>
        </w:tc>
        <w:tc>
          <w:tcPr>
            <w:tcW w:w="1220" w:type="dxa"/>
            <w:vAlign w:val="bottom"/>
            <w:tcBorders>
              <w:bottom w:val="single" w:sz="8" w:color="auto"/>
            </w:tcBorders>
          </w:tcPr>
          <w:p>
            <w:pPr>
              <w:jc w:val="right"/>
              <w:ind w:right="461"/>
              <w:spacing w:after="0" w:line="181" w:lineRule="exact"/>
              <w:rPr>
                <w:sz w:val="20"/>
                <w:szCs w:val="20"/>
                <w:color w:val="auto"/>
              </w:rPr>
            </w:pPr>
            <w:r>
              <w:rPr>
                <w:rFonts w:ascii="Times New Roman" w:cs="Times New Roman" w:eastAsia="Times New Roman" w:hAnsi="Times New Roman"/>
                <w:sz w:val="16"/>
                <w:szCs w:val="16"/>
                <w:color w:val="auto"/>
              </w:rPr>
              <w:t>2</w:t>
            </w:r>
          </w:p>
        </w:tc>
        <w:tc>
          <w:tcPr>
            <w:tcW w:w="640" w:type="dxa"/>
            <w:vAlign w:val="bottom"/>
            <w:tcBorders>
              <w:bottom w:val="single" w:sz="8" w:color="auto"/>
            </w:tcBorders>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30</w:t>
            </w:r>
          </w:p>
        </w:tc>
        <w:tc>
          <w:tcPr>
            <w:tcW w:w="90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b w:val="1"/>
                <w:bCs w:val="1"/>
                <w:color w:val="auto"/>
              </w:rPr>
              <w:t>1,208</w:t>
            </w: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1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22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GENESCO INC.</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2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Comparable Sales</w:t>
            </w: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1</w:t>
            </w: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361"/>
              <w:spacing w:after="0" w:line="162" w:lineRule="exact"/>
              <w:rPr>
                <w:sz w:val="20"/>
                <w:szCs w:val="20"/>
                <w:color w:val="auto"/>
              </w:rPr>
            </w:pPr>
            <w:r>
              <w:rPr>
                <w:rFonts w:ascii="Times New Roman" w:cs="Times New Roman" w:eastAsia="Times New Roman" w:hAnsi="Times New Roman"/>
                <w:sz w:val="16"/>
                <w:szCs w:val="16"/>
                <w:b w:val="1"/>
                <w:bCs w:val="1"/>
                <w:color w:val="auto"/>
              </w:rPr>
              <w:t>May 2,</w:t>
            </w:r>
          </w:p>
        </w:tc>
        <w:tc>
          <w:tcPr>
            <w:tcW w:w="640" w:type="dxa"/>
            <w:vAlign w:val="bottom"/>
          </w:tcPr>
          <w:p>
            <w:pPr>
              <w:spacing w:after="0"/>
              <w:rPr>
                <w:sz w:val="14"/>
                <w:szCs w:val="14"/>
                <w:color w:val="auto"/>
              </w:rPr>
            </w:pPr>
          </w:p>
        </w:tc>
        <w:tc>
          <w:tcPr>
            <w:tcW w:w="900" w:type="dxa"/>
            <w:vAlign w:val="bottom"/>
          </w:tcPr>
          <w:p>
            <w:pPr>
              <w:jc w:val="right"/>
              <w:ind w:right="101"/>
              <w:spacing w:after="0" w:line="162" w:lineRule="exact"/>
              <w:rPr>
                <w:sz w:val="20"/>
                <w:szCs w:val="20"/>
                <w:color w:val="auto"/>
              </w:rPr>
            </w:pPr>
            <w:r>
              <w:rPr>
                <w:rFonts w:ascii="Times New Roman" w:cs="Times New Roman" w:eastAsia="Times New Roman" w:hAnsi="Times New Roman"/>
                <w:sz w:val="16"/>
                <w:szCs w:val="16"/>
                <w:color w:val="auto"/>
              </w:rPr>
              <w:t>May 3,</w:t>
            </w:r>
          </w:p>
        </w:tc>
      </w:tr>
      <w:tr>
        <w:trPr>
          <w:trHeight w:val="208"/>
        </w:trPr>
        <w:tc>
          <w:tcPr>
            <w:tcW w:w="20" w:type="dxa"/>
            <w:vAlign w:val="bottom"/>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2025</w:t>
            </w:r>
          </w:p>
        </w:tc>
      </w:tr>
      <w:tr>
        <w:trPr>
          <w:trHeight w:val="181"/>
        </w:trPr>
        <w:tc>
          <w:tcPr>
            <w:tcW w:w="20" w:type="dxa"/>
            <w:vAlign w:val="bottom"/>
          </w:tcPr>
          <w:p>
            <w:pPr>
              <w:spacing w:after="0"/>
              <w:rPr>
                <w:sz w:val="15"/>
                <w:szCs w:val="15"/>
                <w:color w:val="auto"/>
              </w:rPr>
            </w:pPr>
          </w:p>
        </w:tc>
        <w:tc>
          <w:tcPr>
            <w:tcW w:w="33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Journeys Group</w:t>
            </w:r>
          </w:p>
        </w:tc>
        <w:tc>
          <w:tcPr>
            <w:tcW w:w="2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5%</w:t>
            </w:r>
          </w:p>
        </w:tc>
        <w:tc>
          <w:tcPr>
            <w:tcW w:w="6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8%</w:t>
            </w:r>
          </w:p>
        </w:tc>
      </w:tr>
      <w:tr>
        <w:trPr>
          <w:trHeight w:val="189"/>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Schuh Group</w:t>
            </w:r>
          </w:p>
        </w:tc>
        <w:tc>
          <w:tcPr>
            <w:tcW w:w="2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-9%</w:t>
            </w:r>
          </w:p>
        </w:tc>
        <w:tc>
          <w:tcPr>
            <w:tcW w:w="6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89"/>
        </w:trPr>
        <w:tc>
          <w:tcPr>
            <w:tcW w:w="20" w:type="dxa"/>
            <w:vAlign w:val="bottom"/>
          </w:tcPr>
          <w:p>
            <w:pPr>
              <w:spacing w:after="0"/>
              <w:rPr>
                <w:sz w:val="16"/>
                <w:szCs w:val="16"/>
                <w:color w:val="auto"/>
              </w:rPr>
            </w:pPr>
          </w:p>
        </w:tc>
        <w:tc>
          <w:tcPr>
            <w:tcW w:w="3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Johnston &amp; Murphy Group</w:t>
            </w:r>
          </w:p>
        </w:tc>
        <w:tc>
          <w:tcPr>
            <w:tcW w:w="2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7%</w:t>
            </w:r>
          </w:p>
        </w:tc>
        <w:tc>
          <w:tcPr>
            <w:tcW w:w="6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81"/>
        </w:trPr>
        <w:tc>
          <w:tcPr>
            <w:tcW w:w="20" w:type="dxa"/>
            <w:vAlign w:val="bottom"/>
          </w:tcPr>
          <w:p>
            <w:pPr>
              <w:spacing w:after="0"/>
              <w:rPr>
                <w:sz w:val="15"/>
                <w:szCs w:val="15"/>
                <w:color w:val="auto"/>
              </w:rPr>
            </w:pPr>
          </w:p>
        </w:tc>
        <w:tc>
          <w:tcPr>
            <w:tcW w:w="3300" w:type="dxa"/>
            <w:vAlign w:val="bottom"/>
            <w:tcBorders>
              <w:bottom w:val="single" w:sz="8" w:color="auto"/>
            </w:tcBorders>
          </w:tcPr>
          <w:p>
            <w:pPr>
              <w:ind w:left="40"/>
              <w:spacing w:after="0" w:line="181" w:lineRule="exact"/>
              <w:rPr>
                <w:sz w:val="20"/>
                <w:szCs w:val="20"/>
                <w:color w:val="auto"/>
              </w:rPr>
            </w:pPr>
            <w:r>
              <w:rPr>
                <w:rFonts w:ascii="Times New Roman" w:cs="Times New Roman" w:eastAsia="Times New Roman" w:hAnsi="Times New Roman"/>
                <w:sz w:val="16"/>
                <w:szCs w:val="16"/>
                <w:color w:val="auto"/>
              </w:rPr>
              <w:t>Total Comparable Sales</w:t>
            </w:r>
          </w:p>
        </w:tc>
        <w:tc>
          <w:tcPr>
            <w:tcW w:w="2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1"/>
              <w:spacing w:after="0" w:line="181" w:lineRule="exact"/>
              <w:rPr>
                <w:sz w:val="20"/>
                <w:szCs w:val="20"/>
                <w:color w:val="auto"/>
              </w:rPr>
            </w:pPr>
            <w:r>
              <w:rPr>
                <w:rFonts w:ascii="Times New Roman" w:cs="Times New Roman" w:eastAsia="Times New Roman" w:hAnsi="Times New Roman"/>
                <w:sz w:val="16"/>
                <w:szCs w:val="16"/>
                <w:b w:val="1"/>
                <w:bCs w:val="1"/>
                <w:color w:val="auto"/>
              </w:rPr>
              <w:t>2%</w:t>
            </w: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w:t>
            </w: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30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Same Store Sales</w:t>
            </w:r>
          </w:p>
        </w:tc>
        <w:tc>
          <w:tcPr>
            <w:tcW w:w="2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01"/>
              <w:spacing w:after="0" w:line="165" w:lineRule="exact"/>
              <w:rPr>
                <w:sz w:val="20"/>
                <w:szCs w:val="20"/>
                <w:color w:val="auto"/>
              </w:rPr>
            </w:pPr>
            <w:r>
              <w:rPr>
                <w:rFonts w:ascii="Times New Roman" w:cs="Times New Roman" w:eastAsia="Times New Roman" w:hAnsi="Times New Roman"/>
                <w:sz w:val="16"/>
                <w:szCs w:val="16"/>
                <w:b w:val="1"/>
                <w:bCs w:val="1"/>
                <w:color w:val="auto"/>
              </w:rPr>
              <w:t>3%</w:t>
            </w:r>
          </w:p>
        </w:tc>
        <w:tc>
          <w:tcPr>
            <w:tcW w:w="6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5%</w:t>
            </w:r>
          </w:p>
        </w:tc>
      </w:tr>
      <w:tr>
        <w:trPr>
          <w:trHeight w:val="189"/>
        </w:trPr>
        <w:tc>
          <w:tcPr>
            <w:tcW w:w="20" w:type="dxa"/>
            <w:vAlign w:val="bottom"/>
          </w:tcPr>
          <w:p>
            <w:pPr>
              <w:spacing w:after="0"/>
              <w:rPr>
                <w:sz w:val="16"/>
                <w:szCs w:val="16"/>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Comparable E-commerce Sales</w:t>
            </w:r>
          </w:p>
        </w:tc>
        <w:tc>
          <w:tcPr>
            <w:tcW w:w="2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0%</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09"/>
        </w:trPr>
        <w:tc>
          <w:tcPr>
            <w:tcW w:w="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4" w:name="page15"/>
    <w:bookmarkEnd w:id="14"/>
    <w:p>
      <w:pPr>
        <w:ind w:left="10505"/>
        <w:spacing w:after="0"/>
        <w:rPr>
          <w:sz w:val="20"/>
          <w:szCs w:val="20"/>
          <w:color w:val="auto"/>
        </w:rPr>
      </w:pPr>
      <w:r>
        <w:rPr>
          <w:rFonts w:ascii="Times New Roman" w:cs="Times New Roman" w:eastAsia="Times New Roman" w:hAnsi="Times New Roman"/>
          <w:sz w:val="15"/>
          <w:szCs w:val="15"/>
          <w:b w:val="1"/>
          <w:bCs w:val="1"/>
          <w:color w:val="auto"/>
        </w:rPr>
        <w:t>Schedule B</w:t>
      </w:r>
    </w:p>
    <w:p>
      <w:pPr>
        <w:spacing w:after="0" w:line="208" w:lineRule="exact"/>
        <w:rPr>
          <w:sz w:val="20"/>
          <w:szCs w:val="20"/>
          <w:color w:val="auto"/>
        </w:rPr>
      </w:pPr>
    </w:p>
    <w:p>
      <w:pPr>
        <w:ind w:left="5225"/>
        <w:spacing w:after="0"/>
        <w:rPr>
          <w:sz w:val="20"/>
          <w:szCs w:val="20"/>
          <w:color w:val="auto"/>
        </w:rPr>
      </w:pPr>
      <w:r>
        <w:rPr>
          <w:rFonts w:ascii="Times New Roman" w:cs="Times New Roman" w:eastAsia="Times New Roman" w:hAnsi="Times New Roman"/>
          <w:sz w:val="16"/>
          <w:szCs w:val="16"/>
          <w:color w:val="auto"/>
        </w:rPr>
        <w:t>Genesco Inc.</w:t>
      </w:r>
    </w:p>
    <w:p>
      <w:pPr>
        <w:spacing w:after="0" w:line="22" w:lineRule="exact"/>
        <w:rPr>
          <w:sz w:val="20"/>
          <w:szCs w:val="20"/>
          <w:color w:val="auto"/>
        </w:rPr>
      </w:pPr>
    </w:p>
    <w:p>
      <w:pPr>
        <w:ind w:left="3765"/>
        <w:spacing w:after="0"/>
        <w:rPr>
          <w:sz w:val="20"/>
          <w:szCs w:val="20"/>
          <w:color w:val="auto"/>
        </w:rPr>
      </w:pPr>
      <w:r>
        <w:rPr>
          <w:rFonts w:ascii="Times New Roman" w:cs="Times New Roman" w:eastAsia="Times New Roman" w:hAnsi="Times New Roman"/>
          <w:sz w:val="16"/>
          <w:szCs w:val="16"/>
          <w:color w:val="auto"/>
        </w:rPr>
        <w:t>Adjustments to Reported Loss from Continuing Operations</w:t>
      </w:r>
    </w:p>
    <w:p>
      <w:pPr>
        <w:spacing w:after="0" w:line="5" w:lineRule="exact"/>
        <w:rPr>
          <w:sz w:val="20"/>
          <w:szCs w:val="20"/>
          <w:color w:val="auto"/>
        </w:rPr>
      </w:pPr>
    </w:p>
    <w:p>
      <w:pPr>
        <w:ind w:left="3945"/>
        <w:spacing w:after="0"/>
        <w:rPr>
          <w:sz w:val="20"/>
          <w:szCs w:val="20"/>
          <w:color w:val="auto"/>
        </w:rPr>
      </w:pPr>
      <w:r>
        <w:rPr>
          <w:rFonts w:ascii="Times New Roman" w:cs="Times New Roman" w:eastAsia="Times New Roman" w:hAnsi="Times New Roman"/>
          <w:sz w:val="16"/>
          <w:szCs w:val="16"/>
          <w:color w:val="auto"/>
        </w:rPr>
        <w:t>Three Months Ended May 2, 2026 and May 3, 2025</w:t>
      </w:r>
    </w:p>
    <w:p>
      <w:pPr>
        <w:spacing w:after="0" w:line="177" w:lineRule="exact"/>
        <w:rPr>
          <w:sz w:val="20"/>
          <w:szCs w:val="20"/>
          <w:color w:val="auto"/>
        </w:rPr>
      </w:pPr>
    </w:p>
    <w:p>
      <w:pPr>
        <w:ind w:left="5" w:right="20"/>
        <w:spacing w:after="0" w:line="276" w:lineRule="auto"/>
        <w:rPr>
          <w:sz w:val="20"/>
          <w:szCs w:val="20"/>
          <w:color w:val="auto"/>
        </w:rPr>
      </w:pPr>
      <w:r>
        <w:rPr>
          <w:rFonts w:ascii="Times New Roman" w:cs="Times New Roman" w:eastAsia="Times New Roman" w:hAnsi="Times New Roman"/>
          <w:sz w:val="16"/>
          <w:szCs w:val="16"/>
          <w:color w:val="auto"/>
        </w:rPr>
        <w:t>The Company believes that disclosure of earnings (loss) and earnings (loss) per share from continuing operations and operating income (loss) adjusted for the items not reflected in the previously announced expectations will be meaningful to investors, especially in light of the impact of such items on the results.</w:t>
      </w:r>
    </w:p>
    <w:p>
      <w:pPr>
        <w:spacing w:after="0" w:line="328"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Quarter 1</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3"/>
                <w:szCs w:val="13"/>
                <w:color w:val="auto"/>
              </w:rPr>
              <w:t>Quarter 1</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158"/>
              <w:spacing w:after="0" w:line="122" w:lineRule="exact"/>
              <w:rPr>
                <w:sz w:val="20"/>
                <w:szCs w:val="20"/>
                <w:color w:val="auto"/>
              </w:rPr>
            </w:pPr>
            <w:r>
              <w:rPr>
                <w:rFonts w:ascii="Times New Roman" w:cs="Times New Roman" w:eastAsia="Times New Roman" w:hAnsi="Times New Roman"/>
                <w:sz w:val="13"/>
                <w:szCs w:val="13"/>
                <w:b w:val="1"/>
                <w:bCs w:val="1"/>
                <w:color w:val="auto"/>
              </w:rPr>
              <w:t>May 2, 2026</w:t>
            </w: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18"/>
              <w:spacing w:after="0" w:line="122" w:lineRule="exact"/>
              <w:rPr>
                <w:sz w:val="20"/>
                <w:szCs w:val="20"/>
                <w:color w:val="auto"/>
              </w:rPr>
            </w:pPr>
            <w:r>
              <w:rPr>
                <w:rFonts w:ascii="Times New Roman" w:cs="Times New Roman" w:eastAsia="Times New Roman" w:hAnsi="Times New Roman"/>
                <w:sz w:val="13"/>
                <w:szCs w:val="13"/>
                <w:color w:val="auto"/>
              </w:rPr>
              <w:t>May 3, 2025</w:t>
            </w: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Thousands (except per share amounts)</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vMerge w:val="restart"/>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Pretax</w:t>
            </w:r>
          </w:p>
        </w:tc>
        <w:tc>
          <w:tcPr>
            <w:tcW w:w="1040" w:type="dxa"/>
            <w:vAlign w:val="bottom"/>
          </w:tcPr>
          <w:p>
            <w:pPr>
              <w:jc w:val="right"/>
              <w:ind w:right="478"/>
              <w:spacing w:after="0" w:line="100" w:lineRule="exact"/>
              <w:rPr>
                <w:sz w:val="20"/>
                <w:szCs w:val="20"/>
                <w:color w:val="auto"/>
              </w:rPr>
            </w:pPr>
            <w:r>
              <w:rPr>
                <w:rFonts w:ascii="Times New Roman" w:cs="Times New Roman" w:eastAsia="Times New Roman" w:hAnsi="Times New Roman"/>
                <w:sz w:val="11"/>
                <w:szCs w:val="11"/>
                <w:b w:val="1"/>
                <w:bCs w:val="1"/>
                <w:color w:val="auto"/>
              </w:rPr>
              <w:t>Net of</w:t>
            </w:r>
          </w:p>
        </w:tc>
        <w:tc>
          <w:tcPr>
            <w:tcW w:w="200" w:type="dxa"/>
            <w:vAlign w:val="bottom"/>
          </w:tcPr>
          <w:p>
            <w:pPr>
              <w:spacing w:after="0"/>
              <w:rPr>
                <w:sz w:val="8"/>
                <w:szCs w:val="8"/>
                <w:color w:val="auto"/>
              </w:rPr>
            </w:pPr>
          </w:p>
        </w:tc>
        <w:tc>
          <w:tcPr>
            <w:tcW w:w="1140" w:type="dxa"/>
            <w:vAlign w:val="bottom"/>
          </w:tcPr>
          <w:p>
            <w:pPr>
              <w:jc w:val="right"/>
              <w:ind w:right="418"/>
              <w:spacing w:after="0" w:line="100" w:lineRule="exact"/>
              <w:rPr>
                <w:sz w:val="20"/>
                <w:szCs w:val="20"/>
                <w:color w:val="auto"/>
              </w:rPr>
            </w:pPr>
            <w:r>
              <w:rPr>
                <w:rFonts w:ascii="Times New Roman" w:cs="Times New Roman" w:eastAsia="Times New Roman" w:hAnsi="Times New Roman"/>
                <w:sz w:val="11"/>
                <w:szCs w:val="11"/>
                <w:b w:val="1"/>
                <w:bCs w:val="1"/>
                <w:color w:val="auto"/>
              </w:rPr>
              <w:t>Per Share</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restart"/>
          </w:tcPr>
          <w:p>
            <w:pPr>
              <w:jc w:val="right"/>
              <w:ind w:right="567"/>
              <w:spacing w:after="0"/>
              <w:rPr>
                <w:sz w:val="20"/>
                <w:szCs w:val="20"/>
                <w:color w:val="auto"/>
              </w:rPr>
            </w:pPr>
            <w:r>
              <w:rPr>
                <w:rFonts w:ascii="Times New Roman" w:cs="Times New Roman" w:eastAsia="Times New Roman" w:hAnsi="Times New Roman"/>
                <w:sz w:val="13"/>
                <w:szCs w:val="13"/>
                <w:color w:val="auto"/>
              </w:rPr>
              <w:t>Pretax</w:t>
            </w:r>
          </w:p>
        </w:tc>
        <w:tc>
          <w:tcPr>
            <w:tcW w:w="980" w:type="dxa"/>
            <w:vAlign w:val="bottom"/>
          </w:tcPr>
          <w:p>
            <w:pPr>
              <w:jc w:val="right"/>
              <w:ind w:right="438"/>
              <w:spacing w:after="0" w:line="100" w:lineRule="exact"/>
              <w:rPr>
                <w:sz w:val="20"/>
                <w:szCs w:val="20"/>
                <w:color w:val="auto"/>
              </w:rPr>
            </w:pPr>
            <w:r>
              <w:rPr>
                <w:rFonts w:ascii="Times New Roman" w:cs="Times New Roman" w:eastAsia="Times New Roman" w:hAnsi="Times New Roman"/>
                <w:sz w:val="11"/>
                <w:szCs w:val="11"/>
                <w:color w:val="auto"/>
              </w:rPr>
              <w:t>Net of</w:t>
            </w:r>
          </w:p>
        </w:tc>
        <w:tc>
          <w:tcPr>
            <w:tcW w:w="200" w:type="dxa"/>
            <w:vAlign w:val="bottom"/>
          </w:tcPr>
          <w:p>
            <w:pPr>
              <w:spacing w:after="0"/>
              <w:rPr>
                <w:sz w:val="8"/>
                <w:szCs w:val="8"/>
                <w:color w:val="auto"/>
              </w:rPr>
            </w:pPr>
          </w:p>
        </w:tc>
        <w:tc>
          <w:tcPr>
            <w:tcW w:w="1120" w:type="dxa"/>
            <w:vAlign w:val="bottom"/>
          </w:tcPr>
          <w:p>
            <w:pPr>
              <w:jc w:val="right"/>
              <w:ind w:right="418"/>
              <w:spacing w:after="0" w:line="100" w:lineRule="exact"/>
              <w:rPr>
                <w:sz w:val="20"/>
                <w:szCs w:val="20"/>
                <w:color w:val="auto"/>
              </w:rPr>
            </w:pPr>
            <w:r>
              <w:rPr>
                <w:rFonts w:ascii="Times New Roman" w:cs="Times New Roman" w:eastAsia="Times New Roman" w:hAnsi="Times New Roman"/>
                <w:sz w:val="11"/>
                <w:szCs w:val="11"/>
                <w:color w:val="auto"/>
              </w:rPr>
              <w:t>Per Share</w:t>
            </w:r>
          </w:p>
        </w:tc>
        <w:tc>
          <w:tcPr>
            <w:tcW w:w="0" w:type="dxa"/>
            <w:vAlign w:val="bottom"/>
          </w:tcPr>
          <w:p>
            <w:pPr>
              <w:spacing w:after="0"/>
              <w:rPr>
                <w:sz w:val="1"/>
                <w:szCs w:val="1"/>
                <w:color w:val="auto"/>
              </w:rPr>
            </w:pPr>
          </w:p>
        </w:tc>
      </w:tr>
      <w:tr>
        <w:trPr>
          <w:trHeight w:val="152"/>
        </w:trPr>
        <w:tc>
          <w:tcPr>
            <w:tcW w:w="35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jc w:val="right"/>
              <w:ind w:right="518"/>
              <w:spacing w:after="0"/>
              <w:rPr>
                <w:sz w:val="20"/>
                <w:szCs w:val="20"/>
                <w:color w:val="auto"/>
              </w:rPr>
            </w:pPr>
            <w:r>
              <w:rPr>
                <w:rFonts w:ascii="Times New Roman" w:cs="Times New Roman" w:eastAsia="Times New Roman" w:hAnsi="Times New Roman"/>
                <w:sz w:val="13"/>
                <w:szCs w:val="13"/>
                <w:b w:val="1"/>
                <w:bCs w:val="1"/>
                <w:color w:val="auto"/>
              </w:rPr>
              <w:t>Tax</w:t>
            </w:r>
          </w:p>
        </w:tc>
        <w:tc>
          <w:tcPr>
            <w:tcW w:w="200" w:type="dxa"/>
            <w:vAlign w:val="bottom"/>
          </w:tcPr>
          <w:p>
            <w:pPr>
              <w:spacing w:after="0"/>
              <w:rPr>
                <w:sz w:val="13"/>
                <w:szCs w:val="13"/>
                <w:color w:val="auto"/>
              </w:rPr>
            </w:pPr>
          </w:p>
        </w:tc>
        <w:tc>
          <w:tcPr>
            <w:tcW w:w="1140" w:type="dxa"/>
            <w:vAlign w:val="bottom"/>
          </w:tcPr>
          <w:p>
            <w:pPr>
              <w:jc w:val="right"/>
              <w:ind w:right="438"/>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80" w:type="dxa"/>
            <w:vAlign w:val="bottom"/>
          </w:tcPr>
          <w:p>
            <w:pPr>
              <w:jc w:val="right"/>
              <w:ind w:right="498"/>
              <w:spacing w:after="0"/>
              <w:rPr>
                <w:sz w:val="20"/>
                <w:szCs w:val="20"/>
                <w:color w:val="auto"/>
              </w:rPr>
            </w:pPr>
            <w:r>
              <w:rPr>
                <w:rFonts w:ascii="Times New Roman" w:cs="Times New Roman" w:eastAsia="Times New Roman" w:hAnsi="Times New Roman"/>
                <w:sz w:val="13"/>
                <w:szCs w:val="13"/>
                <w:color w:val="auto"/>
              </w:rPr>
              <w:t>Tax</w:t>
            </w:r>
          </w:p>
        </w:tc>
        <w:tc>
          <w:tcPr>
            <w:tcW w:w="200" w:type="dxa"/>
            <w:vAlign w:val="bottom"/>
          </w:tcPr>
          <w:p>
            <w:pPr>
              <w:spacing w:after="0"/>
              <w:rPr>
                <w:sz w:val="13"/>
                <w:szCs w:val="13"/>
                <w:color w:val="auto"/>
              </w:rPr>
            </w:pPr>
          </w:p>
        </w:tc>
        <w:tc>
          <w:tcPr>
            <w:tcW w:w="1120" w:type="dxa"/>
            <w:vAlign w:val="bottom"/>
          </w:tcPr>
          <w:p>
            <w:pPr>
              <w:jc w:val="right"/>
              <w:ind w:right="438"/>
              <w:spacing w:after="0"/>
              <w:rPr>
                <w:sz w:val="20"/>
                <w:szCs w:val="20"/>
                <w:color w:val="auto"/>
              </w:rPr>
            </w:pPr>
            <w:r>
              <w:rPr>
                <w:rFonts w:ascii="Times New Roman" w:cs="Times New Roman" w:eastAsia="Times New Roman" w:hAnsi="Times New Roman"/>
                <w:sz w:val="13"/>
                <w:szCs w:val="13"/>
                <w:color w:val="auto"/>
              </w:rPr>
              <w:t>Amounts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Borders>
              <w:top w:val="single" w:sz="8" w:color="auto"/>
            </w:tcBorders>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Loss from continuing operations, as reported</w:t>
            </w: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right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jc w:val="right"/>
              <w:ind w:right="8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b w:val="1"/>
                <w:bCs w:val="1"/>
                <w:color w:val="auto"/>
              </w:rPr>
              <w:t>(14,806)</w:t>
            </w:r>
          </w:p>
        </w:tc>
        <w:tc>
          <w:tcPr>
            <w:tcW w:w="200" w:type="dxa"/>
            <w:vAlign w:val="bottom"/>
            <w:tcBorders>
              <w:top w:val="single" w:sz="8" w:color="auto"/>
            </w:tcBorders>
            <w:shd w:val="clear" w:color="auto" w:fill="CFF0FC"/>
          </w:tcPr>
          <w:p>
            <w:pPr>
              <w:jc w:val="right"/>
              <w:ind w:right="8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b w:val="1"/>
                <w:bCs w:val="1"/>
                <w:color w:val="auto"/>
              </w:rPr>
              <w:t>(1.42)</w:t>
            </w:r>
          </w:p>
        </w:tc>
        <w:tc>
          <w:tcPr>
            <w:tcW w:w="12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right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jc w:val="right"/>
              <w:ind w:right="107"/>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right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(21,212)</w:t>
            </w:r>
          </w:p>
        </w:tc>
        <w:tc>
          <w:tcPr>
            <w:tcW w:w="200" w:type="dxa"/>
            <w:vAlign w:val="bottom"/>
            <w:tcBorders>
              <w:top w:val="single" w:sz="8" w:color="auto"/>
            </w:tcBorders>
            <w:shd w:val="clear" w:color="auto" w:fill="CFF0FC"/>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260"/>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margin adjustment:</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Borders>
              <w:top w:val="single" w:sz="8" w:color="auto"/>
              <w:bottom w:val="single" w:sz="8" w:color="auto"/>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Reversal of inventory write-down related to exit of licenses</w:t>
            </w:r>
          </w:p>
        </w:tc>
        <w:tc>
          <w:tcPr>
            <w:tcW w:w="600" w:type="dxa"/>
            <w:vAlign w:val="bottom"/>
            <w:tcBorders>
              <w:top w:val="single" w:sz="8" w:color="auto"/>
              <w:bottom w:val="single" w:sz="8" w:color="auto"/>
            </w:tcBorders>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bottom w:val="single" w:sz="8" w:color="auto"/>
              <w:right w:val="single" w:sz="8" w:color="auto"/>
            </w:tcBorders>
            <w:shd w:val="clear" w:color="auto" w:fill="CFF0FC"/>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(84)</w:t>
            </w: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b w:val="1"/>
                <w:bCs w:val="1"/>
                <w:color w:val="auto"/>
              </w:rPr>
              <w:t>(78)</w:t>
            </w: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140" w:type="dxa"/>
            <w:vAlign w:val="bottom"/>
            <w:tcBorders>
              <w:top w:val="single" w:sz="8" w:color="auto"/>
              <w:bottom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b w:val="1"/>
                <w:bCs w:val="1"/>
                <w:color w:val="auto"/>
              </w:rPr>
              <w:t>(0.01)</w:t>
            </w:r>
          </w:p>
        </w:tc>
        <w:tc>
          <w:tcPr>
            <w:tcW w:w="300" w:type="dxa"/>
            <w:vAlign w:val="bottom"/>
            <w:tcBorders>
              <w:top w:val="single" w:sz="8" w:color="auto"/>
              <w:bottom w:val="single" w:sz="8" w:color="auto"/>
            </w:tcBorders>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right w:val="single" w:sz="8" w:color="auto"/>
            </w:tcBorders>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980" w:type="dxa"/>
            <w:vAlign w:val="bottom"/>
            <w:tcBorders>
              <w:top w:val="single" w:sz="8" w:color="auto"/>
              <w:bottom w:val="single" w:sz="8" w:color="auto"/>
              <w:right w:val="single" w:sz="8" w:color="auto"/>
            </w:tcBorders>
            <w:shd w:val="clear" w:color="auto" w:fill="CFF0FC"/>
          </w:tcPr>
          <w:p>
            <w:pPr>
              <w:jc w:val="right"/>
              <w:ind w:right="58"/>
              <w:spacing w:after="0" w:line="12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120" w:type="dxa"/>
            <w:vAlign w:val="bottom"/>
            <w:tcBorders>
              <w:top w:val="single" w:sz="8" w:color="auto"/>
              <w:bottom w:val="single" w:sz="8" w:color="auto"/>
              <w:right w:val="single" w:sz="8" w:color="auto"/>
            </w:tcBorders>
            <w:shd w:val="clear" w:color="auto" w:fill="CFF0FC"/>
          </w:tcPr>
          <w:p>
            <w:pPr>
              <w:jc w:val="right"/>
              <w:ind w:right="58"/>
              <w:spacing w:after="0" w:line="122"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Selling and administrative expense adjustment:</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Borders>
              <w:top w:val="single" w:sz="8" w:color="auto"/>
              <w:bottom w:val="single" w:sz="8" w:color="auto"/>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Costs associated with information technology transformation</w:t>
            </w:r>
          </w:p>
        </w:tc>
        <w:tc>
          <w:tcPr>
            <w:tcW w:w="600" w:type="dxa"/>
            <w:vAlign w:val="bottom"/>
            <w:tcBorders>
              <w:top w:val="single" w:sz="8" w:color="auto"/>
              <w:bottom w:val="single" w:sz="8" w:color="auto"/>
            </w:tcBorders>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bottom w:val="single" w:sz="8" w:color="auto"/>
              <w:right w:val="single" w:sz="8" w:color="auto"/>
            </w:tcBorders>
            <w:shd w:val="clear" w:color="auto" w:fill="CFF0FC"/>
          </w:tcPr>
          <w:p>
            <w:pPr>
              <w:jc w:val="right"/>
              <w:ind w:right="77"/>
              <w:spacing w:after="0" w:line="122" w:lineRule="exact"/>
              <w:rPr>
                <w:sz w:val="20"/>
                <w:szCs w:val="20"/>
                <w:color w:val="auto"/>
              </w:rPr>
            </w:pPr>
            <w:r>
              <w:rPr>
                <w:rFonts w:ascii="Times New Roman" w:cs="Times New Roman" w:eastAsia="Times New Roman" w:hAnsi="Times New Roman"/>
                <w:sz w:val="13"/>
                <w:szCs w:val="13"/>
                <w:b w:val="1"/>
                <w:bCs w:val="1"/>
                <w:color w:val="auto"/>
              </w:rPr>
              <w:t>1,698</w:t>
            </w: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right w:val="single" w:sz="8" w:color="auto"/>
            </w:tcBorders>
            <w:shd w:val="clear" w:color="auto" w:fill="CFF0FC"/>
          </w:tcPr>
          <w:p>
            <w:pPr>
              <w:jc w:val="right"/>
              <w:ind w:right="78"/>
              <w:spacing w:after="0" w:line="122" w:lineRule="exact"/>
              <w:rPr>
                <w:sz w:val="20"/>
                <w:szCs w:val="20"/>
                <w:color w:val="auto"/>
              </w:rPr>
            </w:pPr>
            <w:r>
              <w:rPr>
                <w:rFonts w:ascii="Times New Roman" w:cs="Times New Roman" w:eastAsia="Times New Roman" w:hAnsi="Times New Roman"/>
                <w:sz w:val="13"/>
                <w:szCs w:val="13"/>
                <w:b w:val="1"/>
                <w:bCs w:val="1"/>
                <w:color w:val="auto"/>
              </w:rPr>
              <w:t>1,578</w:t>
            </w: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140" w:type="dxa"/>
            <w:vAlign w:val="bottom"/>
            <w:tcBorders>
              <w:top w:val="single" w:sz="8" w:color="auto"/>
              <w:bottom w:val="single" w:sz="8" w:color="auto"/>
              <w:right w:val="single" w:sz="8" w:color="auto"/>
            </w:tcBorders>
            <w:shd w:val="clear" w:color="auto" w:fill="CFF0FC"/>
          </w:tcPr>
          <w:p>
            <w:pPr>
              <w:jc w:val="right"/>
              <w:ind w:right="78"/>
              <w:spacing w:after="0" w:line="122" w:lineRule="exact"/>
              <w:rPr>
                <w:sz w:val="20"/>
                <w:szCs w:val="20"/>
                <w:color w:val="auto"/>
              </w:rPr>
            </w:pPr>
            <w:r>
              <w:rPr>
                <w:rFonts w:ascii="Times New Roman" w:cs="Times New Roman" w:eastAsia="Times New Roman" w:hAnsi="Times New Roman"/>
                <w:sz w:val="13"/>
                <w:szCs w:val="13"/>
                <w:b w:val="1"/>
                <w:bCs w:val="1"/>
                <w:color w:val="auto"/>
              </w:rPr>
              <w:t>0.15</w:t>
            </w:r>
          </w:p>
        </w:tc>
        <w:tc>
          <w:tcPr>
            <w:tcW w:w="300" w:type="dxa"/>
            <w:vAlign w:val="bottom"/>
            <w:tcBorders>
              <w:top w:val="single" w:sz="8" w:color="auto"/>
              <w:bottom w:val="single" w:sz="8" w:color="auto"/>
            </w:tcBorders>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right w:val="single" w:sz="8" w:color="auto"/>
            </w:tcBorders>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shd w:val="clear" w:color="auto" w:fill="CFF0FC"/>
          </w:tcPr>
          <w:p>
            <w:pPr>
              <w:spacing w:after="0"/>
              <w:rPr>
                <w:sz w:val="10"/>
                <w:szCs w:val="10"/>
                <w:color w:val="auto"/>
              </w:rPr>
            </w:pPr>
          </w:p>
        </w:tc>
        <w:tc>
          <w:tcPr>
            <w:tcW w:w="980" w:type="dxa"/>
            <w:vAlign w:val="bottom"/>
            <w:tcBorders>
              <w:top w:val="single" w:sz="8" w:color="auto"/>
              <w:bottom w:val="single" w:sz="8" w:color="auto"/>
              <w:right w:val="single" w:sz="8" w:color="auto"/>
            </w:tcBorders>
            <w:shd w:val="clear" w:color="auto" w:fill="CFF0FC"/>
          </w:tcPr>
          <w:p>
            <w:pPr>
              <w:jc w:val="right"/>
              <w:ind w:right="58"/>
              <w:spacing w:after="0" w:line="12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FF0FC"/>
          </w:tcPr>
          <w:p>
            <w:pPr>
              <w:spacing w:after="0"/>
              <w:rPr>
                <w:sz w:val="10"/>
                <w:szCs w:val="10"/>
                <w:color w:val="auto"/>
              </w:rPr>
            </w:pPr>
          </w:p>
        </w:tc>
        <w:tc>
          <w:tcPr>
            <w:tcW w:w="1120" w:type="dxa"/>
            <w:vAlign w:val="bottom"/>
            <w:tcBorders>
              <w:top w:val="single" w:sz="8" w:color="auto"/>
              <w:bottom w:val="single" w:sz="8" w:color="auto"/>
              <w:right w:val="single" w:sz="8" w:color="auto"/>
            </w:tcBorders>
            <w:shd w:val="clear" w:color="auto" w:fill="CFF0FC"/>
          </w:tcPr>
          <w:p>
            <w:pPr>
              <w:jc w:val="right"/>
              <w:ind w:right="58"/>
              <w:spacing w:after="0" w:line="122"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Asset impairments and other adjustments: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Asset impairment charges</w:t>
            </w:r>
          </w:p>
        </w:tc>
        <w:tc>
          <w:tcPr>
            <w:tcW w:w="60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right w:val="single" w:sz="8" w:color="auto"/>
            </w:tcBorders>
            <w:shd w:val="clear" w:color="auto" w:fill="CFF0FC"/>
          </w:tcPr>
          <w:p>
            <w:pPr>
              <w:jc w:val="right"/>
              <w:ind w:right="77"/>
              <w:spacing w:after="0" w:line="130"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1"/>
                <w:szCs w:val="11"/>
                <w:color w:val="auto"/>
              </w:rPr>
            </w:pPr>
          </w:p>
        </w:tc>
        <w:tc>
          <w:tcPr>
            <w:tcW w:w="11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0.00</w:t>
            </w:r>
          </w:p>
        </w:tc>
        <w:tc>
          <w:tcPr>
            <w:tcW w:w="30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shd w:val="clear" w:color="auto" w:fill="CFF0FC"/>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FF0FC"/>
          </w:tcPr>
          <w:p>
            <w:pPr>
              <w:spacing w:after="0"/>
              <w:rPr>
                <w:sz w:val="11"/>
                <w:szCs w:val="11"/>
                <w:color w:val="auto"/>
              </w:rPr>
            </w:pPr>
          </w:p>
        </w:tc>
        <w:tc>
          <w:tcPr>
            <w:tcW w:w="98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24</w:t>
            </w:r>
          </w:p>
        </w:tc>
        <w:tc>
          <w:tcPr>
            <w:tcW w:w="200" w:type="dxa"/>
            <w:vAlign w:val="bottom"/>
            <w:shd w:val="clear" w:color="auto" w:fill="CFF0FC"/>
          </w:tcPr>
          <w:p>
            <w:pPr>
              <w:spacing w:after="0"/>
              <w:rPr>
                <w:sz w:val="11"/>
                <w:szCs w:val="11"/>
                <w:color w:val="auto"/>
              </w:rPr>
            </w:pPr>
          </w:p>
        </w:tc>
        <w:tc>
          <w:tcPr>
            <w:tcW w:w="112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Severance</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tcPr>
          <w:p>
            <w:pPr>
              <w:jc w:val="right"/>
              <w:ind w:right="77"/>
              <w:spacing w:after="0" w:line="130" w:lineRule="exact"/>
              <w:rPr>
                <w:sz w:val="20"/>
                <w:szCs w:val="20"/>
                <w:color w:val="auto"/>
              </w:rPr>
            </w:pPr>
            <w:r>
              <w:rPr>
                <w:rFonts w:ascii="Times New Roman" w:cs="Times New Roman" w:eastAsia="Times New Roman" w:hAnsi="Times New Roman"/>
                <w:sz w:val="13"/>
                <w:szCs w:val="13"/>
                <w:b w:val="1"/>
                <w:bCs w:val="1"/>
                <w:color w:val="auto"/>
              </w:rPr>
              <w:t>90</w:t>
            </w:r>
          </w:p>
        </w:tc>
        <w:tc>
          <w:tcPr>
            <w:tcW w:w="200" w:type="dxa"/>
            <w:vAlign w:val="bottom"/>
          </w:tcPr>
          <w:p>
            <w:pPr>
              <w:spacing w:after="0"/>
              <w:rPr>
                <w:sz w:val="11"/>
                <w:szCs w:val="11"/>
                <w:color w:val="auto"/>
              </w:rPr>
            </w:pPr>
          </w:p>
        </w:tc>
        <w:tc>
          <w:tcPr>
            <w:tcW w:w="1040" w:type="dxa"/>
            <w:vAlign w:val="bottom"/>
            <w:tcBorders>
              <w:right w:val="single" w:sz="8" w:color="auto"/>
            </w:tcBorders>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84</w:t>
            </w:r>
          </w:p>
        </w:tc>
        <w:tc>
          <w:tcPr>
            <w:tcW w:w="200" w:type="dxa"/>
            <w:vAlign w:val="bottom"/>
          </w:tcPr>
          <w:p>
            <w:pPr>
              <w:spacing w:after="0"/>
              <w:rPr>
                <w:sz w:val="11"/>
                <w:szCs w:val="11"/>
                <w:color w:val="auto"/>
              </w:rPr>
            </w:pPr>
          </w:p>
        </w:tc>
        <w:tc>
          <w:tcPr>
            <w:tcW w:w="1140" w:type="dxa"/>
            <w:vAlign w:val="bottom"/>
            <w:tcBorders>
              <w:right w:val="single" w:sz="8" w:color="auto"/>
            </w:tcBorders>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257</w:t>
            </w:r>
          </w:p>
        </w:tc>
        <w:tc>
          <w:tcPr>
            <w:tcW w:w="220" w:type="dxa"/>
            <w:vAlign w:val="bottom"/>
          </w:tcPr>
          <w:p>
            <w:pPr>
              <w:spacing w:after="0"/>
              <w:rPr>
                <w:sz w:val="11"/>
                <w:szCs w:val="11"/>
                <w:color w:val="auto"/>
              </w:rPr>
            </w:pPr>
          </w:p>
        </w:tc>
        <w:tc>
          <w:tcPr>
            <w:tcW w:w="980" w:type="dxa"/>
            <w:vAlign w:val="bottom"/>
            <w:tcBorders>
              <w:right w:val="single" w:sz="8" w:color="auto"/>
            </w:tcBorders>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185</w:t>
            </w:r>
          </w:p>
        </w:tc>
        <w:tc>
          <w:tcPr>
            <w:tcW w:w="200" w:type="dxa"/>
            <w:vAlign w:val="bottom"/>
          </w:tcPr>
          <w:p>
            <w:pPr>
              <w:spacing w:after="0"/>
              <w:rPr>
                <w:sz w:val="11"/>
                <w:szCs w:val="11"/>
                <w:color w:val="auto"/>
              </w:rPr>
            </w:pPr>
          </w:p>
        </w:tc>
        <w:tc>
          <w:tcPr>
            <w:tcW w:w="1120" w:type="dxa"/>
            <w:vAlign w:val="bottom"/>
            <w:tcBorders>
              <w:right w:val="single" w:sz="8" w:color="auto"/>
            </w:tcBorders>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Costs associated with information technology transformation</w:t>
            </w: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jc w:val="right"/>
              <w:ind w:right="77"/>
              <w:spacing w:after="0" w:line="130" w:lineRule="exact"/>
              <w:rPr>
                <w:sz w:val="20"/>
                <w:szCs w:val="20"/>
                <w:color w:val="auto"/>
              </w:rPr>
            </w:pPr>
            <w:r>
              <w:rPr>
                <w:rFonts w:ascii="Times New Roman" w:cs="Times New Roman" w:eastAsia="Times New Roman" w:hAnsi="Times New Roman"/>
                <w:sz w:val="13"/>
                <w:szCs w:val="13"/>
                <w:b w:val="1"/>
                <w:bCs w:val="1"/>
                <w:color w:val="auto"/>
              </w:rPr>
              <w:t>198</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184</w:t>
            </w:r>
          </w:p>
        </w:tc>
        <w:tc>
          <w:tcPr>
            <w:tcW w:w="200" w:type="dxa"/>
            <w:vAlign w:val="bottom"/>
            <w:shd w:val="clear" w:color="auto" w:fill="CFF0FC"/>
          </w:tcPr>
          <w:p>
            <w:pPr>
              <w:spacing w:after="0"/>
              <w:rPr>
                <w:sz w:val="11"/>
                <w:szCs w:val="11"/>
                <w:color w:val="auto"/>
              </w:rPr>
            </w:pPr>
          </w:p>
        </w:tc>
        <w:tc>
          <w:tcPr>
            <w:tcW w:w="11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0.02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8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12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Gain related to payment card interchange fee litigation</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right w:val="single" w:sz="8" w:color="auto"/>
            </w:tcBorders>
          </w:tcPr>
          <w:p>
            <w:pPr>
              <w:jc w:val="right"/>
              <w:ind w:right="17"/>
              <w:spacing w:after="0" w:line="130" w:lineRule="exact"/>
              <w:rPr>
                <w:sz w:val="20"/>
                <w:szCs w:val="20"/>
                <w:color w:val="auto"/>
              </w:rPr>
            </w:pPr>
            <w:r>
              <w:rPr>
                <w:rFonts w:ascii="Times New Roman" w:cs="Times New Roman" w:eastAsia="Times New Roman" w:hAnsi="Times New Roman"/>
                <w:sz w:val="13"/>
                <w:szCs w:val="13"/>
                <w:b w:val="1"/>
                <w:bCs w:val="1"/>
                <w:color w:val="auto"/>
              </w:rPr>
              <w:t>(13,425)</w:t>
            </w:r>
          </w:p>
        </w:tc>
        <w:tc>
          <w:tcPr>
            <w:tcW w:w="200" w:type="dxa"/>
            <w:vAlign w:val="bottom"/>
          </w:tcPr>
          <w:p>
            <w:pPr>
              <w:spacing w:after="0"/>
              <w:rPr>
                <w:sz w:val="11"/>
                <w:szCs w:val="11"/>
                <w:color w:val="auto"/>
              </w:rPr>
            </w:pPr>
          </w:p>
        </w:tc>
        <w:tc>
          <w:tcPr>
            <w:tcW w:w="1040" w:type="dxa"/>
            <w:vAlign w:val="bottom"/>
            <w:tcBorders>
              <w:right w:val="single" w:sz="8" w:color="auto"/>
            </w:tcBorders>
          </w:tcPr>
          <w:p>
            <w:pPr>
              <w:jc w:val="right"/>
              <w:ind w:right="18"/>
              <w:spacing w:after="0" w:line="130" w:lineRule="exact"/>
              <w:rPr>
                <w:sz w:val="20"/>
                <w:szCs w:val="20"/>
                <w:color w:val="auto"/>
              </w:rPr>
            </w:pPr>
            <w:r>
              <w:rPr>
                <w:rFonts w:ascii="Times New Roman" w:cs="Times New Roman" w:eastAsia="Times New Roman" w:hAnsi="Times New Roman"/>
                <w:sz w:val="13"/>
                <w:szCs w:val="13"/>
                <w:b w:val="1"/>
                <w:bCs w:val="1"/>
                <w:color w:val="auto"/>
              </w:rPr>
              <w:t>(12,474)</w:t>
            </w:r>
          </w:p>
        </w:tc>
        <w:tc>
          <w:tcPr>
            <w:tcW w:w="200" w:type="dxa"/>
            <w:vAlign w:val="bottom"/>
          </w:tcPr>
          <w:p>
            <w:pPr>
              <w:spacing w:after="0"/>
              <w:rPr>
                <w:sz w:val="11"/>
                <w:szCs w:val="11"/>
                <w:color w:val="auto"/>
              </w:rPr>
            </w:pPr>
          </w:p>
        </w:tc>
        <w:tc>
          <w:tcPr>
            <w:tcW w:w="1140" w:type="dxa"/>
            <w:vAlign w:val="bottom"/>
            <w:tcBorders>
              <w:right w:val="single" w:sz="8" w:color="auto"/>
            </w:tcBorders>
          </w:tcPr>
          <w:p>
            <w:pPr>
              <w:jc w:val="right"/>
              <w:ind w:right="18"/>
              <w:spacing w:after="0" w:line="130" w:lineRule="exact"/>
              <w:rPr>
                <w:sz w:val="20"/>
                <w:szCs w:val="20"/>
                <w:color w:val="auto"/>
              </w:rPr>
            </w:pPr>
            <w:r>
              <w:rPr>
                <w:rFonts w:ascii="Times New Roman" w:cs="Times New Roman" w:eastAsia="Times New Roman" w:hAnsi="Times New Roman"/>
                <w:sz w:val="13"/>
                <w:szCs w:val="13"/>
                <w:b w:val="1"/>
                <w:bCs w:val="1"/>
                <w:color w:val="auto"/>
              </w:rPr>
              <w:t>(1.20)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right w:val="single" w:sz="8" w:color="auto"/>
            </w:tcBorders>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980" w:type="dxa"/>
            <w:vAlign w:val="bottom"/>
            <w:tcBorders>
              <w:right w:val="single" w:sz="8" w:color="auto"/>
            </w:tcBorders>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120" w:type="dxa"/>
            <w:vAlign w:val="bottom"/>
            <w:tcBorders>
              <w:right w:val="single" w:sz="8" w:color="auto"/>
            </w:tcBorders>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Store restructuring charges</w:t>
            </w: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jc w:val="right"/>
              <w:ind w:right="77"/>
              <w:spacing w:after="0" w:line="130" w:lineRule="exact"/>
              <w:rPr>
                <w:sz w:val="20"/>
                <w:szCs w:val="20"/>
                <w:color w:val="auto"/>
              </w:rPr>
            </w:pPr>
            <w:r>
              <w:rPr>
                <w:rFonts w:ascii="Times New Roman" w:cs="Times New Roman" w:eastAsia="Times New Roman" w:hAnsi="Times New Roman"/>
                <w:sz w:val="13"/>
                <w:szCs w:val="13"/>
                <w:b w:val="1"/>
                <w:bCs w:val="1"/>
                <w:color w:val="auto"/>
              </w:rPr>
              <w:t>2,970</w:t>
            </w: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2,768</w:t>
            </w:r>
          </w:p>
        </w:tc>
        <w:tc>
          <w:tcPr>
            <w:tcW w:w="200" w:type="dxa"/>
            <w:vAlign w:val="bottom"/>
            <w:shd w:val="clear" w:color="auto" w:fill="CFF0FC"/>
          </w:tcPr>
          <w:p>
            <w:pPr>
              <w:spacing w:after="0"/>
              <w:rPr>
                <w:sz w:val="11"/>
                <w:szCs w:val="11"/>
                <w:color w:val="auto"/>
              </w:rPr>
            </w:pPr>
          </w:p>
        </w:tc>
        <w:tc>
          <w:tcPr>
            <w:tcW w:w="11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0.27</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98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12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Borders>
              <w:bottom w:val="single" w:sz="8" w:color="auto"/>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Professional fees related to shareholder activities</w:t>
            </w: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jc w:val="right"/>
              <w:ind w:right="77"/>
              <w:spacing w:after="0" w:line="130" w:lineRule="exact"/>
              <w:rPr>
                <w:sz w:val="20"/>
                <w:szCs w:val="20"/>
                <w:color w:val="auto"/>
              </w:rPr>
            </w:pPr>
            <w:r>
              <w:rPr>
                <w:rFonts w:ascii="Times New Roman" w:cs="Times New Roman" w:eastAsia="Times New Roman" w:hAnsi="Times New Roman"/>
                <w:sz w:val="13"/>
                <w:szCs w:val="13"/>
                <w:b w:val="1"/>
                <w:bCs w:val="1"/>
                <w:color w:val="auto"/>
              </w:rPr>
              <w:t>60</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56</w:t>
            </w: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0.00</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jc w:val="right"/>
              <w:ind w:right="57"/>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tcBorders>
              <w:bottom w:val="single" w:sz="8" w:color="auto"/>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Total asset impairments and other adjustments</w:t>
            </w:r>
          </w:p>
        </w:tc>
        <w:tc>
          <w:tcPr>
            <w:tcW w:w="600" w:type="dxa"/>
            <w:vAlign w:val="bottom"/>
            <w:tcBorders>
              <w:bottom w:val="single" w:sz="8" w:color="auto"/>
            </w:tcBorders>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right w:val="single" w:sz="8" w:color="auto"/>
            </w:tcBorders>
            <w:shd w:val="clear" w:color="auto" w:fill="CFF0FC"/>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(10,107)</w:t>
            </w:r>
          </w:p>
        </w:tc>
        <w:tc>
          <w:tcPr>
            <w:tcW w:w="200" w:type="dxa"/>
            <w:vAlign w:val="bottom"/>
            <w:tcBorders>
              <w:bottom w:val="single" w:sz="8" w:color="auto"/>
            </w:tcBorders>
            <w:shd w:val="clear" w:color="auto" w:fill="CFF0FC"/>
          </w:tcPr>
          <w:p>
            <w:pPr>
              <w:spacing w:after="0"/>
              <w:rPr>
                <w:sz w:val="10"/>
                <w:szCs w:val="10"/>
                <w:color w:val="auto"/>
              </w:rPr>
            </w:pPr>
          </w:p>
        </w:tc>
        <w:tc>
          <w:tcPr>
            <w:tcW w:w="1040" w:type="dxa"/>
            <w:vAlign w:val="bottom"/>
            <w:tcBorders>
              <w:bottom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b w:val="1"/>
                <w:bCs w:val="1"/>
                <w:color w:val="auto"/>
              </w:rPr>
              <w:t>(9,382)</w:t>
            </w:r>
          </w:p>
        </w:tc>
        <w:tc>
          <w:tcPr>
            <w:tcW w:w="20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right w:val="single" w:sz="8" w:color="auto"/>
            </w:tcBorders>
            <w:shd w:val="clear" w:color="auto" w:fill="CFF0FC"/>
          </w:tcPr>
          <w:p>
            <w:pPr>
              <w:jc w:val="right"/>
              <w:ind w:right="18"/>
              <w:spacing w:after="0" w:line="122" w:lineRule="exact"/>
              <w:rPr>
                <w:sz w:val="20"/>
                <w:szCs w:val="20"/>
                <w:color w:val="auto"/>
              </w:rPr>
            </w:pPr>
            <w:r>
              <w:rPr>
                <w:rFonts w:ascii="Times New Roman" w:cs="Times New Roman" w:eastAsia="Times New Roman" w:hAnsi="Times New Roman"/>
                <w:sz w:val="13"/>
                <w:szCs w:val="13"/>
                <w:b w:val="1"/>
                <w:bCs w:val="1"/>
                <w:color w:val="auto"/>
              </w:rPr>
              <w:t>(0.90)</w:t>
            </w:r>
          </w:p>
        </w:tc>
        <w:tc>
          <w:tcPr>
            <w:tcW w:w="300" w:type="dxa"/>
            <w:vAlign w:val="bottom"/>
            <w:tcBorders>
              <w:bottom w:val="single" w:sz="8" w:color="auto"/>
            </w:tcBorders>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right w:val="single" w:sz="8" w:color="auto"/>
            </w:tcBorders>
            <w:shd w:val="clear" w:color="auto" w:fill="CFF0FC"/>
          </w:tcPr>
          <w:p>
            <w:pPr>
              <w:jc w:val="right"/>
              <w:ind w:right="57"/>
              <w:spacing w:after="0" w:line="122" w:lineRule="exact"/>
              <w:rPr>
                <w:sz w:val="20"/>
                <w:szCs w:val="20"/>
                <w:color w:val="auto"/>
              </w:rPr>
            </w:pPr>
            <w:r>
              <w:rPr>
                <w:rFonts w:ascii="Times New Roman" w:cs="Times New Roman" w:eastAsia="Times New Roman" w:hAnsi="Times New Roman"/>
                <w:sz w:val="13"/>
                <w:szCs w:val="13"/>
                <w:color w:val="auto"/>
              </w:rPr>
              <w:t>291</w:t>
            </w:r>
          </w:p>
        </w:tc>
        <w:tc>
          <w:tcPr>
            <w:tcW w:w="22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right w:val="single" w:sz="8" w:color="auto"/>
            </w:tcBorders>
            <w:shd w:val="clear" w:color="auto" w:fill="CFF0FC"/>
          </w:tcPr>
          <w:p>
            <w:pPr>
              <w:jc w:val="right"/>
              <w:ind w:right="58"/>
              <w:spacing w:after="0" w:line="122" w:lineRule="exact"/>
              <w:rPr>
                <w:sz w:val="20"/>
                <w:szCs w:val="20"/>
                <w:color w:val="auto"/>
              </w:rPr>
            </w:pPr>
            <w:r>
              <w:rPr>
                <w:rFonts w:ascii="Times New Roman" w:cs="Times New Roman" w:eastAsia="Times New Roman" w:hAnsi="Times New Roman"/>
                <w:sz w:val="13"/>
                <w:szCs w:val="13"/>
                <w:color w:val="auto"/>
              </w:rPr>
              <w:t>209</w:t>
            </w:r>
          </w:p>
        </w:tc>
        <w:tc>
          <w:tcPr>
            <w:tcW w:w="20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right w:val="single" w:sz="8" w:color="auto"/>
            </w:tcBorders>
            <w:shd w:val="clear" w:color="auto" w:fill="CFF0FC"/>
          </w:tcPr>
          <w:p>
            <w:pPr>
              <w:jc w:val="right"/>
              <w:ind w:right="58"/>
              <w:spacing w:after="0" w:line="122" w:lineRule="exact"/>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252"/>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 adjustments: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Tax impact share based awards</w:t>
            </w: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FF0FC"/>
          </w:tcPr>
          <w:p>
            <w:pPr>
              <w:spacing w:after="0"/>
              <w:rPr>
                <w:sz w:val="11"/>
                <w:szCs w:val="11"/>
                <w:color w:val="auto"/>
              </w:rPr>
            </w:pPr>
          </w:p>
        </w:tc>
        <w:tc>
          <w:tcPr>
            <w:tcW w:w="1140" w:type="dxa"/>
            <w:vAlign w:val="bottom"/>
            <w:tcBorders>
              <w:right w:val="single" w:sz="8" w:color="auto"/>
            </w:tcBorders>
            <w:shd w:val="clear" w:color="auto" w:fill="CFF0FC"/>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0.00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tcBorders>
              <w:right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8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139</w:t>
            </w:r>
          </w:p>
        </w:tc>
        <w:tc>
          <w:tcPr>
            <w:tcW w:w="200" w:type="dxa"/>
            <w:vAlign w:val="bottom"/>
            <w:shd w:val="clear" w:color="auto" w:fill="CFF0FC"/>
          </w:tcPr>
          <w:p>
            <w:pPr>
              <w:spacing w:after="0"/>
              <w:rPr>
                <w:sz w:val="11"/>
                <w:szCs w:val="11"/>
                <w:color w:val="auto"/>
              </w:rPr>
            </w:pPr>
          </w:p>
        </w:tc>
        <w:tc>
          <w:tcPr>
            <w:tcW w:w="1120" w:type="dxa"/>
            <w:vAlign w:val="bottom"/>
            <w:tcBorders>
              <w:right w:val="single" w:sz="8" w:color="auto"/>
            </w:tcBorders>
            <w:shd w:val="clear" w:color="auto" w:fill="CFF0FC"/>
          </w:tcPr>
          <w:p>
            <w:pPr>
              <w:jc w:val="right"/>
              <w:ind w:right="58"/>
              <w:spacing w:after="0" w:line="130" w:lineRule="exact"/>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Borders>
              <w:bottom w:val="single" w:sz="8" w:color="auto"/>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Other tax items</w:t>
            </w: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jc w:val="right"/>
              <w:ind w:right="18"/>
              <w:spacing w:after="0" w:line="130" w:lineRule="exact"/>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78"/>
              <w:spacing w:after="0" w:line="130" w:lineRule="exact"/>
              <w:rPr>
                <w:sz w:val="20"/>
                <w:szCs w:val="20"/>
                <w:color w:val="auto"/>
              </w:rPr>
            </w:pPr>
            <w:r>
              <w:rPr>
                <w:rFonts w:ascii="Times New Roman" w:cs="Times New Roman" w:eastAsia="Times New Roman" w:hAnsi="Times New Roman"/>
                <w:sz w:val="13"/>
                <w:szCs w:val="13"/>
                <w:b w:val="1"/>
                <w:bCs w:val="1"/>
                <w:color w:val="auto"/>
              </w:rPr>
              <w:t>0.00</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(666)</w:t>
            </w: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18"/>
              <w:spacing w:after="0" w:line="130" w:lineRule="exact"/>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520" w:type="dxa"/>
            <w:vAlign w:val="bottom"/>
          </w:tcPr>
          <w:p>
            <w:pPr>
              <w:ind w:left="20"/>
              <w:spacing w:after="0" w:line="99" w:lineRule="exact"/>
              <w:rPr>
                <w:sz w:val="20"/>
                <w:szCs w:val="20"/>
                <w:color w:val="auto"/>
              </w:rPr>
            </w:pPr>
            <w:r>
              <w:rPr>
                <w:rFonts w:ascii="Times New Roman" w:cs="Times New Roman" w:eastAsia="Times New Roman" w:hAnsi="Times New Roman"/>
                <w:sz w:val="11"/>
                <w:szCs w:val="11"/>
                <w:color w:val="auto"/>
              </w:rPr>
              <w:t>Total income tax expense adjustments</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right w:val="single" w:sz="8" w:color="auto"/>
            </w:tcBorders>
          </w:tcPr>
          <w:p>
            <w:pPr>
              <w:jc w:val="right"/>
              <w:ind w:right="18"/>
              <w:spacing w:after="0" w:line="99" w:lineRule="exact"/>
              <w:rPr>
                <w:sz w:val="20"/>
                <w:szCs w:val="20"/>
                <w:color w:val="auto"/>
              </w:rPr>
            </w:pPr>
            <w:r>
              <w:rPr>
                <w:rFonts w:ascii="Times New Roman" w:cs="Times New Roman" w:eastAsia="Times New Roman" w:hAnsi="Times New Roman"/>
                <w:sz w:val="11"/>
                <w:szCs w:val="11"/>
                <w:b w:val="1"/>
                <w:bCs w:val="1"/>
                <w:color w:val="auto"/>
              </w:rPr>
              <w:t>(7)</w:t>
            </w:r>
          </w:p>
        </w:tc>
        <w:tc>
          <w:tcPr>
            <w:tcW w:w="200" w:type="dxa"/>
            <w:vAlign w:val="bottom"/>
          </w:tcPr>
          <w:p>
            <w:pPr>
              <w:spacing w:after="0"/>
              <w:rPr>
                <w:sz w:val="8"/>
                <w:szCs w:val="8"/>
                <w:color w:val="auto"/>
              </w:rPr>
            </w:pPr>
          </w:p>
        </w:tc>
        <w:tc>
          <w:tcPr>
            <w:tcW w:w="1140" w:type="dxa"/>
            <w:vAlign w:val="bottom"/>
            <w:tcBorders>
              <w:right w:val="single" w:sz="8" w:color="auto"/>
            </w:tcBorders>
          </w:tcPr>
          <w:p>
            <w:pPr>
              <w:jc w:val="right"/>
              <w:ind w:right="78"/>
              <w:spacing w:after="0" w:line="99" w:lineRule="exact"/>
              <w:rPr>
                <w:sz w:val="20"/>
                <w:szCs w:val="20"/>
                <w:color w:val="auto"/>
              </w:rPr>
            </w:pPr>
            <w:r>
              <w:rPr>
                <w:rFonts w:ascii="Times New Roman" w:cs="Times New Roman" w:eastAsia="Times New Roman" w:hAnsi="Times New Roman"/>
                <w:sz w:val="11"/>
                <w:szCs w:val="11"/>
                <w:b w:val="1"/>
                <w:bCs w:val="1"/>
                <w:color w:val="auto"/>
              </w:rPr>
              <w:t>0.00</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right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color w:val="auto"/>
              </w:rPr>
              <w:t>(527)</w:t>
            </w:r>
          </w:p>
        </w:tc>
        <w:tc>
          <w:tcPr>
            <w:tcW w:w="200" w:type="dxa"/>
            <w:vAlign w:val="bottom"/>
          </w:tcPr>
          <w:p>
            <w:pPr>
              <w:spacing w:after="0"/>
              <w:rPr>
                <w:sz w:val="8"/>
                <w:szCs w:val="8"/>
                <w:color w:val="auto"/>
              </w:rPr>
            </w:pPr>
          </w:p>
        </w:tc>
        <w:tc>
          <w:tcPr>
            <w:tcW w:w="1120" w:type="dxa"/>
            <w:vAlign w:val="bottom"/>
            <w:tcBorders>
              <w:right w:val="single" w:sz="8" w:color="auto"/>
            </w:tcBorders>
          </w:tcPr>
          <w:p>
            <w:pPr>
              <w:jc w:val="right"/>
              <w:ind w:right="18"/>
              <w:spacing w:after="0" w:line="99" w:lineRule="exact"/>
              <w:rPr>
                <w:sz w:val="20"/>
                <w:szCs w:val="20"/>
                <w:color w:val="auto"/>
              </w:rPr>
            </w:pPr>
            <w:r>
              <w:rPr>
                <w:rFonts w:ascii="Times New Roman" w:cs="Times New Roman" w:eastAsia="Times New Roman" w:hAnsi="Times New Roman"/>
                <w:sz w:val="11"/>
                <w:szCs w:val="11"/>
                <w:color w:val="auto"/>
              </w:rPr>
              <w:t>(0.05)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520" w:type="dxa"/>
            <w:vAlign w:val="bottom"/>
            <w:tcBorders>
              <w:bottom w:val="single" w:sz="8" w:color="auto"/>
            </w:tcBorders>
          </w:tcPr>
          <w:p>
            <w:pPr>
              <w:spacing w:after="0" w:line="165" w:lineRule="exact"/>
              <w:rPr>
                <w:sz w:val="20"/>
                <w:szCs w:val="20"/>
                <w:color w:val="auto"/>
              </w:rPr>
            </w:pPr>
            <w:r>
              <w:rPr>
                <w:rFonts w:ascii="Times New Roman" w:cs="Times New Roman" w:eastAsia="Times New Roman" w:hAnsi="Times New Roman"/>
                <w:sz w:val="13"/>
                <w:szCs w:val="13"/>
                <w:color w:val="auto"/>
              </w:rPr>
              <w:t xml:space="preserve">Adjusted loss from continuing operations </w:t>
            </w:r>
            <w:r>
              <w:rPr>
                <w:rFonts w:ascii="Times New Roman" w:cs="Times New Roman" w:eastAsia="Times New Roman" w:hAnsi="Times New Roman"/>
                <w:sz w:val="16"/>
                <w:szCs w:val="16"/>
                <w:color w:val="auto"/>
                <w:vertAlign w:val="superscript"/>
              </w:rPr>
              <w:t>(1) and (2)</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(22,695)</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(2.18)</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(21,530)</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149465" cy="90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90170"/>
                    </a:xfrm>
                    <a:prstGeom prst="rect">
                      <a:avLst/>
                    </a:prstGeom>
                    <a:noFill/>
                  </pic:spPr>
                </pic:pic>
              </a:graphicData>
            </a:graphic>
          </wp:anchor>
        </w:drawing>
      </w:r>
    </w:p>
    <w:p>
      <w:pPr>
        <w:spacing w:after="0" w:line="307" w:lineRule="exact"/>
        <w:rPr>
          <w:sz w:val="20"/>
          <w:szCs w:val="20"/>
          <w:color w:val="auto"/>
        </w:rPr>
      </w:pPr>
    </w:p>
    <w:p>
      <w:pPr>
        <w:ind w:left="365" w:hanging="365"/>
        <w:spacing w:after="0"/>
        <w:tabs>
          <w:tab w:leader="none" w:pos="36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adjusted tax rate for the first quarter of Fiscal 2027 and 2026 is 6.9% and 26.7%, respectively.</w:t>
      </w:r>
    </w:p>
    <w:p>
      <w:pPr>
        <w:ind w:left="365" w:right="60" w:hanging="365"/>
        <w:spacing w:after="0" w:line="213" w:lineRule="auto"/>
        <w:tabs>
          <w:tab w:leader="none" w:pos="365"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EPS reflects 10.4 million and 10.5 million share count for the first quarter of Fiscal 2027 and 2026, respectively, which excludes common stock equivalents in both periods due to the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2209800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6"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6"/>
          <w:szCs w:val="16"/>
          <w:b w:val="1"/>
          <w:bCs w:val="1"/>
          <w:color w:val="auto"/>
        </w:rPr>
        <w:t>Schedule B</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Genesco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Adjustments to Reported Operating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Three Months Ended May 2, 2026 and May 3,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w w:val="97"/>
              </w:rPr>
              <w:t>Quarter 1 - May 2, 2026</w:t>
            </w:r>
          </w:p>
        </w:tc>
        <w:tc>
          <w:tcPr>
            <w:tcW w:w="3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r>
      <w:tr>
        <w:trPr>
          <w:trHeight w:val="163"/>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20" w:type="dxa"/>
            <w:vAlign w:val="bottom"/>
          </w:tcPr>
          <w:p>
            <w:pPr>
              <w:jc w:val="right"/>
              <w:ind w:right="861"/>
              <w:spacing w:after="0" w:line="162"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right w:val="single" w:sz="8" w:color="auto"/>
            </w:tcBorders>
          </w:tcPr>
          <w:p>
            <w:pPr>
              <w:jc w:val="right"/>
              <w:ind w:right="1061"/>
              <w:spacing w:after="0" w:line="162" w:lineRule="exact"/>
              <w:rPr>
                <w:sz w:val="20"/>
                <w:szCs w:val="20"/>
                <w:color w:val="auto"/>
              </w:rPr>
            </w:pPr>
            <w:r>
              <w:rPr>
                <w:rFonts w:ascii="Times New Roman" w:cs="Times New Roman" w:eastAsia="Times New Roman" w:hAnsi="Times New Roman"/>
                <w:sz w:val="16"/>
                <w:szCs w:val="16"/>
                <w:b w:val="1"/>
                <w:bCs w:val="1"/>
                <w:color w:val="auto"/>
              </w:rPr>
              <w:t>Asset Impair</w:t>
            </w:r>
          </w:p>
        </w:tc>
        <w:tc>
          <w:tcPr>
            <w:tcW w:w="380" w:type="dxa"/>
            <w:vAlign w:val="bottom"/>
          </w:tcPr>
          <w:p>
            <w:pPr>
              <w:spacing w:after="0"/>
              <w:rPr>
                <w:sz w:val="14"/>
                <w:szCs w:val="14"/>
                <w:color w:val="auto"/>
              </w:rPr>
            </w:pPr>
          </w:p>
        </w:tc>
        <w:tc>
          <w:tcPr>
            <w:tcW w:w="2220" w:type="dxa"/>
            <w:vAlign w:val="bottom"/>
            <w:tcBorders>
              <w:right w:val="single" w:sz="8" w:color="auto"/>
            </w:tcBorders>
          </w:tcPr>
          <w:p>
            <w:pPr>
              <w:jc w:val="right"/>
              <w:ind w:right="841"/>
              <w:spacing w:after="0" w:line="162" w:lineRule="exact"/>
              <w:rPr>
                <w:sz w:val="20"/>
                <w:szCs w:val="20"/>
                <w:color w:val="auto"/>
              </w:rPr>
            </w:pPr>
            <w:r>
              <w:rPr>
                <w:rFonts w:ascii="Times New Roman" w:cs="Times New Roman" w:eastAsia="Times New Roman" w:hAnsi="Times New Roman"/>
                <w:sz w:val="16"/>
                <w:szCs w:val="16"/>
                <w:b w:val="1"/>
                <w:bCs w:val="1"/>
                <w:color w:val="auto"/>
              </w:rPr>
              <w:t>Adj Operating</w:t>
            </w:r>
          </w:p>
        </w:tc>
      </w:tr>
      <w:tr>
        <w:trPr>
          <w:trHeight w:val="208"/>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260" w:type="dxa"/>
            <w:vAlign w:val="bottom"/>
          </w:tcPr>
          <w:p>
            <w:pPr>
              <w:spacing w:after="0"/>
              <w:rPr>
                <w:sz w:val="18"/>
                <w:szCs w:val="18"/>
                <w:color w:val="auto"/>
              </w:rPr>
            </w:pPr>
          </w:p>
        </w:tc>
        <w:tc>
          <w:tcPr>
            <w:tcW w:w="1820" w:type="dxa"/>
            <w:vAlign w:val="bottom"/>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Borders>
              <w:right w:val="single" w:sz="8" w:color="auto"/>
            </w:tcBorders>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rPr>
              <w:t>&amp; Other Adj</w:t>
            </w:r>
          </w:p>
        </w:tc>
        <w:tc>
          <w:tcPr>
            <w:tcW w:w="380" w:type="dxa"/>
            <w:vAlign w:val="bottom"/>
          </w:tcPr>
          <w:p>
            <w:pPr>
              <w:spacing w:after="0"/>
              <w:rPr>
                <w:sz w:val="18"/>
                <w:szCs w:val="18"/>
                <w:color w:val="auto"/>
              </w:rPr>
            </w:pPr>
          </w:p>
        </w:tc>
        <w:tc>
          <w:tcPr>
            <w:tcW w:w="2220" w:type="dxa"/>
            <w:vAlign w:val="bottom"/>
            <w:tcBorders>
              <w:right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181"/>
        </w:trPr>
        <w:tc>
          <w:tcPr>
            <w:tcW w:w="20" w:type="dxa"/>
            <w:vAlign w:val="bottom"/>
          </w:tcPr>
          <w:p>
            <w:pPr>
              <w:spacing w:after="0"/>
              <w:rPr>
                <w:sz w:val="15"/>
                <w:szCs w:val="15"/>
                <w:color w:val="auto"/>
              </w:rPr>
            </w:pPr>
          </w:p>
        </w:tc>
        <w:tc>
          <w:tcPr>
            <w:tcW w:w="248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Journeys Group</w:t>
            </w:r>
          </w:p>
        </w:tc>
        <w:tc>
          <w:tcPr>
            <w:tcW w:w="1260" w:type="dxa"/>
            <w:vAlign w:val="bottom"/>
            <w:tcBorders>
              <w:top w:val="single" w:sz="8" w:color="auto"/>
            </w:tcBorders>
            <w:shd w:val="clear" w:color="auto" w:fill="CFF0FC"/>
          </w:tcPr>
          <w:p>
            <w:pPr>
              <w:jc w:val="right"/>
              <w:ind w:right="52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(11,555)</w:t>
            </w:r>
          </w:p>
        </w:tc>
        <w:tc>
          <w:tcPr>
            <w:tcW w:w="580" w:type="dxa"/>
            <w:vAlign w:val="bottom"/>
            <w:tcBorders>
              <w:top w:val="single" w:sz="8" w:color="auto"/>
            </w:tcBorders>
            <w:shd w:val="clear" w:color="auto" w:fill="CFF0FC"/>
          </w:tcPr>
          <w:p>
            <w:pPr>
              <w:jc w:val="right"/>
              <w:ind w:right="3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shd w:val="clear" w:color="auto" w:fill="CFF0FC"/>
          </w:tcPr>
          <w:p>
            <w:pPr>
              <w:spacing w:after="0"/>
              <w:rPr>
                <w:sz w:val="15"/>
                <w:szCs w:val="15"/>
                <w:color w:val="auto"/>
              </w:rPr>
            </w:pPr>
          </w:p>
        </w:tc>
        <w:tc>
          <w:tcPr>
            <w:tcW w:w="2400" w:type="dxa"/>
            <w:vAlign w:val="bottom"/>
            <w:tcBorders>
              <w:top w:val="single" w:sz="8" w:color="auto"/>
              <w:right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top w:val="single" w:sz="8" w:color="auto"/>
              <w:left w:val="single" w:sz="8" w:color="CFF0FC"/>
            </w:tcBorders>
            <w:shd w:val="clear" w:color="auto" w:fill="CFF0FC"/>
          </w:tcPr>
          <w:p>
            <w:pPr>
              <w:jc w:val="right"/>
              <w:ind w:right="28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220" w:type="dxa"/>
            <w:vAlign w:val="bottom"/>
            <w:tcBorders>
              <w:top w:val="single" w:sz="8" w:color="auto"/>
              <w:right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(11,555)</w:t>
            </w: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Schuh Group</w:t>
            </w:r>
          </w:p>
        </w:tc>
        <w:tc>
          <w:tcPr>
            <w:tcW w:w="12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(6,987)</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289</w:t>
            </w:r>
          </w:p>
        </w:tc>
        <w:tc>
          <w:tcPr>
            <w:tcW w:w="380" w:type="dxa"/>
            <w:vAlign w:val="bottom"/>
          </w:tcPr>
          <w:p>
            <w:pPr>
              <w:spacing w:after="0"/>
              <w:rPr>
                <w:sz w:val="16"/>
                <w:szCs w:val="16"/>
                <w:color w:val="auto"/>
              </w:rPr>
            </w:pPr>
          </w:p>
        </w:tc>
        <w:tc>
          <w:tcPr>
            <w:tcW w:w="222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(6,698)</w:t>
            </w:r>
          </w:p>
        </w:tc>
      </w:tr>
      <w:tr>
        <w:trPr>
          <w:trHeight w:val="189"/>
        </w:trPr>
        <w:tc>
          <w:tcPr>
            <w:tcW w:w="20" w:type="dxa"/>
            <w:vAlign w:val="bottom"/>
          </w:tcPr>
          <w:p>
            <w:pPr>
              <w:spacing w:after="0"/>
              <w:rPr>
                <w:sz w:val="16"/>
                <w:szCs w:val="16"/>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Johnston &amp; Murphy Group</w:t>
            </w:r>
          </w:p>
        </w:tc>
        <w:tc>
          <w:tcPr>
            <w:tcW w:w="1260" w:type="dxa"/>
            <w:vAlign w:val="bottom"/>
            <w:shd w:val="clear" w:color="auto" w:fill="CFF0FC"/>
          </w:tcPr>
          <w:p>
            <w:pPr>
              <w:spacing w:after="0"/>
              <w:rPr>
                <w:sz w:val="16"/>
                <w:szCs w:val="16"/>
                <w:color w:val="auto"/>
              </w:rPr>
            </w:pPr>
          </w:p>
        </w:tc>
        <w:tc>
          <w:tcPr>
            <w:tcW w:w="18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1,507</w:t>
            </w: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0" w:type="dxa"/>
            <w:vAlign w:val="bottom"/>
            <w:tcBorders>
              <w:right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left w:val="single" w:sz="8" w:color="CFF0FC"/>
            </w:tcBorders>
            <w:shd w:val="clear" w:color="auto" w:fill="CFF0FC"/>
          </w:tcPr>
          <w:p>
            <w:pPr>
              <w:spacing w:after="0"/>
              <w:rPr>
                <w:sz w:val="16"/>
                <w:szCs w:val="16"/>
                <w:color w:val="auto"/>
              </w:rPr>
            </w:pPr>
          </w:p>
        </w:tc>
        <w:tc>
          <w:tcPr>
            <w:tcW w:w="2220" w:type="dxa"/>
            <w:vAlign w:val="bottom"/>
            <w:tcBorders>
              <w:right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1,507</w:t>
            </w: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Genesco Brands Group</w:t>
            </w:r>
          </w:p>
        </w:tc>
        <w:tc>
          <w:tcPr>
            <w:tcW w:w="1260" w:type="dxa"/>
            <w:vAlign w:val="bottom"/>
          </w:tcPr>
          <w:p>
            <w:pPr>
              <w:spacing w:after="0"/>
              <w:rPr>
                <w:sz w:val="16"/>
                <w:szCs w:val="16"/>
                <w:color w:val="auto"/>
              </w:rPr>
            </w:pP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1,162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(84)</w:t>
            </w:r>
          </w:p>
        </w:tc>
        <w:tc>
          <w:tcPr>
            <w:tcW w:w="380" w:type="dxa"/>
            <w:vAlign w:val="bottom"/>
          </w:tcPr>
          <w:p>
            <w:pPr>
              <w:spacing w:after="0"/>
              <w:rPr>
                <w:sz w:val="16"/>
                <w:szCs w:val="16"/>
                <w:color w:val="auto"/>
              </w:rPr>
            </w:pPr>
          </w:p>
        </w:tc>
        <w:tc>
          <w:tcPr>
            <w:tcW w:w="2220" w:type="dxa"/>
            <w:vAlign w:val="bottom"/>
            <w:tcBorders>
              <w:right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1,078</w:t>
            </w:r>
          </w:p>
        </w:tc>
      </w:tr>
      <w:tr>
        <w:trPr>
          <w:trHeight w:val="189"/>
        </w:trPr>
        <w:tc>
          <w:tcPr>
            <w:tcW w:w="20" w:type="dxa"/>
            <w:vAlign w:val="bottom"/>
          </w:tcPr>
          <w:p>
            <w:pPr>
              <w:spacing w:after="0"/>
              <w:rPr>
                <w:sz w:val="16"/>
                <w:szCs w:val="16"/>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26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496</w:t>
            </w:r>
          </w:p>
        </w:tc>
        <w:tc>
          <w:tcPr>
            <w:tcW w:w="5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2400" w:type="dxa"/>
            <w:vAlign w:val="bottom"/>
            <w:tcBorders>
              <w:bottom w:val="single" w:sz="8" w:color="auto"/>
              <w:right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(8,698)</w:t>
            </w:r>
          </w:p>
        </w:tc>
        <w:tc>
          <w:tcPr>
            <w:tcW w:w="380" w:type="dxa"/>
            <w:vAlign w:val="bottom"/>
            <w:tcBorders>
              <w:left w:val="single" w:sz="8" w:color="CFF0FC"/>
              <w:bottom w:val="single" w:sz="8" w:color="auto"/>
            </w:tcBorders>
            <w:shd w:val="clear" w:color="auto" w:fill="CFF0FC"/>
          </w:tcPr>
          <w:p>
            <w:pPr>
              <w:spacing w:after="0"/>
              <w:rPr>
                <w:sz w:val="16"/>
                <w:szCs w:val="16"/>
                <w:color w:val="auto"/>
              </w:rPr>
            </w:pPr>
          </w:p>
        </w:tc>
        <w:tc>
          <w:tcPr>
            <w:tcW w:w="2220" w:type="dxa"/>
            <w:vAlign w:val="bottom"/>
            <w:tcBorders>
              <w:bottom w:val="single" w:sz="8" w:color="auto"/>
              <w:right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(8,202)</w:t>
            </w:r>
          </w:p>
        </w:tc>
      </w:tr>
      <w:tr>
        <w:trPr>
          <w:trHeight w:val="181"/>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Total Operating Loss</w:t>
            </w:r>
          </w:p>
        </w:tc>
        <w:tc>
          <w:tcPr>
            <w:tcW w:w="1260" w:type="dxa"/>
            <w:vAlign w:val="bottom"/>
            <w:tcBorders>
              <w:bottom w:val="single" w:sz="8" w:color="auto"/>
            </w:tcBorders>
          </w:tcPr>
          <w:p>
            <w:pPr>
              <w:jc w:val="right"/>
              <w:ind w:right="52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8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(15,377)</w:t>
            </w:r>
          </w:p>
        </w:tc>
        <w:tc>
          <w:tcPr>
            <w:tcW w:w="580" w:type="dxa"/>
            <w:vAlign w:val="bottom"/>
            <w:tcBorders>
              <w:bottom w:val="single" w:sz="8" w:color="auto"/>
            </w:tcBorders>
          </w:tcPr>
          <w:p>
            <w:pPr>
              <w:jc w:val="right"/>
              <w:ind w:right="3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jc w:val="right"/>
              <w:ind w:right="1"/>
              <w:spacing w:after="0" w:line="181" w:lineRule="exact"/>
              <w:rPr>
                <w:sz w:val="20"/>
                <w:szCs w:val="20"/>
                <w:color w:val="auto"/>
              </w:rPr>
            </w:pPr>
            <w:r>
              <w:rPr>
                <w:rFonts w:ascii="Times New Roman" w:cs="Times New Roman" w:eastAsia="Times New Roman" w:hAnsi="Times New Roman"/>
                <w:sz w:val="16"/>
                <w:szCs w:val="16"/>
                <w:b w:val="1"/>
                <w:bCs w:val="1"/>
                <w:color w:val="auto"/>
              </w:rPr>
              <w:t>(8,493)</w:t>
            </w:r>
          </w:p>
        </w:tc>
        <w:tc>
          <w:tcPr>
            <w:tcW w:w="3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220" w:type="dxa"/>
            <w:vAlign w:val="bottom"/>
            <w:tcBorders>
              <w:bottom w:val="single" w:sz="8" w:color="auto"/>
              <w:right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(23,870)</w:t>
            </w:r>
          </w:p>
        </w:tc>
      </w:tr>
      <w:tr>
        <w:trPr>
          <w:trHeight w:val="181"/>
        </w:trPr>
        <w:tc>
          <w:tcPr>
            <w:tcW w:w="20" w:type="dxa"/>
            <w:vAlign w:val="bottom"/>
          </w:tcPr>
          <w:p>
            <w:pPr>
              <w:spacing w:after="0"/>
              <w:rPr>
                <w:sz w:val="15"/>
                <w:szCs w:val="15"/>
                <w:color w:val="auto"/>
              </w:rPr>
            </w:pPr>
          </w:p>
        </w:tc>
        <w:tc>
          <w:tcPr>
            <w:tcW w:w="24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 of sales</w:t>
            </w:r>
          </w:p>
        </w:tc>
        <w:tc>
          <w:tcPr>
            <w:tcW w:w="1260" w:type="dxa"/>
            <w:vAlign w:val="bottom"/>
            <w:shd w:val="clear" w:color="auto" w:fill="CFF0FC"/>
          </w:tcPr>
          <w:p>
            <w:pPr>
              <w:spacing w:after="0"/>
              <w:rPr>
                <w:sz w:val="15"/>
                <w:szCs w:val="15"/>
                <w:color w:val="auto"/>
              </w:rPr>
            </w:pPr>
          </w:p>
        </w:tc>
        <w:tc>
          <w:tcPr>
            <w:tcW w:w="2400" w:type="dxa"/>
            <w:vAlign w:val="bottom"/>
            <w:gridSpan w:val="2"/>
            <w:shd w:val="clear" w:color="auto" w:fill="CFF0FC"/>
          </w:tcPr>
          <w:p>
            <w:pPr>
              <w:jc w:val="right"/>
              <w:ind w:right="401"/>
              <w:spacing w:after="0" w:line="181" w:lineRule="exact"/>
              <w:rPr>
                <w:sz w:val="20"/>
                <w:szCs w:val="20"/>
                <w:color w:val="auto"/>
              </w:rPr>
            </w:pPr>
            <w:r>
              <w:rPr>
                <w:rFonts w:ascii="Times New Roman" w:cs="Times New Roman" w:eastAsia="Times New Roman" w:hAnsi="Times New Roman"/>
                <w:sz w:val="16"/>
                <w:szCs w:val="16"/>
                <w:b w:val="1"/>
                <w:bCs w:val="1"/>
                <w:color w:val="auto"/>
              </w:rPr>
              <w:t>-3.2%</w:t>
            </w:r>
          </w:p>
        </w:tc>
        <w:tc>
          <w:tcPr>
            <w:tcW w:w="100" w:type="dxa"/>
            <w:vAlign w:val="bottom"/>
            <w:shd w:val="clear" w:color="auto" w:fill="CFF0FC"/>
          </w:tcPr>
          <w:p>
            <w:pPr>
              <w:spacing w:after="0"/>
              <w:rPr>
                <w:sz w:val="15"/>
                <w:szCs w:val="15"/>
                <w:color w:val="auto"/>
              </w:rPr>
            </w:pPr>
          </w:p>
        </w:tc>
        <w:tc>
          <w:tcPr>
            <w:tcW w:w="2400" w:type="dxa"/>
            <w:vAlign w:val="bottom"/>
            <w:tcBorders>
              <w:right w:val="single" w:sz="8" w:color="auto"/>
            </w:tcBorders>
            <w:shd w:val="clear" w:color="auto" w:fill="CFF0FC"/>
          </w:tcPr>
          <w:p>
            <w:pPr>
              <w:spacing w:after="0"/>
              <w:rPr>
                <w:sz w:val="15"/>
                <w:szCs w:val="15"/>
                <w:color w:val="auto"/>
              </w:rPr>
            </w:pPr>
          </w:p>
        </w:tc>
        <w:tc>
          <w:tcPr>
            <w:tcW w:w="380" w:type="dxa"/>
            <w:vAlign w:val="bottom"/>
            <w:tcBorders>
              <w:left w:val="single" w:sz="8" w:color="CFF0FC"/>
            </w:tcBorders>
            <w:shd w:val="clear" w:color="auto" w:fill="CFF0FC"/>
          </w:tcPr>
          <w:p>
            <w:pPr>
              <w:spacing w:after="0"/>
              <w:rPr>
                <w:sz w:val="15"/>
                <w:szCs w:val="15"/>
                <w:color w:val="auto"/>
              </w:rPr>
            </w:pPr>
          </w:p>
        </w:tc>
        <w:tc>
          <w:tcPr>
            <w:tcW w:w="2220" w:type="dxa"/>
            <w:vAlign w:val="bottom"/>
            <w:tcBorders>
              <w:right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-4.9%</w:t>
            </w:r>
          </w:p>
        </w:tc>
      </w:tr>
      <w:tr>
        <w:trPr>
          <w:trHeight w:val="378"/>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Borders>
              <w:right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13,247</w:t>
            </w:r>
          </w:p>
        </w:tc>
      </w:tr>
      <w:tr>
        <w:trPr>
          <w:trHeight w:val="181"/>
        </w:trPr>
        <w:tc>
          <w:tcPr>
            <w:tcW w:w="20" w:type="dxa"/>
            <w:vAlign w:val="bottom"/>
          </w:tcPr>
          <w:p>
            <w:pPr>
              <w:spacing w:after="0"/>
              <w:rPr>
                <w:sz w:val="15"/>
                <w:szCs w:val="15"/>
                <w:color w:val="auto"/>
              </w:rPr>
            </w:pPr>
          </w:p>
        </w:tc>
        <w:tc>
          <w:tcPr>
            <w:tcW w:w="5560" w:type="dxa"/>
            <w:vAlign w:val="bottom"/>
            <w:tcBorders>
              <w:top w:val="single" w:sz="8" w:color="auto"/>
              <w:bottom w:val="single" w:sz="8" w:color="auto"/>
            </w:tcBorders>
            <w:gridSpan w:val="3"/>
            <w:shd w:val="clear" w:color="auto" w:fill="CFF0FC"/>
          </w:tcPr>
          <w:p>
            <w:pPr>
              <w:spacing w:after="0" w:line="181" w:lineRule="exact"/>
              <w:rPr>
                <w:sz w:val="20"/>
                <w:szCs w:val="20"/>
                <w:color w:val="auto"/>
              </w:rPr>
            </w:pPr>
            <w:r>
              <w:rPr>
                <w:rFonts w:ascii="Times New Roman" w:cs="Times New Roman" w:eastAsia="Times New Roman" w:hAnsi="Times New Roman"/>
                <w:sz w:val="15"/>
                <w:szCs w:val="15"/>
                <w:color w:val="auto"/>
              </w:rPr>
              <w:t>Adjusted loss before interest, taxes, depreciation and amortization ("EBITDA")</w:t>
            </w:r>
            <w:r>
              <w:rPr>
                <w:rFonts w:ascii="Times New Roman" w:cs="Times New Roman" w:eastAsia="Times New Roman" w:hAnsi="Times New Roman"/>
                <w:sz w:val="20"/>
                <w:szCs w:val="20"/>
                <w:color w:val="auto"/>
                <w:vertAlign w:val="superscript"/>
              </w:rPr>
              <w:t>(1)</w:t>
            </w:r>
          </w:p>
        </w:tc>
        <w:tc>
          <w:tcPr>
            <w:tcW w:w="58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2400" w:type="dxa"/>
            <w:vAlign w:val="bottom"/>
            <w:tcBorders>
              <w:top w:val="single" w:sz="8" w:color="auto"/>
              <w:bottom w:val="single" w:sz="8" w:color="auto"/>
              <w:right w:val="single" w:sz="8" w:color="auto"/>
            </w:tcBorders>
            <w:shd w:val="clear" w:color="auto" w:fill="CFF0FC"/>
          </w:tcPr>
          <w:p>
            <w:pPr>
              <w:spacing w:after="0"/>
              <w:rPr>
                <w:sz w:val="15"/>
                <w:szCs w:val="15"/>
                <w:color w:val="auto"/>
              </w:rPr>
            </w:pPr>
          </w:p>
        </w:tc>
        <w:tc>
          <w:tcPr>
            <w:tcW w:w="380" w:type="dxa"/>
            <w:vAlign w:val="bottom"/>
            <w:tcBorders>
              <w:top w:val="single" w:sz="8" w:color="auto"/>
              <w:left w:val="single" w:sz="8" w:color="CFF0FC"/>
              <w:bottom w:val="single" w:sz="8" w:color="auto"/>
            </w:tcBorders>
            <w:shd w:val="clear" w:color="auto" w:fill="CFF0FC"/>
          </w:tcPr>
          <w:p>
            <w:pPr>
              <w:jc w:val="right"/>
              <w:ind w:right="28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220" w:type="dxa"/>
            <w:vAlign w:val="bottom"/>
            <w:tcBorders>
              <w:top w:val="single" w:sz="8" w:color="auto"/>
              <w:bottom w:val="single" w:sz="8" w:color="auto"/>
              <w:right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(10,623)</w:t>
            </w:r>
          </w:p>
        </w:tc>
      </w:tr>
      <w:tr>
        <w:trPr>
          <w:trHeight w:val="181"/>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 of sales</w:t>
            </w:r>
          </w:p>
        </w:tc>
        <w:tc>
          <w:tcPr>
            <w:tcW w:w="1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-2.2%</w:t>
            </w:r>
          </w:p>
        </w:tc>
      </w:tr>
      <w:tr>
        <w:trPr>
          <w:trHeight w:val="370"/>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color w:val="auto"/>
                <w:w w:val="98"/>
              </w:rPr>
              <w:t>Quarter 1 - May 3, 2025</w:t>
            </w:r>
          </w:p>
        </w:tc>
        <w:tc>
          <w:tcPr>
            <w:tcW w:w="3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20" w:type="dxa"/>
            <w:vAlign w:val="bottom"/>
          </w:tcPr>
          <w:p>
            <w:pPr>
              <w:jc w:val="right"/>
              <w:ind w:right="381"/>
              <w:spacing w:after="0" w:line="165" w:lineRule="exact"/>
              <w:rPr>
                <w:sz w:val="20"/>
                <w:szCs w:val="20"/>
                <w:color w:val="auto"/>
              </w:rPr>
            </w:pPr>
            <w:r>
              <w:rPr>
                <w:rFonts w:ascii="Times New Roman" w:cs="Times New Roman" w:eastAsia="Times New Roman" w:hAnsi="Times New Roman"/>
                <w:sz w:val="16"/>
                <w:szCs w:val="16"/>
                <w:color w:val="auto"/>
              </w:rPr>
              <w:t>Operating</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ind w:right="161"/>
              <w:spacing w:after="0" w:line="165" w:lineRule="exact"/>
              <w:rPr>
                <w:sz w:val="20"/>
                <w:szCs w:val="20"/>
                <w:color w:val="auto"/>
              </w:rPr>
            </w:pPr>
            <w:r>
              <w:rPr>
                <w:rFonts w:ascii="Times New Roman" w:cs="Times New Roman" w:eastAsia="Times New Roman" w:hAnsi="Times New Roman"/>
                <w:sz w:val="16"/>
                <w:szCs w:val="16"/>
                <w:color w:val="auto"/>
                <w:w w:val="97"/>
              </w:rPr>
              <w:t>Asset Impair</w:t>
            </w:r>
          </w:p>
        </w:tc>
        <w:tc>
          <w:tcPr>
            <w:tcW w:w="380" w:type="dxa"/>
            <w:vAlign w:val="bottom"/>
            <w:tcBorders>
              <w:left w:val="single" w:sz="8" w:color="auto"/>
            </w:tcBorders>
          </w:tcPr>
          <w:p>
            <w:pPr>
              <w:spacing w:after="0"/>
              <w:rPr>
                <w:sz w:val="14"/>
                <w:szCs w:val="14"/>
                <w:color w:val="auto"/>
              </w:rPr>
            </w:pPr>
          </w:p>
        </w:tc>
        <w:tc>
          <w:tcPr>
            <w:tcW w:w="2220" w:type="dxa"/>
            <w:vAlign w:val="bottom"/>
            <w:tcBorders>
              <w:right w:val="single" w:sz="8" w:color="auto"/>
            </w:tcBorders>
          </w:tcPr>
          <w:p>
            <w:pPr>
              <w:jc w:val="right"/>
              <w:ind w:right="861"/>
              <w:spacing w:after="0" w:line="165" w:lineRule="exact"/>
              <w:rPr>
                <w:sz w:val="20"/>
                <w:szCs w:val="20"/>
                <w:color w:val="auto"/>
              </w:rPr>
            </w:pPr>
            <w:r>
              <w:rPr>
                <w:rFonts w:ascii="Times New Roman" w:cs="Times New Roman" w:eastAsia="Times New Roman" w:hAnsi="Times New Roman"/>
                <w:sz w:val="16"/>
                <w:szCs w:val="16"/>
                <w:color w:val="auto"/>
              </w:rPr>
              <w:t>Adj Operating</w:t>
            </w:r>
          </w:p>
        </w:tc>
      </w:tr>
      <w:tr>
        <w:trPr>
          <w:trHeight w:val="206"/>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260" w:type="dxa"/>
            <w:vAlign w:val="bottom"/>
          </w:tcPr>
          <w:p>
            <w:pPr>
              <w:spacing w:after="0"/>
              <w:rPr>
                <w:sz w:val="17"/>
                <w:szCs w:val="17"/>
                <w:color w:val="auto"/>
              </w:rPr>
            </w:pPr>
          </w:p>
        </w:tc>
        <w:tc>
          <w:tcPr>
            <w:tcW w:w="18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Income (Loss)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ind w:right="121"/>
              <w:spacing w:after="0"/>
              <w:rPr>
                <w:sz w:val="20"/>
                <w:szCs w:val="20"/>
                <w:color w:val="auto"/>
              </w:rPr>
            </w:pPr>
            <w:r>
              <w:rPr>
                <w:rFonts w:ascii="Times New Roman" w:cs="Times New Roman" w:eastAsia="Times New Roman" w:hAnsi="Times New Roman"/>
                <w:sz w:val="16"/>
                <w:szCs w:val="16"/>
                <w:color w:val="auto"/>
                <w:w w:val="98"/>
              </w:rPr>
              <w:t>&amp; Other Adj</w:t>
            </w:r>
          </w:p>
        </w:tc>
        <w:tc>
          <w:tcPr>
            <w:tcW w:w="380" w:type="dxa"/>
            <w:vAlign w:val="bottom"/>
            <w:tcBorders>
              <w:left w:val="single" w:sz="8" w:color="auto"/>
            </w:tcBorders>
          </w:tcPr>
          <w:p>
            <w:pPr>
              <w:spacing w:after="0"/>
              <w:rPr>
                <w:sz w:val="17"/>
                <w:szCs w:val="17"/>
                <w:color w:val="auto"/>
              </w:rPr>
            </w:pPr>
          </w:p>
        </w:tc>
        <w:tc>
          <w:tcPr>
            <w:tcW w:w="2220" w:type="dxa"/>
            <w:vAlign w:val="bottom"/>
            <w:tcBorders>
              <w:right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rPr>
              <w:t>Income (Loss)</w:t>
            </w:r>
          </w:p>
        </w:tc>
      </w:tr>
      <w:tr>
        <w:trPr>
          <w:trHeight w:val="181"/>
        </w:trPr>
        <w:tc>
          <w:tcPr>
            <w:tcW w:w="20" w:type="dxa"/>
            <w:vAlign w:val="bottom"/>
          </w:tcPr>
          <w:p>
            <w:pPr>
              <w:spacing w:after="0"/>
              <w:rPr>
                <w:sz w:val="15"/>
                <w:szCs w:val="15"/>
                <w:color w:val="auto"/>
              </w:rPr>
            </w:pPr>
          </w:p>
        </w:tc>
        <w:tc>
          <w:tcPr>
            <w:tcW w:w="248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Journeys Group</w:t>
            </w:r>
          </w:p>
        </w:tc>
        <w:tc>
          <w:tcPr>
            <w:tcW w:w="126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top w:val="single" w:sz="8" w:color="auto"/>
            </w:tcBorders>
            <w:gridSpan w:val="2"/>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(15,283)</w:t>
            </w:r>
          </w:p>
        </w:tc>
        <w:tc>
          <w:tcPr>
            <w:tcW w:w="1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top w:val="single" w:sz="8" w:color="auto"/>
              <w:right w:val="single" w:sz="8" w:color="CFF0FC"/>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left w:val="single" w:sz="8" w:color="auto"/>
            </w:tcBorders>
            <w:shd w:val="clear" w:color="auto" w:fill="CFF0FC"/>
          </w:tcPr>
          <w:p>
            <w:pPr>
              <w:jc w:val="right"/>
              <w:ind w:right="24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tcBorders>
              <w:top w:val="single" w:sz="8" w:color="auto"/>
              <w:right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(15,283)</w:t>
            </w: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Schuh Group</w:t>
            </w:r>
          </w:p>
        </w:tc>
        <w:tc>
          <w:tcPr>
            <w:tcW w:w="1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(6,131)</w:t>
            </w:r>
          </w:p>
        </w:tc>
        <w:tc>
          <w:tcPr>
            <w:tcW w:w="100" w:type="dxa"/>
            <w:vAlign w:val="bottom"/>
          </w:tcPr>
          <w:p>
            <w:pPr>
              <w:spacing w:after="0"/>
              <w:rPr>
                <w:sz w:val="16"/>
                <w:szCs w:val="16"/>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(6,131)</w:t>
            </w:r>
          </w:p>
        </w:tc>
      </w:tr>
      <w:tr>
        <w:trPr>
          <w:trHeight w:val="189"/>
        </w:trPr>
        <w:tc>
          <w:tcPr>
            <w:tcW w:w="20" w:type="dxa"/>
            <w:vAlign w:val="bottom"/>
          </w:tcPr>
          <w:p>
            <w:pPr>
              <w:spacing w:after="0"/>
              <w:rPr>
                <w:sz w:val="16"/>
                <w:szCs w:val="16"/>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Johnston &amp; Murphy Group</w:t>
            </w:r>
          </w:p>
        </w:tc>
        <w:tc>
          <w:tcPr>
            <w:tcW w:w="126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FF0FC"/>
          </w:tcPr>
          <w:p>
            <w:pPr>
              <w:spacing w:after="0"/>
              <w:rPr>
                <w:sz w:val="16"/>
                <w:szCs w:val="16"/>
                <w:color w:val="auto"/>
              </w:rPr>
            </w:pPr>
          </w:p>
        </w:tc>
        <w:tc>
          <w:tcPr>
            <w:tcW w:w="2400" w:type="dxa"/>
            <w:vAlign w:val="bottom"/>
            <w:tcBorders>
              <w:right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left w:val="single" w:sz="8" w:color="auto"/>
            </w:tcBorders>
            <w:shd w:val="clear" w:color="auto" w:fill="CFF0FC"/>
          </w:tcPr>
          <w:p>
            <w:pPr>
              <w:spacing w:after="0"/>
              <w:rPr>
                <w:sz w:val="16"/>
                <w:szCs w:val="16"/>
                <w:color w:val="auto"/>
              </w:rPr>
            </w:pPr>
          </w:p>
        </w:tc>
        <w:tc>
          <w:tcPr>
            <w:tcW w:w="2220" w:type="dxa"/>
            <w:vAlign w:val="bottom"/>
            <w:tcBorders>
              <w:right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500</w:t>
            </w:r>
          </w:p>
        </w:tc>
      </w:tr>
      <w:tr>
        <w:trPr>
          <w:trHeight w:val="189"/>
        </w:trPr>
        <w:tc>
          <w:tcPr>
            <w:tcW w:w="2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Genesco Brands Group</w:t>
            </w:r>
          </w:p>
        </w:tc>
        <w:tc>
          <w:tcPr>
            <w:tcW w:w="1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6"/>
                <w:szCs w:val="16"/>
                <w:color w:val="auto"/>
              </w:rPr>
            </w:pPr>
          </w:p>
        </w:tc>
        <w:tc>
          <w:tcPr>
            <w:tcW w:w="2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left w:val="single" w:sz="8" w:color="auto"/>
            </w:tcBorders>
          </w:tcPr>
          <w:p>
            <w:pPr>
              <w:spacing w:after="0"/>
              <w:rPr>
                <w:sz w:val="16"/>
                <w:szCs w:val="16"/>
                <w:color w:val="auto"/>
              </w:rPr>
            </w:pPr>
          </w:p>
        </w:tc>
        <w:tc>
          <w:tcPr>
            <w:tcW w:w="2220" w:type="dxa"/>
            <w:vAlign w:val="bottom"/>
            <w:tcBorders>
              <w:right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698</w:t>
            </w:r>
          </w:p>
        </w:tc>
      </w:tr>
      <w:tr>
        <w:trPr>
          <w:trHeight w:val="189"/>
        </w:trPr>
        <w:tc>
          <w:tcPr>
            <w:tcW w:w="20" w:type="dxa"/>
            <w:vAlign w:val="bottom"/>
          </w:tcPr>
          <w:p>
            <w:pPr>
              <w:spacing w:after="0"/>
              <w:rPr>
                <w:sz w:val="16"/>
                <w:szCs w:val="16"/>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and Other</w:t>
            </w:r>
          </w:p>
        </w:tc>
        <w:tc>
          <w:tcPr>
            <w:tcW w:w="1260" w:type="dxa"/>
            <w:vAlign w:val="bottom"/>
            <w:tcBorders>
              <w:bottom w:val="single" w:sz="8" w:color="auto"/>
            </w:tcBorders>
            <w:shd w:val="clear" w:color="auto" w:fill="CFF0FC"/>
          </w:tcPr>
          <w:p>
            <w:pPr>
              <w:spacing w:after="0"/>
              <w:rPr>
                <w:sz w:val="16"/>
                <w:szCs w:val="16"/>
                <w:color w:val="auto"/>
              </w:rPr>
            </w:pPr>
          </w:p>
        </w:tc>
        <w:tc>
          <w:tcPr>
            <w:tcW w:w="182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(7,929)</w:t>
            </w:r>
          </w:p>
        </w:tc>
        <w:tc>
          <w:tcPr>
            <w:tcW w:w="100" w:type="dxa"/>
            <w:vAlign w:val="bottom"/>
            <w:tcBorders>
              <w:bottom w:val="single" w:sz="8" w:color="auto"/>
            </w:tcBorders>
            <w:shd w:val="clear" w:color="auto" w:fill="CFF0FC"/>
          </w:tcPr>
          <w:p>
            <w:pPr>
              <w:spacing w:after="0"/>
              <w:rPr>
                <w:sz w:val="16"/>
                <w:szCs w:val="16"/>
                <w:color w:val="auto"/>
              </w:rPr>
            </w:pPr>
          </w:p>
        </w:tc>
        <w:tc>
          <w:tcPr>
            <w:tcW w:w="2400" w:type="dxa"/>
            <w:vAlign w:val="bottom"/>
            <w:tcBorders>
              <w:bottom w:val="single" w:sz="8" w:color="auto"/>
              <w:right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291</w:t>
            </w:r>
          </w:p>
        </w:tc>
        <w:tc>
          <w:tcPr>
            <w:tcW w:w="380" w:type="dxa"/>
            <w:vAlign w:val="bottom"/>
            <w:tcBorders>
              <w:left w:val="single" w:sz="8" w:color="auto"/>
              <w:bottom w:val="single" w:sz="8" w:color="auto"/>
            </w:tcBorders>
            <w:shd w:val="clear" w:color="auto" w:fill="CFF0FC"/>
          </w:tcPr>
          <w:p>
            <w:pPr>
              <w:spacing w:after="0"/>
              <w:rPr>
                <w:sz w:val="16"/>
                <w:szCs w:val="16"/>
                <w:color w:val="auto"/>
              </w:rPr>
            </w:pPr>
          </w:p>
        </w:tc>
        <w:tc>
          <w:tcPr>
            <w:tcW w:w="2220" w:type="dxa"/>
            <w:vAlign w:val="bottom"/>
            <w:tcBorders>
              <w:bottom w:val="single" w:sz="8" w:color="auto"/>
              <w:right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(7,638)</w:t>
            </w:r>
          </w:p>
        </w:tc>
      </w:tr>
      <w:tr>
        <w:trPr>
          <w:trHeight w:val="181"/>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Total Operating Loss</w:t>
            </w:r>
          </w:p>
        </w:tc>
        <w:tc>
          <w:tcPr>
            <w:tcW w:w="12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bottom w:val="single" w:sz="8" w:color="auto"/>
            </w:tcBorders>
            <w:gridSpan w:val="2"/>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(28,145)</w:t>
            </w:r>
          </w:p>
        </w:tc>
        <w:tc>
          <w:tcPr>
            <w:tcW w:w="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40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291</w:t>
            </w:r>
          </w:p>
        </w:tc>
        <w:tc>
          <w:tcPr>
            <w:tcW w:w="380" w:type="dxa"/>
            <w:vAlign w:val="bottom"/>
            <w:tcBorders>
              <w:left w:val="single" w:sz="8" w:color="auto"/>
              <w:bottom w:val="single" w:sz="8" w:color="auto"/>
            </w:tcBorders>
          </w:tcPr>
          <w:p>
            <w:pPr>
              <w:jc w:val="right"/>
              <w:ind w:right="24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(27,854)</w:t>
            </w:r>
          </w:p>
        </w:tc>
      </w:tr>
      <w:tr>
        <w:trPr>
          <w:trHeight w:val="181"/>
        </w:trPr>
        <w:tc>
          <w:tcPr>
            <w:tcW w:w="20" w:type="dxa"/>
            <w:vAlign w:val="bottom"/>
          </w:tcPr>
          <w:p>
            <w:pPr>
              <w:spacing w:after="0"/>
              <w:rPr>
                <w:sz w:val="15"/>
                <w:szCs w:val="15"/>
                <w:color w:val="auto"/>
              </w:rPr>
            </w:pPr>
          </w:p>
        </w:tc>
        <w:tc>
          <w:tcPr>
            <w:tcW w:w="248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 of sales</w:t>
            </w:r>
          </w:p>
        </w:tc>
        <w:tc>
          <w:tcPr>
            <w:tcW w:w="126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FF0FC"/>
          </w:tcPr>
          <w:p>
            <w:pPr>
              <w:spacing w:after="0"/>
              <w:rPr>
                <w:sz w:val="15"/>
                <w:szCs w:val="15"/>
                <w:color w:val="auto"/>
              </w:rPr>
            </w:pPr>
          </w:p>
        </w:tc>
        <w:tc>
          <w:tcPr>
            <w:tcW w:w="2400" w:type="dxa"/>
            <w:vAlign w:val="bottom"/>
            <w:tcBorders>
              <w:right w:val="single" w:sz="8" w:color="CFF0FC"/>
            </w:tcBorders>
            <w:shd w:val="clear" w:color="auto" w:fill="CFF0FC"/>
          </w:tcPr>
          <w:p>
            <w:pPr>
              <w:spacing w:after="0"/>
              <w:rPr>
                <w:sz w:val="15"/>
                <w:szCs w:val="15"/>
                <w:color w:val="auto"/>
              </w:rPr>
            </w:pPr>
          </w:p>
        </w:tc>
        <w:tc>
          <w:tcPr>
            <w:tcW w:w="380" w:type="dxa"/>
            <w:vAlign w:val="bottom"/>
            <w:tcBorders>
              <w:left w:val="single" w:sz="8" w:color="auto"/>
            </w:tcBorders>
            <w:shd w:val="clear" w:color="auto" w:fill="CFF0FC"/>
          </w:tcPr>
          <w:p>
            <w:pPr>
              <w:spacing w:after="0"/>
              <w:rPr>
                <w:sz w:val="15"/>
                <w:szCs w:val="15"/>
                <w:color w:val="auto"/>
              </w:rPr>
            </w:pPr>
          </w:p>
        </w:tc>
        <w:tc>
          <w:tcPr>
            <w:tcW w:w="2220" w:type="dxa"/>
            <w:vAlign w:val="bottom"/>
            <w:tcBorders>
              <w:right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-5.9%</w:t>
            </w:r>
          </w:p>
        </w:tc>
      </w:tr>
      <w:tr>
        <w:trPr>
          <w:trHeight w:val="378"/>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13,393</w:t>
            </w:r>
          </w:p>
        </w:tc>
      </w:tr>
      <w:tr>
        <w:trPr>
          <w:trHeight w:val="181"/>
        </w:trPr>
        <w:tc>
          <w:tcPr>
            <w:tcW w:w="20" w:type="dxa"/>
            <w:vAlign w:val="bottom"/>
          </w:tcPr>
          <w:p>
            <w:pPr>
              <w:spacing w:after="0"/>
              <w:rPr>
                <w:sz w:val="15"/>
                <w:szCs w:val="15"/>
                <w:color w:val="auto"/>
              </w:rPr>
            </w:pPr>
          </w:p>
        </w:tc>
        <w:tc>
          <w:tcPr>
            <w:tcW w:w="5560" w:type="dxa"/>
            <w:vAlign w:val="bottom"/>
            <w:tcBorders>
              <w:top w:val="single" w:sz="8" w:color="auto"/>
              <w:bottom w:val="single" w:sz="8" w:color="auto"/>
            </w:tcBorders>
            <w:gridSpan w:val="3"/>
            <w:shd w:val="clear" w:color="auto" w:fill="CFF0FC"/>
          </w:tcPr>
          <w:p>
            <w:pPr>
              <w:spacing w:after="0" w:line="181" w:lineRule="exact"/>
              <w:rPr>
                <w:sz w:val="20"/>
                <w:szCs w:val="20"/>
                <w:color w:val="auto"/>
              </w:rPr>
            </w:pPr>
            <w:r>
              <w:rPr>
                <w:rFonts w:ascii="Times New Roman" w:cs="Times New Roman" w:eastAsia="Times New Roman" w:hAnsi="Times New Roman"/>
                <w:sz w:val="15"/>
                <w:szCs w:val="15"/>
                <w:color w:val="auto"/>
              </w:rPr>
              <w:t>Adjusted loss before interest, taxes, depreciation and amortization ("EBITDA")</w:t>
            </w:r>
            <w:r>
              <w:rPr>
                <w:rFonts w:ascii="Times New Roman" w:cs="Times New Roman" w:eastAsia="Times New Roman" w:hAnsi="Times New Roman"/>
                <w:sz w:val="20"/>
                <w:szCs w:val="20"/>
                <w:color w:val="auto"/>
                <w:vertAlign w:val="superscript"/>
              </w:rPr>
              <w:t>(1)</w:t>
            </w:r>
          </w:p>
        </w:tc>
        <w:tc>
          <w:tcPr>
            <w:tcW w:w="580" w:type="dxa"/>
            <w:vAlign w:val="bottom"/>
            <w:tcBorders>
              <w:top w:val="single" w:sz="8" w:color="auto"/>
              <w:bottom w:val="single" w:sz="8" w:color="auto"/>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2400" w:type="dxa"/>
            <w:vAlign w:val="bottom"/>
            <w:tcBorders>
              <w:top w:val="single" w:sz="8" w:color="auto"/>
              <w:bottom w:val="single" w:sz="8" w:color="auto"/>
              <w:right w:val="single" w:sz="8" w:color="CFF0FC"/>
            </w:tcBorders>
            <w:shd w:val="clear" w:color="auto" w:fill="CFF0FC"/>
          </w:tcPr>
          <w:p>
            <w:pPr>
              <w:spacing w:after="0"/>
              <w:rPr>
                <w:sz w:val="15"/>
                <w:szCs w:val="15"/>
                <w:color w:val="auto"/>
              </w:rPr>
            </w:pPr>
          </w:p>
        </w:tc>
        <w:tc>
          <w:tcPr>
            <w:tcW w:w="380" w:type="dxa"/>
            <w:vAlign w:val="bottom"/>
            <w:tcBorders>
              <w:top w:val="single" w:sz="8" w:color="auto"/>
              <w:left w:val="single" w:sz="8" w:color="auto"/>
              <w:bottom w:val="single" w:sz="8" w:color="auto"/>
            </w:tcBorders>
            <w:shd w:val="clear" w:color="auto" w:fill="CFF0FC"/>
          </w:tcPr>
          <w:p>
            <w:pPr>
              <w:jc w:val="right"/>
              <w:ind w:right="24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220" w:type="dxa"/>
            <w:vAlign w:val="bottom"/>
            <w:tcBorders>
              <w:top w:val="single" w:sz="8" w:color="auto"/>
              <w:bottom w:val="single" w:sz="8" w:color="auto"/>
              <w:right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(14,461)</w:t>
            </w:r>
          </w:p>
        </w:tc>
      </w:tr>
      <w:tr>
        <w:trPr>
          <w:trHeight w:val="181"/>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 of sales</w:t>
            </w:r>
          </w:p>
        </w:tc>
        <w:tc>
          <w:tcPr>
            <w:tcW w:w="1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80" w:type="dxa"/>
            <w:vAlign w:val="bottom"/>
            <w:tcBorders>
              <w:left w:val="single" w:sz="8" w:color="auto"/>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-3.1%</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Excludes "Other components of net periodic benefit cost" line item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2792730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6" w:name="page17"/>
    <w:bookmarkEnd w:id="16"/>
    <w:p>
      <w:pPr>
        <w:ind w:left="10500"/>
        <w:spacing w:after="0"/>
        <w:rPr>
          <w:sz w:val="20"/>
          <w:szCs w:val="20"/>
          <w:color w:val="auto"/>
        </w:rPr>
      </w:pPr>
      <w:r>
        <w:rPr>
          <w:rFonts w:ascii="Times New Roman" w:cs="Times New Roman" w:eastAsia="Times New Roman" w:hAnsi="Times New Roman"/>
          <w:sz w:val="15"/>
          <w:szCs w:val="15"/>
          <w:b w:val="1"/>
          <w:bCs w:val="1"/>
          <w:color w:val="auto"/>
        </w:rPr>
        <w:t>Schedule B</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Genesco Inc.</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Adjustments to Reported Gross Margin and Selling and Administrative Expenses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Three Months Ended May 2, 2026 and May 3, 2025</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6"/>
                <w:szCs w:val="16"/>
                <w:b w:val="1"/>
                <w:bCs w:val="1"/>
                <w:color w:val="auto"/>
              </w:rPr>
              <w:t>Quarter 1</w:t>
            </w:r>
          </w:p>
        </w:tc>
        <w:tc>
          <w:tcPr>
            <w:tcW w:w="2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0" w:type="dxa"/>
            <w:vAlign w:val="bottom"/>
          </w:tcPr>
          <w:p>
            <w:pPr>
              <w:spacing w:after="0"/>
              <w:rPr>
                <w:sz w:val="15"/>
                <w:szCs w:val="15"/>
                <w:color w:val="auto"/>
              </w:rPr>
            </w:pPr>
          </w:p>
        </w:tc>
        <w:tc>
          <w:tcPr>
            <w:tcW w:w="2100" w:type="dxa"/>
            <w:vAlign w:val="bottom"/>
          </w:tcPr>
          <w:p>
            <w:pPr>
              <w:jc w:val="right"/>
              <w:ind w:right="861"/>
              <w:spacing w:after="0" w:line="181"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480" w:type="dxa"/>
            <w:vAlign w:val="bottom"/>
          </w:tcPr>
          <w:p>
            <w:pPr>
              <w:spacing w:after="0"/>
              <w:rPr>
                <w:sz w:val="15"/>
                <w:szCs w:val="15"/>
                <w:color w:val="auto"/>
              </w:rPr>
            </w:pPr>
          </w:p>
        </w:tc>
        <w:tc>
          <w:tcPr>
            <w:tcW w:w="2000" w:type="dxa"/>
            <w:vAlign w:val="bottom"/>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rPr>
              <w:t>May 3, 2025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Gross margin, as reported</w:t>
            </w:r>
          </w:p>
        </w:tc>
        <w:tc>
          <w:tcPr>
            <w:tcW w:w="1600" w:type="dxa"/>
            <w:vAlign w:val="bottom"/>
            <w:tcBorders>
              <w:top w:val="single" w:sz="8" w:color="auto"/>
            </w:tcBorders>
            <w:shd w:val="clear" w:color="auto" w:fill="CFF0FC"/>
          </w:tcPr>
          <w:p>
            <w:pPr>
              <w:jc w:val="right"/>
              <w:ind w:right="24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top w:val="single" w:sz="8" w:color="auto"/>
              <w:right w:val="single" w:sz="8" w:color="CFF0FC"/>
            </w:tcBorders>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b w:val="1"/>
                <w:bCs w:val="1"/>
                <w:color w:val="auto"/>
              </w:rPr>
              <w:t>228,919</w:t>
            </w:r>
          </w:p>
        </w:tc>
        <w:tc>
          <w:tcPr>
            <w:tcW w:w="480" w:type="dxa"/>
            <w:vAlign w:val="bottom"/>
            <w:tcBorders>
              <w:top w:val="single" w:sz="8" w:color="auto"/>
              <w:left w:val="single" w:sz="8" w:color="auto"/>
            </w:tcBorders>
            <w:shd w:val="clear" w:color="auto" w:fill="CFF0FC"/>
          </w:tcPr>
          <w:p>
            <w:pPr>
              <w:jc w:val="right"/>
              <w:ind w:right="349"/>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top w:val="single" w:sz="8" w:color="auto"/>
              <w:right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rPr>
              <w:t>221,181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of sales</w:t>
            </w:r>
          </w:p>
        </w:tc>
        <w:tc>
          <w:tcPr>
            <w:tcW w:w="16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47.0%</w:t>
            </w:r>
          </w:p>
        </w:tc>
        <w:tc>
          <w:tcPr>
            <w:tcW w:w="480" w:type="dxa"/>
            <w:vAlign w:val="bottom"/>
            <w:tcBorders>
              <w:left w:val="single" w:sz="8" w:color="auto"/>
            </w:tcBorders>
          </w:tcPr>
          <w:p>
            <w:pPr>
              <w:spacing w:after="0"/>
              <w:rPr>
                <w:sz w:val="18"/>
                <w:szCs w:val="18"/>
                <w:color w:val="auto"/>
              </w:rPr>
            </w:pP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Reversal of inventory write-down related to exit of licenses</w:t>
            </w:r>
          </w:p>
        </w:tc>
        <w:tc>
          <w:tcPr>
            <w:tcW w:w="1600" w:type="dxa"/>
            <w:vAlign w:val="bottom"/>
            <w:tcBorders>
              <w:bottom w:val="single" w:sz="8" w:color="auto"/>
            </w:tcBorders>
            <w:shd w:val="clear" w:color="auto" w:fill="CFF0FC"/>
          </w:tcPr>
          <w:p>
            <w:pPr>
              <w:spacing w:after="0"/>
              <w:rPr>
                <w:sz w:val="16"/>
                <w:szCs w:val="16"/>
                <w:color w:val="auto"/>
              </w:rPr>
            </w:pPr>
          </w:p>
        </w:tc>
        <w:tc>
          <w:tcPr>
            <w:tcW w:w="2100" w:type="dxa"/>
            <w:vAlign w:val="bottom"/>
            <w:tcBorders>
              <w:bottom w:val="single" w:sz="8" w:color="auto"/>
              <w:right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(84)</w:t>
            </w:r>
          </w:p>
        </w:tc>
        <w:tc>
          <w:tcPr>
            <w:tcW w:w="480" w:type="dxa"/>
            <w:vAlign w:val="bottom"/>
            <w:tcBorders>
              <w:left w:val="single" w:sz="8" w:color="auto"/>
              <w:bottom w:val="single" w:sz="8" w:color="auto"/>
            </w:tcBorders>
            <w:shd w:val="clear" w:color="auto" w:fill="CFF0FC"/>
          </w:tcPr>
          <w:p>
            <w:pPr>
              <w:spacing w:after="0"/>
              <w:rPr>
                <w:sz w:val="16"/>
                <w:szCs w:val="16"/>
                <w:color w:val="auto"/>
              </w:rPr>
            </w:pPr>
          </w:p>
        </w:tc>
        <w:tc>
          <w:tcPr>
            <w:tcW w:w="2000" w:type="dxa"/>
            <w:vAlign w:val="bottom"/>
            <w:tcBorders>
              <w:bottom w:val="single" w:sz="8" w:color="auto"/>
              <w:right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Borders>
              <w:bottom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Total adjustments</w:t>
            </w:r>
          </w:p>
        </w:tc>
        <w:tc>
          <w:tcPr>
            <w:tcW w:w="16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b w:val="1"/>
                <w:bCs w:val="1"/>
                <w:color w:val="auto"/>
              </w:rPr>
              <w:t>(84)</w:t>
            </w:r>
          </w:p>
        </w:tc>
        <w:tc>
          <w:tcPr>
            <w:tcW w:w="480" w:type="dxa"/>
            <w:vAlign w:val="bottom"/>
            <w:tcBorders>
              <w:left w:val="single" w:sz="8" w:color="auto"/>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Borders>
              <w:lef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gross margin</w:t>
            </w:r>
          </w:p>
        </w:tc>
        <w:tc>
          <w:tcPr>
            <w:tcW w:w="160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bottom w:val="single" w:sz="8" w:color="auto"/>
              <w:right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228,835</w:t>
            </w:r>
          </w:p>
        </w:tc>
        <w:tc>
          <w:tcPr>
            <w:tcW w:w="480" w:type="dxa"/>
            <w:vAlign w:val="bottom"/>
            <w:tcBorders>
              <w:left w:val="single" w:sz="8" w:color="auto"/>
              <w:bottom w:val="single" w:sz="8" w:color="auto"/>
            </w:tcBorders>
            <w:shd w:val="clear" w:color="auto" w:fill="CFF0FC"/>
          </w:tcPr>
          <w:p>
            <w:pPr>
              <w:jc w:val="right"/>
              <w:ind w:right="349"/>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bottom w:val="single" w:sz="8" w:color="auto"/>
              <w:right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221,181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bottom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 of sales</w:t>
            </w:r>
          </w:p>
        </w:tc>
        <w:tc>
          <w:tcPr>
            <w:tcW w:w="16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47.0%</w:t>
            </w:r>
          </w:p>
        </w:tc>
        <w:tc>
          <w:tcPr>
            <w:tcW w:w="480" w:type="dxa"/>
            <w:vAlign w:val="bottom"/>
            <w:tcBorders>
              <w:left w:val="single" w:sz="8" w:color="auto"/>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right"/>
              <w:ind w:right="229"/>
              <w:spacing w:after="0"/>
              <w:rPr>
                <w:sz w:val="20"/>
                <w:szCs w:val="20"/>
                <w:color w:val="auto"/>
              </w:rPr>
            </w:pPr>
            <w:r>
              <w:rPr>
                <w:rFonts w:ascii="Times New Roman" w:cs="Times New Roman" w:eastAsia="Times New Roman" w:hAnsi="Times New Roman"/>
                <w:sz w:val="16"/>
                <w:szCs w:val="16"/>
                <w:b w:val="1"/>
                <w:bCs w:val="1"/>
                <w:color w:val="auto"/>
              </w:rPr>
              <w:t>Quarter 1</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 Thousands</w:t>
            </w:r>
          </w:p>
        </w:tc>
        <w:tc>
          <w:tcPr>
            <w:tcW w:w="1600" w:type="dxa"/>
            <w:vAlign w:val="bottom"/>
          </w:tcPr>
          <w:p>
            <w:pPr>
              <w:spacing w:after="0"/>
              <w:rPr>
                <w:sz w:val="15"/>
                <w:szCs w:val="15"/>
                <w:color w:val="auto"/>
              </w:rPr>
            </w:pPr>
          </w:p>
        </w:tc>
        <w:tc>
          <w:tcPr>
            <w:tcW w:w="2100" w:type="dxa"/>
            <w:vAlign w:val="bottom"/>
          </w:tcPr>
          <w:p>
            <w:pPr>
              <w:jc w:val="right"/>
              <w:ind w:right="901"/>
              <w:spacing w:after="0" w:line="181" w:lineRule="exact"/>
              <w:rPr>
                <w:sz w:val="20"/>
                <w:szCs w:val="20"/>
                <w:color w:val="auto"/>
              </w:rPr>
            </w:pPr>
            <w:r>
              <w:rPr>
                <w:rFonts w:ascii="Times New Roman" w:cs="Times New Roman" w:eastAsia="Times New Roman" w:hAnsi="Times New Roman"/>
                <w:sz w:val="16"/>
                <w:szCs w:val="16"/>
                <w:b w:val="1"/>
                <w:bCs w:val="1"/>
                <w:color w:val="auto"/>
              </w:rPr>
              <w:t>May 2, 2026</w:t>
            </w:r>
          </w:p>
        </w:tc>
        <w:tc>
          <w:tcPr>
            <w:tcW w:w="480" w:type="dxa"/>
            <w:vAlign w:val="bottom"/>
          </w:tcPr>
          <w:p>
            <w:pPr>
              <w:spacing w:after="0"/>
              <w:rPr>
                <w:sz w:val="15"/>
                <w:szCs w:val="15"/>
                <w:color w:val="auto"/>
              </w:rPr>
            </w:pPr>
          </w:p>
        </w:tc>
        <w:tc>
          <w:tcPr>
            <w:tcW w:w="2000" w:type="dxa"/>
            <w:vAlign w:val="bottom"/>
          </w:tcPr>
          <w:p>
            <w:pPr>
              <w:jc w:val="right"/>
              <w:ind w:right="861"/>
              <w:spacing w:after="0" w:line="181" w:lineRule="exact"/>
              <w:rPr>
                <w:sz w:val="20"/>
                <w:szCs w:val="20"/>
                <w:color w:val="auto"/>
              </w:rPr>
            </w:pPr>
            <w:r>
              <w:rPr>
                <w:rFonts w:ascii="Times New Roman" w:cs="Times New Roman" w:eastAsia="Times New Roman" w:hAnsi="Times New Roman"/>
                <w:sz w:val="16"/>
                <w:szCs w:val="16"/>
                <w:color w:val="auto"/>
              </w:rPr>
              <w:t>May 3, 2025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Borders>
              <w:top w:val="single" w:sz="8" w:color="auto"/>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Selling and administrative expenses, as reported</w:t>
            </w:r>
          </w:p>
        </w:tc>
        <w:tc>
          <w:tcPr>
            <w:tcW w:w="1600" w:type="dxa"/>
            <w:vAlign w:val="bottom"/>
            <w:tcBorders>
              <w:top w:val="single" w:sz="8" w:color="auto"/>
            </w:tcBorders>
            <w:shd w:val="clear" w:color="auto" w:fill="CFF0FC"/>
          </w:tcPr>
          <w:p>
            <w:pPr>
              <w:jc w:val="right"/>
              <w:ind w:right="301"/>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top w:val="single" w:sz="8" w:color="auto"/>
              <w:right w:val="single" w:sz="8" w:color="auto"/>
            </w:tcBorders>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b w:val="1"/>
                <w:bCs w:val="1"/>
                <w:color w:val="auto"/>
              </w:rPr>
              <w:t>254,403</w:t>
            </w:r>
          </w:p>
        </w:tc>
        <w:tc>
          <w:tcPr>
            <w:tcW w:w="480" w:type="dxa"/>
            <w:vAlign w:val="bottom"/>
            <w:tcBorders>
              <w:top w:val="single" w:sz="8" w:color="auto"/>
              <w:left w:val="single" w:sz="8" w:color="CFF0FC"/>
            </w:tcBorders>
            <w:shd w:val="clear" w:color="auto" w:fill="CFF0FC"/>
          </w:tcPr>
          <w:p>
            <w:pPr>
              <w:jc w:val="right"/>
              <w:ind w:right="389"/>
              <w:spacing w:after="0"/>
              <w:rPr>
                <w:sz w:val="20"/>
                <w:szCs w:val="20"/>
                <w:color w:val="auto"/>
              </w:rPr>
            </w:pPr>
            <w:r>
              <w:rPr>
                <w:rFonts w:ascii="Times New Roman" w:cs="Times New Roman" w:eastAsia="Times New Roman" w:hAnsi="Times New Roman"/>
                <w:sz w:val="5"/>
                <w:szCs w:val="5"/>
                <w:color w:val="auto"/>
                <w:w w:val="78"/>
              </w:rPr>
              <w:t>$</w:t>
            </w:r>
          </w:p>
        </w:tc>
        <w:tc>
          <w:tcPr>
            <w:tcW w:w="2000" w:type="dxa"/>
            <w:vAlign w:val="bottom"/>
            <w:tcBorders>
              <w:top w:val="single" w:sz="8" w:color="auto"/>
              <w:right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rPr>
              <w:t>249,035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of sales</w:t>
            </w:r>
          </w:p>
        </w:tc>
        <w:tc>
          <w:tcPr>
            <w:tcW w:w="1600" w:type="dxa"/>
            <w:vAlign w:val="bottom"/>
          </w:tcPr>
          <w:p>
            <w:pPr>
              <w:spacing w:after="0"/>
              <w:rPr>
                <w:sz w:val="18"/>
                <w:szCs w:val="18"/>
                <w:color w:val="auto"/>
              </w:rPr>
            </w:pPr>
          </w:p>
        </w:tc>
        <w:tc>
          <w:tcPr>
            <w:tcW w:w="2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52.2%</w:t>
            </w:r>
          </w:p>
        </w:tc>
        <w:tc>
          <w:tcPr>
            <w:tcW w:w="480" w:type="dxa"/>
            <w:vAlign w:val="bottom"/>
          </w:tcPr>
          <w:p>
            <w:pPr>
              <w:spacing w:after="0"/>
              <w:rPr>
                <w:sz w:val="18"/>
                <w:szCs w:val="18"/>
                <w:color w:val="auto"/>
              </w:rPr>
            </w:pP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Costs associated with information technology transformation</w:t>
            </w:r>
          </w:p>
        </w:tc>
        <w:tc>
          <w:tcPr>
            <w:tcW w:w="1600" w:type="dxa"/>
            <w:vAlign w:val="bottom"/>
            <w:tcBorders>
              <w:bottom w:val="single" w:sz="8" w:color="auto"/>
            </w:tcBorders>
            <w:shd w:val="clear" w:color="auto" w:fill="CFF0FC"/>
          </w:tcPr>
          <w:p>
            <w:pPr>
              <w:spacing w:after="0"/>
              <w:rPr>
                <w:sz w:val="16"/>
                <w:szCs w:val="16"/>
                <w:color w:val="auto"/>
              </w:rPr>
            </w:pPr>
          </w:p>
        </w:tc>
        <w:tc>
          <w:tcPr>
            <w:tcW w:w="2100" w:type="dxa"/>
            <w:vAlign w:val="bottom"/>
            <w:tcBorders>
              <w:bottom w:val="single" w:sz="8" w:color="auto"/>
              <w:right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(1,698)</w:t>
            </w:r>
          </w:p>
        </w:tc>
        <w:tc>
          <w:tcPr>
            <w:tcW w:w="480" w:type="dxa"/>
            <w:vAlign w:val="bottom"/>
            <w:tcBorders>
              <w:left w:val="single" w:sz="8" w:color="CFF0FC"/>
              <w:bottom w:val="single" w:sz="8" w:color="auto"/>
            </w:tcBorders>
            <w:shd w:val="clear" w:color="auto" w:fill="CFF0FC"/>
          </w:tcPr>
          <w:p>
            <w:pPr>
              <w:spacing w:after="0"/>
              <w:rPr>
                <w:sz w:val="16"/>
                <w:szCs w:val="16"/>
                <w:color w:val="auto"/>
              </w:rPr>
            </w:pPr>
          </w:p>
        </w:tc>
        <w:tc>
          <w:tcPr>
            <w:tcW w:w="2000" w:type="dxa"/>
            <w:vAlign w:val="bottom"/>
            <w:tcBorders>
              <w:bottom w:val="single" w:sz="8" w:color="auto"/>
              <w:right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60" w:type="dxa"/>
            <w:vAlign w:val="bottom"/>
            <w:tcBorders>
              <w:bottom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Total adjustments</w:t>
            </w:r>
          </w:p>
        </w:tc>
        <w:tc>
          <w:tcPr>
            <w:tcW w:w="1600" w:type="dxa"/>
            <w:vAlign w:val="bottom"/>
            <w:tcBorders>
              <w:bottom w:val="single" w:sz="8" w:color="auto"/>
            </w:tcBorders>
          </w:tcPr>
          <w:p>
            <w:pPr>
              <w:spacing w:after="0"/>
              <w:rPr>
                <w:sz w:val="15"/>
                <w:szCs w:val="15"/>
                <w:color w:val="auto"/>
              </w:rPr>
            </w:pPr>
          </w:p>
        </w:tc>
        <w:tc>
          <w:tcPr>
            <w:tcW w:w="2100" w:type="dxa"/>
            <w:vAlign w:val="bottom"/>
            <w:tcBorders>
              <w:bottom w:val="single" w:sz="8" w:color="auto"/>
              <w:right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b w:val="1"/>
                <w:bCs w:val="1"/>
                <w:color w:val="auto"/>
              </w:rPr>
              <w:t>(1,698)</w:t>
            </w:r>
          </w:p>
        </w:tc>
        <w:tc>
          <w:tcPr>
            <w:tcW w:w="48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selling and administrative expenses</w:t>
            </w:r>
          </w:p>
        </w:tc>
        <w:tc>
          <w:tcPr>
            <w:tcW w:w="1600" w:type="dxa"/>
            <w:vAlign w:val="bottom"/>
            <w:tcBorders>
              <w:bottom w:val="single" w:sz="8" w:color="auto"/>
            </w:tcBorders>
            <w:shd w:val="clear" w:color="auto" w:fill="CFF0FC"/>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w:t>
            </w:r>
          </w:p>
        </w:tc>
        <w:tc>
          <w:tcPr>
            <w:tcW w:w="2100" w:type="dxa"/>
            <w:vAlign w:val="bottom"/>
            <w:tcBorders>
              <w:bottom w:val="single" w:sz="8" w:color="auto"/>
              <w:right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252,705</w:t>
            </w:r>
          </w:p>
        </w:tc>
        <w:tc>
          <w:tcPr>
            <w:tcW w:w="480" w:type="dxa"/>
            <w:vAlign w:val="bottom"/>
            <w:tcBorders>
              <w:left w:val="single" w:sz="8" w:color="CFF0FC"/>
              <w:bottom w:val="single" w:sz="8" w:color="auto"/>
            </w:tcBorders>
            <w:shd w:val="clear" w:color="auto" w:fill="CFF0FC"/>
          </w:tcPr>
          <w:p>
            <w:pPr>
              <w:jc w:val="right"/>
              <w:ind w:right="389"/>
              <w:spacing w:after="0"/>
              <w:rPr>
                <w:sz w:val="20"/>
                <w:szCs w:val="20"/>
                <w:color w:val="auto"/>
              </w:rPr>
            </w:pPr>
            <w:r>
              <w:rPr>
                <w:rFonts w:ascii="Times New Roman" w:cs="Times New Roman" w:eastAsia="Times New Roman" w:hAnsi="Times New Roman"/>
                <w:sz w:val="5"/>
                <w:szCs w:val="5"/>
                <w:color w:val="auto"/>
                <w:w w:val="78"/>
              </w:rPr>
              <w:t>$</w:t>
            </w:r>
          </w:p>
        </w:tc>
        <w:tc>
          <w:tcPr>
            <w:tcW w:w="2000" w:type="dxa"/>
            <w:vAlign w:val="bottom"/>
            <w:tcBorders>
              <w:bottom w:val="single" w:sz="8" w:color="auto"/>
              <w:right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249,035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bottom w:val="single" w:sz="8" w:color="auto"/>
            </w:tcBorders>
          </w:tcPr>
          <w:p>
            <w:pPr>
              <w:ind w:left="60"/>
              <w:spacing w:after="0" w:line="181" w:lineRule="exact"/>
              <w:rPr>
                <w:sz w:val="20"/>
                <w:szCs w:val="20"/>
                <w:color w:val="auto"/>
              </w:rPr>
            </w:pPr>
            <w:r>
              <w:rPr>
                <w:rFonts w:ascii="Times New Roman" w:cs="Times New Roman" w:eastAsia="Times New Roman" w:hAnsi="Times New Roman"/>
                <w:sz w:val="16"/>
                <w:szCs w:val="16"/>
                <w:color w:val="auto"/>
              </w:rPr>
              <w:t>% of sales</w:t>
            </w:r>
          </w:p>
        </w:tc>
        <w:tc>
          <w:tcPr>
            <w:tcW w:w="1600" w:type="dxa"/>
            <w:vAlign w:val="bottom"/>
            <w:tcBorders>
              <w:bottom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51.9%</w:t>
            </w:r>
          </w:p>
        </w:tc>
        <w:tc>
          <w:tcPr>
            <w:tcW w:w="48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234"/>
        </w:trPr>
        <w:tc>
          <w:tcPr>
            <w:tcW w:w="20" w:type="dxa"/>
            <w:vAlign w:val="bottom"/>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56" w:right="319" w:bottom="1440" w:gutter="0" w:footer="0" w:header="0"/>
        </w:sectPr>
      </w:pPr>
    </w:p>
    <w:bookmarkStart w:id="17" w:name="page18"/>
    <w:bookmarkEnd w:id="17"/>
    <w:p>
      <w:pPr>
        <w:ind w:left="10505"/>
        <w:spacing w:after="0"/>
        <w:rPr>
          <w:sz w:val="20"/>
          <w:szCs w:val="20"/>
          <w:color w:val="auto"/>
        </w:rPr>
      </w:pPr>
      <w:r>
        <w:rPr>
          <w:rFonts w:ascii="Times New Roman" w:cs="Times New Roman" w:eastAsia="Times New Roman" w:hAnsi="Times New Roman"/>
          <w:sz w:val="15"/>
          <w:szCs w:val="15"/>
          <w:b w:val="1"/>
          <w:bCs w:val="1"/>
          <w:color w:val="auto"/>
        </w:rPr>
        <w:t>Schedule B</w:t>
      </w:r>
    </w:p>
    <w:p>
      <w:pPr>
        <w:spacing w:after="0" w:line="20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Genesco Inc.</w:t>
      </w:r>
    </w:p>
    <w:p>
      <w:pPr>
        <w:spacing w:after="0" w:line="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Adjustments to Forecasted Earnings from Continuing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Fiscal Year Ending January 30, 2027</w:t>
      </w:r>
    </w:p>
    <w:p>
      <w:pPr>
        <w:spacing w:after="0" w:line="200" w:lineRule="exact"/>
        <w:rPr>
          <w:sz w:val="20"/>
          <w:szCs w:val="20"/>
          <w:color w:val="auto"/>
        </w:rPr>
      </w:pPr>
    </w:p>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millions (except per share amounts)</w:t>
            </w:r>
          </w:p>
        </w:tc>
        <w:tc>
          <w:tcPr>
            <w:tcW w:w="140" w:type="dxa"/>
            <w:vAlign w:val="bottom"/>
          </w:tcPr>
          <w:p>
            <w:pPr>
              <w:spacing w:after="0"/>
              <w:rPr>
                <w:sz w:val="16"/>
                <w:szCs w:val="16"/>
                <w:color w:val="auto"/>
              </w:rPr>
            </w:pPr>
          </w:p>
        </w:tc>
        <w:tc>
          <w:tcPr>
            <w:tcW w:w="2620" w:type="dxa"/>
            <w:vAlign w:val="bottom"/>
            <w:gridSpan w:val="3"/>
          </w:tcPr>
          <w:p>
            <w:pPr>
              <w:jc w:val="right"/>
              <w:ind w:right="901"/>
              <w:spacing w:after="0"/>
              <w:rPr>
                <w:sz w:val="20"/>
                <w:szCs w:val="20"/>
                <w:color w:val="auto"/>
              </w:rPr>
            </w:pPr>
            <w:r>
              <w:rPr>
                <w:rFonts w:ascii="Times New Roman" w:cs="Times New Roman" w:eastAsia="Times New Roman" w:hAnsi="Times New Roman"/>
                <w:sz w:val="16"/>
                <w:szCs w:val="16"/>
                <w:color w:val="auto"/>
              </w:rPr>
              <w:t>High Guidance</w:t>
            </w:r>
          </w:p>
        </w:tc>
        <w:tc>
          <w:tcPr>
            <w:tcW w:w="300" w:type="dxa"/>
            <w:vAlign w:val="bottom"/>
          </w:tcPr>
          <w:p>
            <w:pPr>
              <w:spacing w:after="0"/>
              <w:rPr>
                <w:sz w:val="16"/>
                <w:szCs w:val="16"/>
                <w:color w:val="auto"/>
              </w:rPr>
            </w:pPr>
          </w:p>
        </w:tc>
        <w:tc>
          <w:tcPr>
            <w:tcW w:w="2580" w:type="dxa"/>
            <w:vAlign w:val="bottom"/>
            <w:gridSpan w:val="3"/>
          </w:tcPr>
          <w:p>
            <w:pPr>
              <w:jc w:val="right"/>
              <w:ind w:right="901"/>
              <w:spacing w:after="0"/>
              <w:rPr>
                <w:sz w:val="20"/>
                <w:szCs w:val="20"/>
                <w:color w:val="auto"/>
              </w:rPr>
            </w:pPr>
            <w:r>
              <w:rPr>
                <w:rFonts w:ascii="Times New Roman" w:cs="Times New Roman" w:eastAsia="Times New Roman" w:hAnsi="Times New Roman"/>
                <w:sz w:val="16"/>
                <w:szCs w:val="16"/>
                <w:color w:val="auto"/>
              </w:rPr>
              <w:t>Low Guidance</w:t>
            </w:r>
          </w:p>
        </w:tc>
      </w:tr>
      <w:tr>
        <w:trPr>
          <w:trHeight w:val="206"/>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Fiscal 2027</w:t>
            </w: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Fiscal 2027</w:t>
            </w:r>
          </w:p>
        </w:tc>
        <w:tc>
          <w:tcPr>
            <w:tcW w:w="1040" w:type="dxa"/>
            <w:vAlign w:val="bottom"/>
            <w:tcBorders>
              <w:bottom w:val="single" w:sz="8" w:color="auto"/>
            </w:tcBorders>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1"/>
              <w:spacing w:after="0" w:line="181" w:lineRule="exact"/>
              <w:rPr>
                <w:sz w:val="20"/>
                <w:szCs w:val="20"/>
                <w:color w:val="auto"/>
              </w:rPr>
            </w:pPr>
            <w:r>
              <w:rPr>
                <w:rFonts w:ascii="Times New Roman" w:cs="Times New Roman" w:eastAsia="Times New Roman" w:hAnsi="Times New Roman"/>
                <w:sz w:val="16"/>
                <w:szCs w:val="16"/>
                <w:color w:val="auto"/>
              </w:rPr>
              <w:t>Net of Tax</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1"/>
              <w:spacing w:after="0" w:line="181" w:lineRule="exact"/>
              <w:rPr>
                <w:sz w:val="20"/>
                <w:szCs w:val="20"/>
                <w:color w:val="auto"/>
              </w:rPr>
            </w:pPr>
            <w:r>
              <w:rPr>
                <w:rFonts w:ascii="Times New Roman" w:cs="Times New Roman" w:eastAsia="Times New Roman" w:hAnsi="Times New Roman"/>
                <w:sz w:val="16"/>
                <w:szCs w:val="16"/>
                <w:color w:val="auto"/>
              </w:rPr>
              <w:t>Per Share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Net of Tax</w:t>
            </w: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1"/>
              <w:spacing w:after="0" w:line="181" w:lineRule="exact"/>
              <w:rPr>
                <w:sz w:val="20"/>
                <w:szCs w:val="20"/>
                <w:color w:val="auto"/>
              </w:rPr>
            </w:pPr>
            <w:r>
              <w:rPr>
                <w:rFonts w:ascii="Times New Roman" w:cs="Times New Roman" w:eastAsia="Times New Roman" w:hAnsi="Times New Roman"/>
                <w:sz w:val="16"/>
                <w:szCs w:val="16"/>
                <w:color w:val="auto"/>
                <w:w w:val="93"/>
              </w:rPr>
              <w:t>Per Share</w:t>
            </w:r>
          </w:p>
        </w:tc>
      </w:tr>
      <w:tr>
        <w:trPr>
          <w:trHeight w:val="181"/>
        </w:trPr>
        <w:tc>
          <w:tcPr>
            <w:tcW w:w="20" w:type="dxa"/>
            <w:vAlign w:val="bottom"/>
          </w:tcPr>
          <w:p>
            <w:pPr>
              <w:spacing w:after="0"/>
              <w:rPr>
                <w:sz w:val="15"/>
                <w:szCs w:val="15"/>
                <w:color w:val="auto"/>
              </w:rPr>
            </w:pPr>
          </w:p>
        </w:tc>
        <w:tc>
          <w:tcPr>
            <w:tcW w:w="56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Forecasted earnings from continuing operations</w:t>
            </w:r>
          </w:p>
        </w:tc>
        <w:tc>
          <w:tcPr>
            <w:tcW w:w="14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right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29.8</w:t>
            </w:r>
          </w:p>
        </w:tc>
        <w:tc>
          <w:tcPr>
            <w:tcW w:w="46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2.75</w:t>
            </w:r>
          </w:p>
        </w:tc>
        <w:tc>
          <w:tcPr>
            <w:tcW w:w="3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right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25.1</w:t>
            </w:r>
          </w:p>
        </w:tc>
        <w:tc>
          <w:tcPr>
            <w:tcW w:w="480" w:type="dxa"/>
            <w:vAlign w:val="bottom"/>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2.32</w:t>
            </w: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Asset impairments and other adjustments:</w:t>
            </w:r>
          </w:p>
        </w:tc>
        <w:tc>
          <w:tcPr>
            <w:tcW w:w="14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impairments and other matters</w:t>
            </w:r>
          </w:p>
        </w:tc>
        <w:tc>
          <w:tcPr>
            <w:tcW w:w="140" w:type="dxa"/>
            <w:vAlign w:val="bottom"/>
            <w:shd w:val="clear" w:color="auto" w:fill="CFF0FC"/>
          </w:tcPr>
          <w:p>
            <w:pPr>
              <w:spacing w:after="0"/>
              <w:rPr>
                <w:sz w:val="16"/>
                <w:szCs w:val="16"/>
                <w:color w:val="auto"/>
              </w:rPr>
            </w:pPr>
          </w:p>
        </w:tc>
        <w:tc>
          <w:tcPr>
            <w:tcW w:w="1100" w:type="dxa"/>
            <w:vAlign w:val="bottom"/>
            <w:tcBorders>
              <w:right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5.6</w:t>
            </w:r>
          </w:p>
        </w:tc>
        <w:tc>
          <w:tcPr>
            <w:tcW w:w="460" w:type="dxa"/>
            <w:vAlign w:val="bottom"/>
            <w:shd w:val="clear" w:color="auto" w:fill="CFF0FC"/>
          </w:tcPr>
          <w:p>
            <w:pPr>
              <w:spacing w:after="0"/>
              <w:rPr>
                <w:sz w:val="16"/>
                <w:szCs w:val="16"/>
                <w:color w:val="auto"/>
              </w:rPr>
            </w:pPr>
          </w:p>
        </w:tc>
        <w:tc>
          <w:tcPr>
            <w:tcW w:w="1060" w:type="dxa"/>
            <w:vAlign w:val="bottom"/>
            <w:tcBorders>
              <w:right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0.52</w:t>
            </w:r>
          </w:p>
        </w:tc>
        <w:tc>
          <w:tcPr>
            <w:tcW w:w="300" w:type="dxa"/>
            <w:vAlign w:val="bottom"/>
            <w:shd w:val="clear" w:color="auto" w:fill="CFF0FC"/>
          </w:tcPr>
          <w:p>
            <w:pPr>
              <w:spacing w:after="0"/>
              <w:rPr>
                <w:sz w:val="16"/>
                <w:szCs w:val="16"/>
                <w:color w:val="auto"/>
              </w:rPr>
            </w:pPr>
          </w:p>
        </w:tc>
        <w:tc>
          <w:tcPr>
            <w:tcW w:w="1060" w:type="dxa"/>
            <w:vAlign w:val="bottom"/>
            <w:tcBorders>
              <w:right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6.0</w:t>
            </w:r>
          </w:p>
        </w:tc>
        <w:tc>
          <w:tcPr>
            <w:tcW w:w="4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0.55</w:t>
            </w:r>
          </w:p>
        </w:tc>
      </w:tr>
      <w:tr>
        <w:trPr>
          <w:trHeight w:val="189"/>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Gain related to payment card interchange fee litigation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181"/>
        </w:trPr>
        <w:tc>
          <w:tcPr>
            <w:tcW w:w="20" w:type="dxa"/>
            <w:vAlign w:val="bottom"/>
          </w:tcPr>
          <w:p>
            <w:pPr>
              <w:spacing w:after="0"/>
              <w:rPr>
                <w:sz w:val="15"/>
                <w:szCs w:val="15"/>
                <w:color w:val="auto"/>
              </w:rPr>
            </w:pPr>
          </w:p>
        </w:tc>
        <w:tc>
          <w:tcPr>
            <w:tcW w:w="560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5"/>
                <w:szCs w:val="15"/>
                <w:color w:val="auto"/>
              </w:rPr>
              <w:t xml:space="preserve">Total asset impairments and other adjustments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right w:val="single" w:sz="8" w:color="auto"/>
            </w:tcBorders>
            <w:shd w:val="clear" w:color="auto" w:fill="CFF0FC"/>
          </w:tcPr>
          <w:p>
            <w:pPr>
              <w:jc w:val="right"/>
              <w:ind w:right="1"/>
              <w:spacing w:after="0" w:line="181" w:lineRule="exact"/>
              <w:rPr>
                <w:sz w:val="20"/>
                <w:szCs w:val="20"/>
                <w:color w:val="auto"/>
              </w:rPr>
            </w:pPr>
            <w:r>
              <w:rPr>
                <w:rFonts w:ascii="Times New Roman" w:cs="Times New Roman" w:eastAsia="Times New Roman" w:hAnsi="Times New Roman"/>
                <w:sz w:val="16"/>
                <w:szCs w:val="16"/>
                <w:color w:val="auto"/>
              </w:rPr>
              <w:t>(3.8)</w:t>
            </w:r>
          </w:p>
        </w:tc>
        <w:tc>
          <w:tcPr>
            <w:tcW w:w="4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(0.35)</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right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w:t>
            </w:r>
          </w:p>
        </w:tc>
        <w:tc>
          <w:tcPr>
            <w:tcW w:w="4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(0.32)</w:t>
            </w:r>
          </w:p>
        </w:tc>
      </w:tr>
      <w:tr>
        <w:trPr>
          <w:trHeight w:val="181"/>
        </w:trPr>
        <w:tc>
          <w:tcPr>
            <w:tcW w:w="20" w:type="dxa"/>
            <w:vAlign w:val="bottom"/>
          </w:tcPr>
          <w:p>
            <w:pPr>
              <w:spacing w:after="0"/>
              <w:rPr>
                <w:sz w:val="15"/>
                <w:szCs w:val="15"/>
                <w:color w:val="auto"/>
              </w:rPr>
            </w:pPr>
          </w:p>
        </w:tc>
        <w:tc>
          <w:tcPr>
            <w:tcW w:w="5600" w:type="dxa"/>
            <w:vAlign w:val="bottom"/>
          </w:tcPr>
          <w:p>
            <w:pPr>
              <w:spacing w:after="0" w:line="181" w:lineRule="exact"/>
              <w:rPr>
                <w:sz w:val="20"/>
                <w:szCs w:val="20"/>
                <w:color w:val="auto"/>
              </w:rPr>
            </w:pPr>
            <w:r>
              <w:rPr>
                <w:rFonts w:ascii="Times New Roman" w:cs="Times New Roman" w:eastAsia="Times New Roman" w:hAnsi="Times New Roman"/>
                <w:sz w:val="15"/>
                <w:szCs w:val="15"/>
                <w:color w:val="auto"/>
              </w:rPr>
              <w:t xml:space="preserve">Adjusted forecasted earnings from continuing operations </w:t>
            </w:r>
            <w:r>
              <w:rPr>
                <w:rFonts w:ascii="Times New Roman" w:cs="Times New Roman" w:eastAsia="Times New Roman" w:hAnsi="Times New Roman"/>
                <w:sz w:val="20"/>
                <w:szCs w:val="20"/>
                <w:color w:val="auto"/>
                <w:vertAlign w:val="superscript"/>
              </w:rPr>
              <w:t>(2)</w:t>
            </w:r>
          </w:p>
        </w:tc>
        <w:tc>
          <w:tcPr>
            <w:tcW w:w="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right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26.0</w:t>
            </w:r>
          </w:p>
        </w:tc>
        <w:tc>
          <w:tcPr>
            <w:tcW w:w="460" w:type="dxa"/>
            <w:vAlign w:val="bottom"/>
            <w:tcBorders>
              <w:bottom w:val="single" w:sz="8" w:color="auto"/>
            </w:tcBorders>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2.40</w:t>
            </w:r>
          </w:p>
        </w:tc>
        <w:tc>
          <w:tcPr>
            <w:tcW w:w="3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right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21.7</w:t>
            </w:r>
          </w:p>
        </w:tc>
        <w:tc>
          <w:tcPr>
            <w:tcW w:w="480" w:type="dxa"/>
            <w:vAlign w:val="bottom"/>
            <w:tcBorders>
              <w:bottom w:val="single" w:sz="8" w:color="auto"/>
            </w:tcBorders>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2.00</w:t>
            </w:r>
          </w:p>
        </w:tc>
      </w:tr>
    </w:tbl>
    <w:p>
      <w:pPr>
        <w:spacing w:after="0" w:line="173" w:lineRule="exact"/>
        <w:rPr>
          <w:sz w:val="20"/>
          <w:szCs w:val="20"/>
          <w:color w:val="auto"/>
        </w:rPr>
      </w:pPr>
    </w:p>
    <w:p>
      <w:pPr>
        <w:ind w:left="365" w:right="420" w:hanging="365"/>
        <w:spacing w:after="0" w:line="223" w:lineRule="auto"/>
        <w:tabs>
          <w:tab w:leader="none" w:pos="36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adjustments are net of tax where applicable. The forecasted tax rate for Fiscal 2027 is approximately 30%. Due to the valuation allowance, the tax rate for the first quarter was 6.9% and quarters 2 and 3 will be in the range of approximately 7% to 8%.</w:t>
      </w:r>
    </w:p>
    <w:p>
      <w:pPr>
        <w:ind w:left="365" w:hanging="365"/>
        <w:spacing w:after="0" w:line="188" w:lineRule="auto"/>
        <w:tabs>
          <w:tab w:leader="none" w:pos="36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EPS reflects 10.9 million share count for Fiscal 2027 which includes common stock equivalents.</w:t>
      </w:r>
    </w:p>
    <w:p>
      <w:pPr>
        <w:spacing w:after="0" w:line="172" w:lineRule="exact"/>
        <w:rPr>
          <w:sz w:val="20"/>
          <w:szCs w:val="20"/>
          <w:color w:val="auto"/>
        </w:rPr>
      </w:pPr>
    </w:p>
    <w:p>
      <w:pPr>
        <w:ind w:left="5" w:right="240"/>
        <w:spacing w:after="0" w:line="310" w:lineRule="auto"/>
        <w:rPr>
          <w:sz w:val="20"/>
          <w:szCs w:val="20"/>
          <w:color w:val="auto"/>
        </w:rPr>
      </w:pPr>
      <w:r>
        <w:rPr>
          <w:rFonts w:ascii="Times New Roman" w:cs="Times New Roman" w:eastAsia="Times New Roman" w:hAnsi="Times New Roman"/>
          <w:sz w:val="15"/>
          <w:szCs w:val="15"/>
          <w:color w:val="auto"/>
        </w:rPr>
        <w:t>This reconciliation reflects estimates and current expectations of future results. Actual results may vary materially from these expectations and estimates, for reasons including those included in the discussion of forward-looking statements elsewhere in this release. The Company disclaims any obligation to update such expectations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495935</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6" w:right="31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615"/>
    </w:lvl>
  </w:abstractNum>
  <w:abstractNum w:abstractNumId="6">
    <w:nsid w:val="12200854"/>
    <w:multiLevelType w:val="hybridMultilevel"/>
    <w:lvl w:ilvl="0">
      <w:lvlJc w:val="left"/>
      <w:lvlText w:val="(%1)"/>
      <w:numFmt w:val="decimal"/>
      <w:start w:val="615"/>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2026-05-29T06:09:58Z</dcterms:created>
  <dcterms:modified xsi:type="dcterms:W3CDTF">2026-05-29T06:09:58Z</dcterms:modified>
</cp:coreProperties>
</file>