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90170</wp:posOffset>
            </wp:positionV>
            <wp:extent cx="21088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77"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69" w:lineRule="exact"/>
        <w:rPr>
          <w:sz w:val="24"/>
          <w:szCs w:val="24"/>
          <w:color w:val="auto"/>
        </w:rPr>
      </w:pPr>
    </w:p>
    <w:p>
      <w:pPr>
        <w:ind w:left="740" w:hanging="678"/>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ANNUAL REPORT PURSUANT TO SECTION 13 OR 15(d) OF THE SECURITIES EXCHANGE ACT OF 1934</w:t>
      </w:r>
    </w:p>
    <w:p>
      <w:pPr>
        <w:spacing w:after="0" w:line="200" w:lineRule="exact"/>
        <w:rPr>
          <w:sz w:val="24"/>
          <w:szCs w:val="24"/>
          <w:color w:val="auto"/>
        </w:rPr>
      </w:pPr>
    </w:p>
    <w:p>
      <w:pPr>
        <w:spacing w:after="0" w:line="273" w:lineRule="exact"/>
        <w:rPr>
          <w:sz w:val="24"/>
          <w:szCs w:val="24"/>
          <w:color w:val="auto"/>
        </w:rPr>
      </w:pPr>
    </w:p>
    <w:p>
      <w:pPr>
        <w:ind w:left="740" w:hanging="678"/>
        <w:spacing w:after="0"/>
        <w:tabs>
          <w:tab w:leader="none" w:pos="74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00" w:lineRule="exact"/>
        <w:rPr>
          <w:sz w:val="24"/>
          <w:szCs w:val="24"/>
          <w:color w:val="auto"/>
        </w:rPr>
      </w:pPr>
    </w:p>
    <w:p>
      <w:pPr>
        <w:spacing w:after="0" w:line="367" w:lineRule="exact"/>
        <w:rPr>
          <w:sz w:val="24"/>
          <w:szCs w:val="24"/>
          <w:color w:val="auto"/>
        </w:rPr>
      </w:pPr>
    </w:p>
    <w:p>
      <w:pPr>
        <w:ind w:left="800"/>
        <w:spacing w:after="0"/>
        <w:tabs>
          <w:tab w:leader="none" w:pos="33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No. 1-3083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106045</wp:posOffset>
            </wp:positionV>
            <wp:extent cx="21088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Genesco Inc.</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3520" w:type="dxa"/>
            <w:vAlign w:val="bottom"/>
          </w:tcPr>
          <w:p>
            <w:pPr>
              <w:jc w:val="center"/>
              <w:ind w:left="1488"/>
              <w:spacing w:after="0"/>
              <w:rPr>
                <w:sz w:val="20"/>
                <w:szCs w:val="20"/>
                <w:color w:val="auto"/>
              </w:rPr>
            </w:pPr>
            <w:r>
              <w:rPr>
                <w:rFonts w:ascii="Arial" w:cs="Arial" w:eastAsia="Arial" w:hAnsi="Arial"/>
                <w:sz w:val="14"/>
                <w:szCs w:val="14"/>
                <w:b w:val="1"/>
                <w:bCs w:val="1"/>
                <w:color w:val="auto"/>
                <w:w w:val="82"/>
              </w:rPr>
              <w:t>Tennessee</w:t>
            </w:r>
          </w:p>
        </w:tc>
        <w:tc>
          <w:tcPr>
            <w:tcW w:w="3820" w:type="dxa"/>
            <w:vAlign w:val="bottom"/>
          </w:tcPr>
          <w:p>
            <w:pPr>
              <w:spacing w:after="0"/>
              <w:rPr>
                <w:sz w:val="16"/>
                <w:szCs w:val="16"/>
                <w:color w:val="auto"/>
              </w:rPr>
            </w:pPr>
          </w:p>
        </w:tc>
        <w:tc>
          <w:tcPr>
            <w:tcW w:w="2440" w:type="dxa"/>
            <w:vAlign w:val="bottom"/>
          </w:tcPr>
          <w:p>
            <w:pPr>
              <w:jc w:val="center"/>
              <w:ind w:left="248"/>
              <w:spacing w:after="0"/>
              <w:rPr>
                <w:sz w:val="20"/>
                <w:szCs w:val="20"/>
                <w:color w:val="auto"/>
              </w:rPr>
            </w:pPr>
            <w:r>
              <w:rPr>
                <w:rFonts w:ascii="Arial" w:cs="Arial" w:eastAsia="Arial" w:hAnsi="Arial"/>
                <w:sz w:val="14"/>
                <w:szCs w:val="14"/>
                <w:b w:val="1"/>
                <w:bCs w:val="1"/>
                <w:color w:val="auto"/>
                <w:w w:val="90"/>
              </w:rPr>
              <w:t>62-0211340</w:t>
            </w:r>
          </w:p>
        </w:tc>
        <w:tc>
          <w:tcPr>
            <w:tcW w:w="0" w:type="dxa"/>
            <w:vAlign w:val="bottom"/>
          </w:tcPr>
          <w:p>
            <w:pPr>
              <w:spacing w:after="0"/>
              <w:rPr>
                <w:sz w:val="1"/>
                <w:szCs w:val="1"/>
                <w:color w:val="auto"/>
              </w:rPr>
            </w:pPr>
          </w:p>
        </w:tc>
      </w:tr>
      <w:tr>
        <w:trPr>
          <w:trHeight w:val="178"/>
        </w:trPr>
        <w:tc>
          <w:tcPr>
            <w:tcW w:w="3520" w:type="dxa"/>
            <w:vAlign w:val="bottom"/>
          </w:tcPr>
          <w:p>
            <w:pPr>
              <w:jc w:val="center"/>
              <w:ind w:left="1488"/>
              <w:spacing w:after="0"/>
              <w:rPr>
                <w:sz w:val="20"/>
                <w:szCs w:val="20"/>
                <w:color w:val="auto"/>
              </w:rPr>
            </w:pPr>
            <w:r>
              <w:rPr>
                <w:rFonts w:ascii="Arial" w:cs="Arial" w:eastAsia="Arial" w:hAnsi="Arial"/>
                <w:sz w:val="14"/>
                <w:szCs w:val="14"/>
                <w:b w:val="1"/>
                <w:bCs w:val="1"/>
                <w:color w:val="auto"/>
                <w:w w:val="93"/>
              </w:rPr>
              <w:t>(State or other jurisdiction of</w:t>
            </w:r>
          </w:p>
        </w:tc>
        <w:tc>
          <w:tcPr>
            <w:tcW w:w="3820" w:type="dxa"/>
            <w:vAlign w:val="bottom"/>
          </w:tcPr>
          <w:p>
            <w:pPr>
              <w:spacing w:after="0"/>
              <w:rPr>
                <w:sz w:val="15"/>
                <w:szCs w:val="15"/>
                <w:color w:val="auto"/>
              </w:rPr>
            </w:pPr>
          </w:p>
        </w:tc>
        <w:tc>
          <w:tcPr>
            <w:tcW w:w="2440" w:type="dxa"/>
            <w:vAlign w:val="bottom"/>
          </w:tcPr>
          <w:p>
            <w:pPr>
              <w:jc w:val="center"/>
              <w:ind w:left="248"/>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520" w:type="dxa"/>
            <w:vAlign w:val="bottom"/>
          </w:tcPr>
          <w:p>
            <w:pPr>
              <w:jc w:val="center"/>
              <w:ind w:left="1488"/>
              <w:spacing w:after="0"/>
              <w:rPr>
                <w:sz w:val="20"/>
                <w:szCs w:val="20"/>
                <w:color w:val="auto"/>
              </w:rPr>
            </w:pPr>
            <w:r>
              <w:rPr>
                <w:rFonts w:ascii="Arial" w:cs="Arial" w:eastAsia="Arial" w:hAnsi="Arial"/>
                <w:sz w:val="14"/>
                <w:szCs w:val="14"/>
                <w:b w:val="1"/>
                <w:bCs w:val="1"/>
                <w:color w:val="auto"/>
                <w:w w:val="94"/>
              </w:rPr>
              <w:t>incorporation or organization)</w:t>
            </w:r>
          </w:p>
        </w:tc>
        <w:tc>
          <w:tcPr>
            <w:tcW w:w="3820" w:type="dxa"/>
            <w:vAlign w:val="bottom"/>
          </w:tcPr>
          <w:p>
            <w:pPr>
              <w:spacing w:after="0"/>
              <w:rPr>
                <w:sz w:val="16"/>
                <w:szCs w:val="16"/>
                <w:color w:val="auto"/>
              </w:rPr>
            </w:pPr>
          </w:p>
        </w:tc>
        <w:tc>
          <w:tcPr>
            <w:tcW w:w="2440" w:type="dxa"/>
            <w:vAlign w:val="bottom"/>
          </w:tcPr>
          <w:p>
            <w:pPr>
              <w:jc w:val="center"/>
              <w:ind w:left="248"/>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364"/>
        </w:trPr>
        <w:tc>
          <w:tcPr>
            <w:tcW w:w="3520" w:type="dxa"/>
            <w:vAlign w:val="bottom"/>
          </w:tcPr>
          <w:p>
            <w:pPr>
              <w:ind w:left="1040"/>
              <w:spacing w:after="0"/>
              <w:rPr>
                <w:sz w:val="20"/>
                <w:szCs w:val="20"/>
                <w:color w:val="auto"/>
              </w:rPr>
            </w:pPr>
            <w:r>
              <w:rPr>
                <w:rFonts w:ascii="Arial" w:cs="Arial" w:eastAsia="Arial" w:hAnsi="Arial"/>
                <w:sz w:val="14"/>
                <w:szCs w:val="14"/>
                <w:b w:val="1"/>
                <w:bCs w:val="1"/>
                <w:color w:val="auto"/>
              </w:rPr>
              <w:t>Genesco Park,</w:t>
            </w:r>
          </w:p>
        </w:tc>
        <w:tc>
          <w:tcPr>
            <w:tcW w:w="3820" w:type="dxa"/>
            <w:vAlign w:val="bottom"/>
          </w:tcPr>
          <w:p>
            <w:pPr>
              <w:jc w:val="center"/>
              <w:ind w:right="1968"/>
              <w:spacing w:after="0"/>
              <w:rPr>
                <w:sz w:val="20"/>
                <w:szCs w:val="20"/>
                <w:color w:val="auto"/>
              </w:rPr>
            </w:pPr>
            <w:r>
              <w:rPr>
                <w:rFonts w:ascii="Arial" w:cs="Arial" w:eastAsia="Arial" w:hAnsi="Arial"/>
                <w:sz w:val="14"/>
                <w:szCs w:val="14"/>
                <w:b w:val="1"/>
                <w:bCs w:val="1"/>
                <w:color w:val="auto"/>
                <w:w w:val="94"/>
              </w:rPr>
              <w:t>1415 Murfreesboro Pike</w:t>
            </w:r>
          </w:p>
        </w:tc>
        <w:tc>
          <w:tcPr>
            <w:tcW w:w="2440" w:type="dxa"/>
            <w:vAlign w:val="bottom"/>
          </w:tcPr>
          <w:p>
            <w:pPr>
              <w:jc w:val="center"/>
              <w:ind w:left="268"/>
              <w:spacing w:after="0"/>
              <w:rPr>
                <w:sz w:val="20"/>
                <w:szCs w:val="20"/>
                <w:color w:val="auto"/>
              </w:rPr>
            </w:pPr>
            <w:r>
              <w:rPr>
                <w:rFonts w:ascii="Arial" w:cs="Arial" w:eastAsia="Arial" w:hAnsi="Arial"/>
                <w:sz w:val="14"/>
                <w:szCs w:val="14"/>
                <w:b w:val="1"/>
                <w:bCs w:val="1"/>
                <w:color w:val="auto"/>
                <w:w w:val="93"/>
              </w:rPr>
              <w:t>37217-2895</w:t>
            </w:r>
          </w:p>
        </w:tc>
        <w:tc>
          <w:tcPr>
            <w:tcW w:w="0" w:type="dxa"/>
            <w:vAlign w:val="bottom"/>
          </w:tcPr>
          <w:p>
            <w:pPr>
              <w:spacing w:after="0"/>
              <w:rPr>
                <w:sz w:val="1"/>
                <w:szCs w:val="1"/>
                <w:color w:val="auto"/>
              </w:rPr>
            </w:pPr>
          </w:p>
        </w:tc>
      </w:tr>
      <w:tr>
        <w:trPr>
          <w:trHeight w:val="216"/>
        </w:trPr>
        <w:tc>
          <w:tcPr>
            <w:tcW w:w="3520" w:type="dxa"/>
            <w:vAlign w:val="bottom"/>
          </w:tcPr>
          <w:p>
            <w:pPr>
              <w:ind w:left="1200"/>
              <w:spacing w:after="0"/>
              <w:rPr>
                <w:sz w:val="20"/>
                <w:szCs w:val="20"/>
                <w:color w:val="auto"/>
              </w:rPr>
            </w:pPr>
            <w:r>
              <w:rPr>
                <w:rFonts w:ascii="Arial" w:cs="Arial" w:eastAsia="Arial" w:hAnsi="Arial"/>
                <w:sz w:val="14"/>
                <w:szCs w:val="14"/>
                <w:b w:val="1"/>
                <w:bCs w:val="1"/>
                <w:color w:val="auto"/>
              </w:rPr>
              <w:t>Nashville,</w:t>
            </w:r>
          </w:p>
        </w:tc>
        <w:tc>
          <w:tcPr>
            <w:tcW w:w="3820" w:type="dxa"/>
            <w:vAlign w:val="bottom"/>
          </w:tcPr>
          <w:p>
            <w:pPr>
              <w:jc w:val="center"/>
              <w:ind w:right="1968"/>
              <w:spacing w:after="0"/>
              <w:rPr>
                <w:sz w:val="20"/>
                <w:szCs w:val="20"/>
                <w:color w:val="auto"/>
              </w:rPr>
            </w:pPr>
            <w:r>
              <w:rPr>
                <w:rFonts w:ascii="Arial" w:cs="Arial" w:eastAsia="Arial" w:hAnsi="Arial"/>
                <w:sz w:val="14"/>
                <w:szCs w:val="14"/>
                <w:b w:val="1"/>
                <w:bCs w:val="1"/>
                <w:color w:val="auto"/>
                <w:w w:val="85"/>
              </w:rPr>
              <w:t>Tennessee</w:t>
            </w:r>
          </w:p>
        </w:tc>
        <w:tc>
          <w:tcPr>
            <w:tcW w:w="2440" w:type="dxa"/>
            <w:vAlign w:val="bottom"/>
          </w:tcPr>
          <w:p>
            <w:pPr>
              <w:jc w:val="center"/>
              <w:ind w:left="268"/>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16"/>
        </w:trPr>
        <w:tc>
          <w:tcPr>
            <w:tcW w:w="7340" w:type="dxa"/>
            <w:vAlign w:val="bottom"/>
            <w:gridSpan w:val="2"/>
          </w:tcPr>
          <w:p>
            <w:pPr>
              <w:ind w:left="1700"/>
              <w:spacing w:after="0"/>
              <w:rPr>
                <w:sz w:val="20"/>
                <w:szCs w:val="20"/>
                <w:color w:val="auto"/>
              </w:rPr>
            </w:pPr>
            <w:r>
              <w:rPr>
                <w:rFonts w:ascii="Arial" w:cs="Arial" w:eastAsia="Arial" w:hAnsi="Arial"/>
                <w:sz w:val="14"/>
                <w:szCs w:val="14"/>
                <w:b w:val="1"/>
                <w:bCs w:val="1"/>
                <w:color w:val="auto"/>
              </w:rPr>
              <w:t>(Address of principal executive offices)</w:t>
            </w: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3520" w:type="dxa"/>
            <w:vAlign w:val="bottom"/>
          </w:tcPr>
          <w:p>
            <w:pPr>
              <w:spacing w:after="0"/>
              <w:rPr>
                <w:sz w:val="24"/>
                <w:szCs w:val="24"/>
                <w:color w:val="auto"/>
              </w:rPr>
            </w:pPr>
          </w:p>
        </w:tc>
        <w:tc>
          <w:tcPr>
            <w:tcW w:w="6260" w:type="dxa"/>
            <w:vAlign w:val="bottom"/>
            <w:gridSpan w:val="2"/>
          </w:tcPr>
          <w:p>
            <w:pPr>
              <w:jc w:val="center"/>
              <w:ind w:right="1968"/>
              <w:spacing w:after="0"/>
              <w:rPr>
                <w:sz w:val="20"/>
                <w:szCs w:val="20"/>
                <w:color w:val="auto"/>
              </w:rPr>
            </w:pPr>
            <w:r>
              <w:rPr>
                <w:rFonts w:ascii="Arial" w:cs="Arial" w:eastAsia="Arial" w:hAnsi="Arial"/>
                <w:sz w:val="14"/>
                <w:szCs w:val="14"/>
                <w:b w:val="1"/>
                <w:bCs w:val="1"/>
                <w:color w:val="auto"/>
                <w:w w:val="92"/>
              </w:rPr>
              <w:t>Registrant’s telephone number, including area code: (615) 367-7000</w:t>
            </w:r>
          </w:p>
        </w:tc>
        <w:tc>
          <w:tcPr>
            <w:tcW w:w="0" w:type="dxa"/>
            <w:vAlign w:val="bottom"/>
          </w:tcPr>
          <w:p>
            <w:pPr>
              <w:spacing w:after="0"/>
              <w:rPr>
                <w:sz w:val="1"/>
                <w:szCs w:val="1"/>
                <w:color w:val="auto"/>
              </w:rPr>
            </w:pPr>
          </w:p>
        </w:tc>
      </w:tr>
      <w:tr>
        <w:trPr>
          <w:trHeight w:val="257"/>
        </w:trPr>
        <w:tc>
          <w:tcPr>
            <w:tcW w:w="3520" w:type="dxa"/>
            <w:vAlign w:val="bottom"/>
          </w:tcPr>
          <w:p>
            <w:pPr>
              <w:spacing w:after="0"/>
              <w:rPr>
                <w:sz w:val="22"/>
                <w:szCs w:val="22"/>
                <w:color w:val="auto"/>
              </w:rPr>
            </w:pPr>
          </w:p>
        </w:tc>
        <w:tc>
          <w:tcPr>
            <w:tcW w:w="6260" w:type="dxa"/>
            <w:vAlign w:val="bottom"/>
            <w:gridSpan w:val="2"/>
          </w:tcPr>
          <w:p>
            <w:pPr>
              <w:jc w:val="center"/>
              <w:ind w:right="1988"/>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0" w:type="dxa"/>
            <w:vAlign w:val="bottom"/>
          </w:tcPr>
          <w:p>
            <w:pPr>
              <w:spacing w:after="0"/>
              <w:rPr>
                <w:sz w:val="1"/>
                <w:szCs w:val="1"/>
                <w:color w:val="auto"/>
              </w:rPr>
            </w:pPr>
          </w:p>
        </w:tc>
      </w:tr>
      <w:tr>
        <w:trPr>
          <w:trHeight w:val="232"/>
        </w:trPr>
        <w:tc>
          <w:tcPr>
            <w:tcW w:w="3520" w:type="dxa"/>
            <w:vAlign w:val="bottom"/>
            <w:vMerge w:val="restart"/>
          </w:tcPr>
          <w:p>
            <w:pPr>
              <w:ind w:left="1720"/>
              <w:spacing w:after="0"/>
              <w:rPr>
                <w:sz w:val="20"/>
                <w:szCs w:val="20"/>
                <w:color w:val="auto"/>
              </w:rPr>
            </w:pPr>
            <w:r>
              <w:rPr>
                <w:rFonts w:ascii="Arial" w:cs="Arial" w:eastAsia="Arial" w:hAnsi="Arial"/>
                <w:sz w:val="14"/>
                <w:szCs w:val="14"/>
                <w:b w:val="1"/>
                <w:bCs w:val="1"/>
                <w:color w:val="auto"/>
              </w:rPr>
              <w:t>Title of each class</w:t>
            </w:r>
          </w:p>
        </w:tc>
        <w:tc>
          <w:tcPr>
            <w:tcW w:w="3820" w:type="dxa"/>
            <w:vAlign w:val="bottom"/>
            <w:vMerge w:val="restart"/>
          </w:tcPr>
          <w:p>
            <w:pPr>
              <w:jc w:val="center"/>
              <w:ind w:left="328"/>
              <w:spacing w:after="0"/>
              <w:rPr>
                <w:sz w:val="20"/>
                <w:szCs w:val="20"/>
                <w:color w:val="auto"/>
              </w:rPr>
            </w:pPr>
            <w:r>
              <w:rPr>
                <w:rFonts w:ascii="Arial" w:cs="Arial" w:eastAsia="Arial" w:hAnsi="Arial"/>
                <w:sz w:val="14"/>
                <w:szCs w:val="14"/>
                <w:b w:val="1"/>
                <w:bCs w:val="1"/>
                <w:color w:val="auto"/>
                <w:w w:val="92"/>
              </w:rPr>
              <w:t>Trading Symbol</w:t>
            </w:r>
          </w:p>
        </w:tc>
        <w:tc>
          <w:tcPr>
            <w:tcW w:w="2440" w:type="dxa"/>
            <w:vAlign w:val="bottom"/>
          </w:tcPr>
          <w:p>
            <w:pPr>
              <w:jc w:val="center"/>
              <w:ind w:left="808"/>
              <w:spacing w:after="0"/>
              <w:rPr>
                <w:sz w:val="20"/>
                <w:szCs w:val="20"/>
                <w:color w:val="auto"/>
              </w:rPr>
            </w:pPr>
            <w:r>
              <w:rPr>
                <w:rFonts w:ascii="Arial" w:cs="Arial" w:eastAsia="Arial" w:hAnsi="Arial"/>
                <w:sz w:val="14"/>
                <w:szCs w:val="14"/>
                <w:b w:val="1"/>
                <w:bCs w:val="1"/>
                <w:color w:val="auto"/>
                <w:w w:val="92"/>
              </w:rPr>
              <w:t>Name of Exchange</w:t>
            </w:r>
          </w:p>
        </w:tc>
        <w:tc>
          <w:tcPr>
            <w:tcW w:w="0" w:type="dxa"/>
            <w:vAlign w:val="bottom"/>
          </w:tcPr>
          <w:p>
            <w:pPr>
              <w:spacing w:after="0"/>
              <w:rPr>
                <w:sz w:val="1"/>
                <w:szCs w:val="1"/>
                <w:color w:val="auto"/>
              </w:rPr>
            </w:pPr>
          </w:p>
        </w:tc>
      </w:tr>
      <w:tr>
        <w:trPr>
          <w:trHeight w:val="186"/>
        </w:trPr>
        <w:tc>
          <w:tcPr>
            <w:tcW w:w="3520" w:type="dxa"/>
            <w:vAlign w:val="bottom"/>
            <w:vMerge w:val="continue"/>
          </w:tcPr>
          <w:p>
            <w:pPr>
              <w:spacing w:after="0"/>
              <w:rPr>
                <w:sz w:val="16"/>
                <w:szCs w:val="16"/>
                <w:color w:val="auto"/>
              </w:rPr>
            </w:pPr>
          </w:p>
        </w:tc>
        <w:tc>
          <w:tcPr>
            <w:tcW w:w="3820" w:type="dxa"/>
            <w:vAlign w:val="bottom"/>
            <w:vMerge w:val="continue"/>
          </w:tcPr>
          <w:p>
            <w:pPr>
              <w:spacing w:after="0"/>
              <w:rPr>
                <w:sz w:val="16"/>
                <w:szCs w:val="16"/>
                <w:color w:val="auto"/>
              </w:rPr>
            </w:pPr>
          </w:p>
        </w:tc>
        <w:tc>
          <w:tcPr>
            <w:tcW w:w="2440" w:type="dxa"/>
            <w:vAlign w:val="bottom"/>
          </w:tcPr>
          <w:p>
            <w:pPr>
              <w:jc w:val="center"/>
              <w:ind w:left="808"/>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16"/>
        </w:trPr>
        <w:tc>
          <w:tcPr>
            <w:tcW w:w="3520" w:type="dxa"/>
            <w:vAlign w:val="bottom"/>
          </w:tcPr>
          <w:p>
            <w:pPr>
              <w:ind w:left="1320"/>
              <w:spacing w:after="0"/>
              <w:rPr>
                <w:sz w:val="20"/>
                <w:szCs w:val="20"/>
                <w:color w:val="auto"/>
              </w:rPr>
            </w:pPr>
            <w:r>
              <w:rPr>
                <w:rFonts w:ascii="Arial" w:cs="Arial" w:eastAsia="Arial" w:hAnsi="Arial"/>
                <w:sz w:val="14"/>
                <w:szCs w:val="14"/>
                <w:color w:val="auto"/>
              </w:rPr>
              <w:t>Common Stock, $1.00 par value</w:t>
            </w:r>
          </w:p>
        </w:tc>
        <w:tc>
          <w:tcPr>
            <w:tcW w:w="3820" w:type="dxa"/>
            <w:vAlign w:val="bottom"/>
          </w:tcPr>
          <w:p>
            <w:pPr>
              <w:jc w:val="center"/>
              <w:ind w:left="328"/>
              <w:spacing w:after="0"/>
              <w:rPr>
                <w:sz w:val="20"/>
                <w:szCs w:val="20"/>
                <w:color w:val="auto"/>
              </w:rPr>
            </w:pPr>
            <w:r>
              <w:rPr>
                <w:rFonts w:ascii="Arial" w:cs="Arial" w:eastAsia="Arial" w:hAnsi="Arial"/>
                <w:sz w:val="14"/>
                <w:szCs w:val="14"/>
                <w:b w:val="1"/>
                <w:bCs w:val="1"/>
                <w:color w:val="auto"/>
              </w:rPr>
              <w:t>GCO</w:t>
            </w:r>
          </w:p>
        </w:tc>
        <w:tc>
          <w:tcPr>
            <w:tcW w:w="2440" w:type="dxa"/>
            <w:vAlign w:val="bottom"/>
          </w:tcPr>
          <w:p>
            <w:pPr>
              <w:jc w:val="center"/>
              <w:ind w:left="808"/>
              <w:spacing w:after="0"/>
              <w:rPr>
                <w:sz w:val="20"/>
                <w:szCs w:val="20"/>
                <w:color w:val="auto"/>
              </w:rPr>
            </w:pPr>
            <w:r>
              <w:rPr>
                <w:rFonts w:ascii="Arial" w:cs="Arial" w:eastAsia="Arial" w:hAnsi="Arial"/>
                <w:sz w:val="14"/>
                <w:szCs w:val="14"/>
                <w:color w:val="auto"/>
                <w:w w:val="94"/>
              </w:rPr>
              <w:t>New York Stock Exchange</w:t>
            </w:r>
          </w:p>
        </w:tc>
        <w:tc>
          <w:tcPr>
            <w:tcW w:w="0" w:type="dxa"/>
            <w:vAlign w:val="bottom"/>
          </w:tcPr>
          <w:p>
            <w:pPr>
              <w:spacing w:after="0"/>
              <w:rPr>
                <w:sz w:val="1"/>
                <w:szCs w:val="1"/>
                <w:color w:val="auto"/>
              </w:rPr>
            </w:pPr>
          </w:p>
        </w:tc>
      </w:tr>
      <w:tr>
        <w:trPr>
          <w:trHeight w:val="259"/>
        </w:trPr>
        <w:tc>
          <w:tcPr>
            <w:tcW w:w="3520" w:type="dxa"/>
            <w:vAlign w:val="bottom"/>
          </w:tcPr>
          <w:p>
            <w:pPr>
              <w:spacing w:after="0"/>
              <w:rPr>
                <w:sz w:val="22"/>
                <w:szCs w:val="22"/>
                <w:color w:val="auto"/>
              </w:rPr>
            </w:pPr>
          </w:p>
        </w:tc>
        <w:tc>
          <w:tcPr>
            <w:tcW w:w="6260" w:type="dxa"/>
            <w:vAlign w:val="bottom"/>
            <w:gridSpan w:val="2"/>
          </w:tcPr>
          <w:p>
            <w:pPr>
              <w:jc w:val="center"/>
              <w:ind w:right="1988"/>
              <w:spacing w:after="0"/>
              <w:rPr>
                <w:sz w:val="20"/>
                <w:szCs w:val="20"/>
                <w:color w:val="auto"/>
              </w:rPr>
            </w:pPr>
            <w:r>
              <w:rPr>
                <w:rFonts w:ascii="Arial" w:cs="Arial" w:eastAsia="Arial" w:hAnsi="Arial"/>
                <w:sz w:val="14"/>
                <w:szCs w:val="14"/>
                <w:b w:val="1"/>
                <w:bCs w:val="1"/>
                <w:color w:val="auto"/>
                <w:w w:val="91"/>
              </w:rPr>
              <w:t>Securities Registered Pursuant to Section 12(g) of the Act:</w:t>
            </w:r>
          </w:p>
        </w:tc>
        <w:tc>
          <w:tcPr>
            <w:tcW w:w="0" w:type="dxa"/>
            <w:vAlign w:val="bottom"/>
          </w:tcPr>
          <w:p>
            <w:pPr>
              <w:spacing w:after="0"/>
              <w:rPr>
                <w:sz w:val="1"/>
                <w:szCs w:val="1"/>
                <w:color w:val="auto"/>
              </w:rPr>
            </w:pPr>
          </w:p>
        </w:tc>
      </w:tr>
      <w:tr>
        <w:trPr>
          <w:trHeight w:val="186"/>
        </w:trPr>
        <w:tc>
          <w:tcPr>
            <w:tcW w:w="3520" w:type="dxa"/>
            <w:vAlign w:val="bottom"/>
          </w:tcPr>
          <w:p>
            <w:pPr>
              <w:spacing w:after="0"/>
              <w:rPr>
                <w:sz w:val="16"/>
                <w:szCs w:val="16"/>
                <w:color w:val="auto"/>
              </w:rPr>
            </w:pPr>
          </w:p>
        </w:tc>
        <w:tc>
          <w:tcPr>
            <w:tcW w:w="3820" w:type="dxa"/>
            <w:vAlign w:val="bottom"/>
          </w:tcPr>
          <w:p>
            <w:pPr>
              <w:jc w:val="center"/>
              <w:ind w:left="308"/>
              <w:spacing w:after="0"/>
              <w:rPr>
                <w:sz w:val="20"/>
                <w:szCs w:val="20"/>
                <w:color w:val="auto"/>
              </w:rPr>
            </w:pPr>
            <w:r>
              <w:rPr>
                <w:rFonts w:ascii="Arial" w:cs="Arial" w:eastAsia="Arial" w:hAnsi="Arial"/>
                <w:sz w:val="14"/>
                <w:szCs w:val="14"/>
                <w:b w:val="1"/>
                <w:bCs w:val="1"/>
                <w:color w:val="auto"/>
                <w:w w:val="93"/>
              </w:rPr>
              <w:t>Employees’ Subordinated Convertible Preferred Stock</w:t>
            </w:r>
          </w:p>
        </w:tc>
        <w:tc>
          <w:tcPr>
            <w:tcW w:w="2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7340" w:type="dxa"/>
            <w:vAlign w:val="bottom"/>
            <w:gridSpan w:val="2"/>
          </w:tcPr>
          <w:p>
            <w:pPr>
              <w:spacing w:after="0" w:line="161" w:lineRule="exact"/>
              <w:rPr>
                <w:sz w:val="20"/>
                <w:szCs w:val="20"/>
                <w:color w:val="auto"/>
              </w:rPr>
            </w:pPr>
            <w:r>
              <w:rPr>
                <w:rFonts w:ascii="Arial" w:cs="Arial" w:eastAsia="Arial" w:hAnsi="Arial"/>
                <w:sz w:val="14"/>
                <w:szCs w:val="14"/>
                <w:color w:val="auto"/>
                <w:w w:val="95"/>
              </w:rPr>
              <w:t xml:space="preserve">Indicate by check mark if the registrant is a well-known seasoned issuer, as defined in Rule 405 of the Securities Act. Yes </w:t>
            </w:r>
            <w:r>
              <w:rPr>
                <w:rFonts w:ascii="MS PGothic" w:cs="MS PGothic" w:eastAsia="MS PGothic" w:hAnsi="MS PGothic"/>
                <w:sz w:val="14"/>
                <w:szCs w:val="14"/>
                <w:color w:val="auto"/>
                <w:w w:val="95"/>
              </w:rPr>
              <w:t>☒</w:t>
            </w:r>
          </w:p>
        </w:tc>
        <w:tc>
          <w:tcPr>
            <w:tcW w:w="2440" w:type="dxa"/>
            <w:vAlign w:val="bottom"/>
          </w:tcPr>
          <w:p>
            <w:pPr>
              <w:ind w:left="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30"/>
        </w:trPr>
        <w:tc>
          <w:tcPr>
            <w:tcW w:w="7340" w:type="dxa"/>
            <w:vAlign w:val="bottom"/>
            <w:gridSpan w:val="2"/>
          </w:tcPr>
          <w:p>
            <w:pPr>
              <w:spacing w:after="0" w:line="161" w:lineRule="exact"/>
              <w:rPr>
                <w:sz w:val="20"/>
                <w:szCs w:val="20"/>
                <w:color w:val="auto"/>
              </w:rPr>
            </w:pPr>
            <w:r>
              <w:rPr>
                <w:rFonts w:ascii="Arial" w:cs="Arial" w:eastAsia="Arial" w:hAnsi="Arial"/>
                <w:sz w:val="14"/>
                <w:szCs w:val="14"/>
                <w:color w:val="auto"/>
                <w:w w:val="94"/>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w w:val="94"/>
              </w:rPr>
              <w:t>☐</w:t>
            </w:r>
          </w:p>
        </w:tc>
        <w:tc>
          <w:tcPr>
            <w:tcW w:w="2440" w:type="dxa"/>
            <w:vAlign w:val="bottom"/>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8" w:lineRule="exact"/>
        <w:rPr>
          <w:sz w:val="24"/>
          <w:szCs w:val="24"/>
          <w:color w:val="auto"/>
        </w:rPr>
      </w:pPr>
    </w:p>
    <w:p>
      <w:pPr>
        <w:jc w:val="both"/>
        <w:ind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jc w:val="both"/>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jc w:val="both"/>
        <w:ind w:right="2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92" w:lineRule="exact"/>
        <w:rPr>
          <w:sz w:val="24"/>
          <w:szCs w:val="24"/>
          <w:color w:val="auto"/>
        </w:rPr>
      </w:pPr>
    </w:p>
    <w:tbl>
      <w:tblPr>
        <w:tblLayout w:type="fixed"/>
        <w:tblInd w:w="60" w:type="dxa"/>
        <w:tblCellMar>
          <w:top w:w="0" w:type="dxa"/>
          <w:left w:w="0" w:type="dxa"/>
          <w:bottom w:w="0" w:type="dxa"/>
          <w:right w:w="0" w:type="dxa"/>
        </w:tblCellMar>
      </w:tblPr>
      <w:tr>
        <w:trPr>
          <w:trHeight w:val="226"/>
        </w:trPr>
        <w:tc>
          <w:tcPr>
            <w:tcW w:w="22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580" w:type="dxa"/>
            <w:vAlign w:val="bottom"/>
          </w:tcPr>
          <w:p>
            <w:pPr>
              <w:ind w:left="940"/>
              <w:spacing w:after="0" w:line="141" w:lineRule="exact"/>
              <w:rPr>
                <w:sz w:val="20"/>
                <w:szCs w:val="20"/>
                <w:color w:val="auto"/>
              </w:rPr>
            </w:pPr>
            <w:r>
              <w:rPr>
                <w:rFonts w:ascii="MS PGothic" w:cs="MS PGothic" w:eastAsia="MS PGothic" w:hAnsi="MS PGothic"/>
                <w:sz w:val="14"/>
                <w:szCs w:val="14"/>
                <w:color w:val="auto"/>
              </w:rPr>
              <w:t>☐</w:t>
            </w:r>
          </w:p>
        </w:tc>
        <w:tc>
          <w:tcPr>
            <w:tcW w:w="4600" w:type="dxa"/>
            <w:vAlign w:val="bottom"/>
          </w:tcPr>
          <w:p>
            <w:pPr>
              <w:ind w:left="2500"/>
              <w:spacing w:after="0"/>
              <w:rPr>
                <w:sz w:val="20"/>
                <w:szCs w:val="20"/>
                <w:color w:val="auto"/>
              </w:rPr>
            </w:pPr>
            <w:r>
              <w:rPr>
                <w:rFonts w:ascii="Arial" w:cs="Arial" w:eastAsia="Arial" w:hAnsi="Arial"/>
                <w:sz w:val="14"/>
                <w:szCs w:val="14"/>
                <w:color w:val="auto"/>
              </w:rPr>
              <w:t>Accelerated filer</w:t>
            </w:r>
          </w:p>
        </w:tc>
        <w:tc>
          <w:tcPr>
            <w:tcW w:w="6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3"/>
        </w:trPr>
        <w:tc>
          <w:tcPr>
            <w:tcW w:w="2220" w:type="dxa"/>
            <w:vAlign w:val="bottom"/>
          </w:tcPr>
          <w:p>
            <w:pPr>
              <w:spacing w:after="0"/>
              <w:rPr>
                <w:sz w:val="20"/>
                <w:szCs w:val="20"/>
                <w:color w:val="auto"/>
              </w:rPr>
            </w:pPr>
            <w:r>
              <w:rPr>
                <w:rFonts w:ascii="Arial" w:cs="Arial" w:eastAsia="Arial" w:hAnsi="Arial"/>
                <w:sz w:val="14"/>
                <w:szCs w:val="14"/>
                <w:color w:val="auto"/>
              </w:rPr>
              <w:t>Non-accelerated filer</w:t>
            </w:r>
          </w:p>
        </w:tc>
        <w:tc>
          <w:tcPr>
            <w:tcW w:w="3580" w:type="dxa"/>
            <w:vAlign w:val="bottom"/>
          </w:tcPr>
          <w:p>
            <w:pPr>
              <w:ind w:left="940"/>
              <w:spacing w:after="0" w:line="141" w:lineRule="exact"/>
              <w:rPr>
                <w:sz w:val="20"/>
                <w:szCs w:val="20"/>
                <w:color w:val="auto"/>
              </w:rPr>
            </w:pPr>
            <w:r>
              <w:rPr>
                <w:rFonts w:ascii="MS PGothic" w:cs="MS PGothic" w:eastAsia="MS PGothic" w:hAnsi="MS PGothic"/>
                <w:sz w:val="14"/>
                <w:szCs w:val="14"/>
                <w:color w:val="auto"/>
              </w:rPr>
              <w:t>☐</w:t>
            </w:r>
          </w:p>
        </w:tc>
        <w:tc>
          <w:tcPr>
            <w:tcW w:w="4600" w:type="dxa"/>
            <w:vAlign w:val="bottom"/>
          </w:tcPr>
          <w:p>
            <w:pPr>
              <w:ind w:left="2500"/>
              <w:spacing w:after="0"/>
              <w:rPr>
                <w:sz w:val="20"/>
                <w:szCs w:val="20"/>
                <w:color w:val="auto"/>
              </w:rPr>
            </w:pPr>
            <w:r>
              <w:rPr>
                <w:rFonts w:ascii="Arial" w:cs="Arial" w:eastAsia="Arial" w:hAnsi="Arial"/>
                <w:sz w:val="14"/>
                <w:szCs w:val="14"/>
                <w:color w:val="auto"/>
              </w:rPr>
              <w:t>Smaller reporting company</w:t>
            </w:r>
          </w:p>
        </w:tc>
        <w:tc>
          <w:tcPr>
            <w:tcW w:w="6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3"/>
        </w:trPr>
        <w:tc>
          <w:tcPr>
            <w:tcW w:w="222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4600" w:type="dxa"/>
            <w:vAlign w:val="bottom"/>
          </w:tcPr>
          <w:p>
            <w:pPr>
              <w:ind w:left="2500"/>
              <w:spacing w:after="0"/>
              <w:rPr>
                <w:sz w:val="20"/>
                <w:szCs w:val="20"/>
                <w:color w:val="auto"/>
              </w:rPr>
            </w:pPr>
            <w:r>
              <w:rPr>
                <w:rFonts w:ascii="Arial" w:cs="Arial" w:eastAsia="Arial" w:hAnsi="Arial"/>
                <w:sz w:val="14"/>
                <w:szCs w:val="14"/>
                <w:color w:val="auto"/>
              </w:rPr>
              <w:t>Emerging Growth company</w:t>
            </w:r>
          </w:p>
        </w:tc>
        <w:tc>
          <w:tcPr>
            <w:tcW w:w="6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26" w:lineRule="exact"/>
        <w:rPr>
          <w:sz w:val="24"/>
          <w:szCs w:val="24"/>
          <w:color w:val="auto"/>
        </w:rPr>
      </w:pPr>
    </w:p>
    <w:p>
      <w:pPr>
        <w:jc w:val="both"/>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86" w:lineRule="exact"/>
        <w:rPr>
          <w:sz w:val="24"/>
          <w:szCs w:val="24"/>
          <w:color w:val="auto"/>
        </w:rPr>
      </w:pPr>
    </w:p>
    <w:p>
      <w:pPr>
        <w:jc w:val="both"/>
        <w:ind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5" w:lineRule="exact"/>
        <w:rPr>
          <w:sz w:val="24"/>
          <w:szCs w:val="24"/>
          <w:color w:val="auto"/>
        </w:rPr>
      </w:pPr>
    </w:p>
    <w:p>
      <w:pPr>
        <w:spacing w:after="0" w:line="161" w:lineRule="exact"/>
        <w:tabs>
          <w:tab w:leader="none" w:pos="652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82" w:lineRule="exact"/>
        <w:rPr>
          <w:sz w:val="24"/>
          <w:szCs w:val="24"/>
          <w:color w:val="auto"/>
        </w:rPr>
      </w:pPr>
    </w:p>
    <w:p>
      <w:pPr>
        <w:jc w:val="both"/>
        <w:spacing w:after="0" w:line="251" w:lineRule="auto"/>
        <w:rPr>
          <w:sz w:val="20"/>
          <w:szCs w:val="20"/>
          <w:color w:val="auto"/>
        </w:rPr>
      </w:pPr>
      <w:r>
        <w:rPr>
          <w:rFonts w:ascii="Arial" w:cs="Arial" w:eastAsia="Arial" w:hAnsi="Arial"/>
          <w:sz w:val="13"/>
          <w:szCs w:val="13"/>
          <w:color w:val="auto"/>
        </w:rPr>
        <w:t>State the aggregate market value of the voting and non-voting common equity held by non-affiliates computed by reference to the price at which the common equity was sold, or the average bid and asked price of such common equity, as of the last business day of the registrant’s most recently completed second fiscal quarter - $233,000,000. The market value calculation was determined using a per share price of $15.55, the price at which the common stock was last sold on the New York Stock Exchange on July 31, 2020, the last business day of the registrant’s most recently completed second fiscal quarter. For purposes of this calculation, shares of common stock held by nonaffiliates excludes only those shares beneficially owned by officers, directors, and shareholders owning 10% or more of the outstanding common stock (and, in each case, their immediate family members and affiliates).</w:t>
      </w:r>
    </w:p>
    <w:p>
      <w:pPr>
        <w:spacing w:after="0" w:line="15" w:lineRule="exact"/>
        <w:rPr>
          <w:sz w:val="24"/>
          <w:szCs w:val="24"/>
          <w:color w:val="auto"/>
        </w:rPr>
      </w:pPr>
    </w:p>
    <w:p>
      <w:pPr>
        <w:jc w:val="both"/>
        <w:ind w:right="20"/>
        <w:spacing w:after="0" w:line="253" w:lineRule="auto"/>
        <w:rPr>
          <w:sz w:val="20"/>
          <w:szCs w:val="20"/>
          <w:color w:val="auto"/>
        </w:rPr>
      </w:pPr>
      <w:r>
        <w:rPr>
          <w:rFonts w:ascii="Arial" w:cs="Arial" w:eastAsia="Arial" w:hAnsi="Arial"/>
          <w:sz w:val="14"/>
          <w:szCs w:val="14"/>
          <w:color w:val="auto"/>
        </w:rPr>
        <w:t>Indicate the number of shares outstanding of each of the registrant’s classes of common stock as of the latest practicable date: As of March 12, 2021, 14,955,569 shares of the registrant’s common stock were outstanding.</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122" w:lineRule="exact"/>
        <w:rPr>
          <w:sz w:val="24"/>
          <w:szCs w:val="24"/>
          <w:color w:val="auto"/>
        </w:rPr>
      </w:pPr>
    </w:p>
    <w:p>
      <w:pPr>
        <w:jc w:val="both"/>
        <w:spacing w:after="0" w:line="253" w:lineRule="auto"/>
        <w:rPr>
          <w:sz w:val="20"/>
          <w:szCs w:val="20"/>
          <w:color w:val="auto"/>
        </w:rPr>
      </w:pPr>
      <w:r>
        <w:rPr>
          <w:rFonts w:ascii="Arial" w:cs="Arial" w:eastAsia="Arial" w:hAnsi="Arial"/>
          <w:sz w:val="14"/>
          <w:szCs w:val="14"/>
          <w:color w:val="auto"/>
        </w:rPr>
        <w:t>Certain portions of registrant’s Definitive Proxy Statement for its 2021 Annual Meeting of Shareholders (which is expected to be filed with the Securities and Exchange Commission within 120 days after the end of the registrant’s fiscal year ended January 30, 2021)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0" w:type="dxa"/>
            <w:vAlign w:val="bottom"/>
            <w:gridSpan w:val="16"/>
          </w:tcPr>
          <w:p>
            <w:pPr>
              <w:ind w:left="260"/>
              <w:spacing w:after="0"/>
              <w:rPr>
                <w:sz w:val="20"/>
                <w:szCs w:val="20"/>
                <w:color w:val="auto"/>
              </w:rPr>
            </w:pPr>
            <w:r>
              <w:rPr>
                <w:rFonts w:ascii="Arial" w:cs="Arial" w:eastAsia="Arial" w:hAnsi="Arial"/>
                <w:sz w:val="18"/>
                <w:szCs w:val="18"/>
                <w:color w:val="auto"/>
              </w:rPr>
              <w:t>TABLE OF CONTENTS</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60" w:type="dxa"/>
            <w:vAlign w:val="bottom"/>
            <w:gridSpan w:val="13"/>
            <w:vMerge w:val="restart"/>
          </w:tcPr>
          <w:p>
            <w:pPr>
              <w:jc w:val="center"/>
              <w:ind w:right="4800"/>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9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60" w:type="dxa"/>
            <w:vAlign w:val="bottom"/>
            <w:gridSpan w:val="13"/>
            <w:vMerge w:val="continue"/>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3720" w:type="dxa"/>
            <w:vAlign w:val="bottom"/>
            <w:gridSpan w:val="1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580" w:type="dxa"/>
            <w:vAlign w:val="bottom"/>
            <w:tcBorders>
              <w:top w:val="single" w:sz="8" w:color="0000EE"/>
            </w:tcBorders>
            <w:gridSpan w:val="2"/>
          </w:tcPr>
          <w:p>
            <w:pPr>
              <w:spacing w:after="0"/>
              <w:rPr>
                <w:sz w:val="17"/>
                <w:szCs w:val="17"/>
                <w:color w:val="auto"/>
              </w:rPr>
            </w:pPr>
          </w:p>
        </w:tc>
        <w:tc>
          <w:tcPr>
            <w:tcW w:w="4840" w:type="dxa"/>
            <w:vAlign w:val="bottom"/>
            <w:gridSpan w:val="10"/>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Risk Factors</w:t>
              </w:r>
            </w:hyperlink>
          </w:p>
        </w:tc>
        <w:tc>
          <w:tcPr>
            <w:tcW w:w="8220" w:type="dxa"/>
            <w:vAlign w:val="bottom"/>
            <w:gridSpan w:val="25"/>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Unresolved Staff Comments</w:t>
              </w:r>
            </w:hyperlink>
          </w:p>
        </w:tc>
        <w:tc>
          <w:tcPr>
            <w:tcW w:w="7080" w:type="dxa"/>
            <w:vAlign w:val="bottom"/>
            <w:gridSpan w:val="19"/>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24">
              <w:r>
                <w:rPr>
                  <w:rFonts w:ascii="Arial" w:cs="Arial" w:eastAsia="Arial" w:hAnsi="Arial"/>
                  <w:sz w:val="18"/>
                  <w:szCs w:val="18"/>
                  <w:color w:val="0000EE"/>
                  <w:w w:val="87"/>
                </w:rPr>
                <w:t>Properties</w:t>
              </w:r>
            </w:hyperlink>
          </w:p>
        </w:tc>
        <w:tc>
          <w:tcPr>
            <w:tcW w:w="8400" w:type="dxa"/>
            <w:vAlign w:val="bottom"/>
            <w:gridSpan w:val="26"/>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9140" w:type="dxa"/>
            <w:vAlign w:val="bottom"/>
            <w:gridSpan w:val="29"/>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6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Mine Safety Disclosures</w:t>
              </w:r>
            </w:hyperlink>
          </w:p>
        </w:tc>
        <w:tc>
          <w:tcPr>
            <w:tcW w:w="7360" w:type="dxa"/>
            <w:vAlign w:val="bottom"/>
            <w:gridSpan w:val="21"/>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4A.</w:t>
            </w:r>
          </w:p>
        </w:tc>
        <w:tc>
          <w:tcPr>
            <w:tcW w:w="9140" w:type="dxa"/>
            <w:vAlign w:val="bottom"/>
            <w:gridSpan w:val="29"/>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Executive Officers</w:t>
              </w:r>
            </w:hyperlink>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EE"/>
            </w:tcBorders>
            <w:gridSpan w:val="5"/>
          </w:tcPr>
          <w:p>
            <w:pPr>
              <w:jc w:val="cente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PART II</w:t>
              </w:r>
            </w:hyperlink>
          </w:p>
        </w:tc>
        <w:tc>
          <w:tcPr>
            <w:tcW w:w="4800" w:type="dxa"/>
            <w:vAlign w:val="bottom"/>
            <w:gridSpan w:val="8"/>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9140" w:type="dxa"/>
            <w:vAlign w:val="bottom"/>
            <w:gridSpan w:val="29"/>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Market for Registrant’s Common Equity, Related Stockholder Matters and Issuer Purchases of Equity Securities</w:t>
              </w:r>
            </w:hyperlink>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6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w:anchor="page27">
              <w:r>
                <w:rPr>
                  <w:rFonts w:ascii="Arial" w:cs="Arial" w:eastAsia="Arial" w:hAnsi="Arial"/>
                  <w:sz w:val="18"/>
                  <w:szCs w:val="18"/>
                  <w:color w:val="0000EE"/>
                  <w:w w:val="85"/>
                </w:rPr>
                <w:t>Reserved</w:t>
              </w:r>
            </w:hyperlink>
          </w:p>
        </w:tc>
        <w:tc>
          <w:tcPr>
            <w:tcW w:w="7400" w:type="dxa"/>
            <w:vAlign w:val="bottom"/>
            <w:tcBorders>
              <w:top w:val="single" w:sz="8" w:color="0000EE"/>
            </w:tcBorders>
            <w:gridSpan w:val="26"/>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9140" w:type="dxa"/>
            <w:vAlign w:val="bottom"/>
            <w:gridSpan w:val="29"/>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Management’s Discussion and Analysis of Financial Condition and Results of Operations</w:t>
              </w:r>
            </w:hyperlink>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432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1"/>
              </w:rPr>
            </w:pPr>
            <w:hyperlink w:anchor="page40">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5"/>
          </w:tcPr>
          <w:p>
            <w:pPr>
              <w:spacing w:after="0"/>
              <w:rPr>
                <w:sz w:val="17"/>
                <w:szCs w:val="17"/>
                <w:color w:val="auto"/>
              </w:rPr>
            </w:pPr>
          </w:p>
        </w:tc>
        <w:tc>
          <w:tcPr>
            <w:tcW w:w="2680" w:type="dxa"/>
            <w:vAlign w:val="bottom"/>
            <w:gridSpan w:val="4"/>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334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Financial Statements and Supplementary Data</w:t>
              </w:r>
            </w:hyperlink>
          </w:p>
        </w:tc>
        <w:tc>
          <w:tcPr>
            <w:tcW w:w="5800" w:type="dxa"/>
            <w:vAlign w:val="bottom"/>
            <w:gridSpan w:val="16"/>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9140" w:type="dxa"/>
            <w:vAlign w:val="bottom"/>
            <w:gridSpan w:val="29"/>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Changes in and Disagreements with Accountants on Accounting and Financial Disclosure</w:t>
              </w:r>
            </w:hyperlink>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w:anchor="page85">
              <w:r>
                <w:rPr>
                  <w:rFonts w:ascii="Arial" w:cs="Arial" w:eastAsia="Arial" w:hAnsi="Arial"/>
                  <w:sz w:val="18"/>
                  <w:szCs w:val="18"/>
                  <w:color w:val="0000EE"/>
                  <w:w w:val="88"/>
                </w:rPr>
                <w:t>Controls and Procedures</w:t>
              </w:r>
            </w:hyperlink>
          </w:p>
        </w:tc>
        <w:tc>
          <w:tcPr>
            <w:tcW w:w="4700" w:type="dxa"/>
            <w:vAlign w:val="bottom"/>
            <w:tcBorders>
              <w:top w:val="single" w:sz="8" w:color="0000EE"/>
            </w:tcBorders>
            <w:gridSpan w:val="18"/>
          </w:tcPr>
          <w:p>
            <w:pPr>
              <w:spacing w:after="0"/>
              <w:rPr>
                <w:sz w:val="17"/>
                <w:szCs w:val="17"/>
                <w:color w:val="auto"/>
              </w:rPr>
            </w:pPr>
          </w:p>
        </w:tc>
        <w:tc>
          <w:tcPr>
            <w:tcW w:w="2660" w:type="dxa"/>
            <w:vAlign w:val="bottom"/>
            <w:gridSpan w:val="3"/>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9140" w:type="dxa"/>
            <w:vAlign w:val="bottom"/>
            <w:gridSpan w:val="29"/>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Other Information</w:t>
              </w:r>
            </w:hyperlink>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Borders>
              <w:bottom w:val="single" w:sz="8" w:color="0000EE"/>
            </w:tcBorders>
            <w:gridSpan w:val="9"/>
          </w:tcPr>
          <w:p>
            <w:pPr>
              <w:jc w:val="center"/>
              <w:spacing w:after="0"/>
              <w:rPr>
                <w:rFonts w:ascii="Arial" w:cs="Arial" w:eastAsia="Arial" w:hAnsi="Arial"/>
                <w:sz w:val="18"/>
                <w:szCs w:val="18"/>
                <w:b w:val="1"/>
                <w:bCs w:val="1"/>
                <w:color w:val="0000EE"/>
              </w:rPr>
            </w:pPr>
            <w:hyperlink w:anchor="page86">
              <w:r>
                <w:rPr>
                  <w:rFonts w:ascii="Arial" w:cs="Arial" w:eastAsia="Arial" w:hAnsi="Arial"/>
                  <w:sz w:val="18"/>
                  <w:szCs w:val="18"/>
                  <w:b w:val="1"/>
                  <w:bCs w:val="1"/>
                  <w:color w:val="0000EE"/>
                </w:rPr>
                <w:t>PART III</w:t>
              </w:r>
            </w:hyperlink>
          </w:p>
        </w:tc>
        <w:tc>
          <w:tcPr>
            <w:tcW w:w="4760" w:type="dxa"/>
            <w:vAlign w:val="bottom"/>
            <w:gridSpan w:val="6"/>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10.*</w:t>
            </w:r>
          </w:p>
        </w:tc>
        <w:tc>
          <w:tcPr>
            <w:tcW w:w="9140" w:type="dxa"/>
            <w:vAlign w:val="bottom"/>
            <w:gridSpan w:val="29"/>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Directors, Executive Officers and Corporate Governance</w:t>
              </w:r>
            </w:hyperlink>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18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w:anchor="page86">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9"/>
          </w:tcPr>
          <w:p>
            <w:pPr>
              <w:spacing w:after="0"/>
              <w:rPr>
                <w:sz w:val="17"/>
                <w:szCs w:val="17"/>
                <w:color w:val="auto"/>
              </w:rPr>
            </w:pPr>
          </w:p>
        </w:tc>
        <w:tc>
          <w:tcPr>
            <w:tcW w:w="5040" w:type="dxa"/>
            <w:vAlign w:val="bottom"/>
            <w:gridSpan w:val="11"/>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w:anchor="page86">
              <w:r>
                <w:rPr>
                  <w:rFonts w:ascii="Arial" w:cs="Arial" w:eastAsia="Arial" w:hAnsi="Arial"/>
                  <w:sz w:val="18"/>
                  <w:szCs w:val="18"/>
                  <w:color w:val="0000EE"/>
                  <w:w w:val="90"/>
                </w:rPr>
                <w:t>Security Ownership of Certain Beneficial Owners and Management and Related Stockholder Matters</w:t>
              </w:r>
            </w:hyperlink>
          </w:p>
        </w:tc>
        <w:tc>
          <w:tcPr>
            <w:tcW w:w="1840" w:type="dxa"/>
            <w:vAlign w:val="bottom"/>
            <w:gridSpan w:val="2"/>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24"/>
          </w:tcPr>
          <w:p>
            <w:pPr>
              <w:spacing w:after="0" w:line="196" w:lineRule="exact"/>
              <w:rPr>
                <w:rFonts w:ascii="Arial" w:cs="Arial" w:eastAsia="Arial" w:hAnsi="Arial"/>
                <w:sz w:val="18"/>
                <w:szCs w:val="18"/>
                <w:color w:val="0000EE"/>
                <w:w w:val="89"/>
              </w:rPr>
            </w:pPr>
            <w:hyperlink w:anchor="page87">
              <w:r>
                <w:rPr>
                  <w:rFonts w:ascii="Arial" w:cs="Arial" w:eastAsia="Arial" w:hAnsi="Arial"/>
                  <w:sz w:val="18"/>
                  <w:szCs w:val="18"/>
                  <w:color w:val="0000EE"/>
                  <w:w w:val="89"/>
                </w:rPr>
                <w:t>Certain Relationships and Related Transactions, and Director Independence</w:t>
              </w:r>
            </w:hyperlink>
          </w:p>
        </w:tc>
        <w:tc>
          <w:tcPr>
            <w:tcW w:w="3680" w:type="dxa"/>
            <w:vAlign w:val="bottom"/>
            <w:gridSpan w:val="5"/>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9140" w:type="dxa"/>
            <w:vAlign w:val="bottom"/>
            <w:gridSpan w:val="29"/>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Principal Accounting Fees and Services</w:t>
              </w:r>
            </w:hyperlink>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318"/>
        </w:trPr>
        <w:tc>
          <w:tcPr>
            <w:tcW w:w="10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80" w:type="dxa"/>
            <w:vAlign w:val="bottom"/>
            <w:gridSpan w:val="14"/>
          </w:tcPr>
          <w:p>
            <w:pPr>
              <w:jc w:val="center"/>
              <w:ind w:right="4780"/>
              <w:spacing w:after="0"/>
              <w:rPr>
                <w:rFonts w:ascii="Arial" w:cs="Arial" w:eastAsia="Arial" w:hAnsi="Arial"/>
                <w:sz w:val="18"/>
                <w:szCs w:val="18"/>
                <w:b w:val="1"/>
                <w:bCs w:val="1"/>
                <w:color w:val="0000EE"/>
                <w:w w:val="98"/>
              </w:rPr>
            </w:pPr>
            <w:hyperlink w:anchor="page88">
              <w:r>
                <w:rPr>
                  <w:rFonts w:ascii="Arial" w:cs="Arial" w:eastAsia="Arial" w:hAnsi="Arial"/>
                  <w:sz w:val="18"/>
                  <w:szCs w:val="18"/>
                  <w:b w:val="1"/>
                  <w:bCs w:val="1"/>
                  <w:color w:val="0000EE"/>
                  <w:w w:val="98"/>
                </w:rPr>
                <w:t>PART IV</w:t>
              </w:r>
            </w:hyperlink>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15.</w:t>
            </w:r>
          </w:p>
        </w:tc>
        <w:tc>
          <w:tcPr>
            <w:tcW w:w="3660" w:type="dxa"/>
            <w:vAlign w:val="bottom"/>
            <w:gridSpan w:val="15"/>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Exhibits and Financial Statement Schedules</w:t>
              </w:r>
            </w:hyperlink>
          </w:p>
        </w:tc>
        <w:tc>
          <w:tcPr>
            <w:tcW w:w="700" w:type="dxa"/>
            <w:vAlign w:val="bottom"/>
            <w:tcBorders>
              <w:top w:val="single" w:sz="8" w:color="0000EE"/>
            </w:tcBorders>
            <w:gridSpan w:val="7"/>
          </w:tcPr>
          <w:p>
            <w:pPr>
              <w:spacing w:after="0"/>
              <w:rPr>
                <w:sz w:val="17"/>
                <w:szCs w:val="17"/>
                <w:color w:val="auto"/>
              </w:rPr>
            </w:pPr>
          </w:p>
        </w:tc>
        <w:tc>
          <w:tcPr>
            <w:tcW w:w="4780" w:type="dxa"/>
            <w:vAlign w:val="bottom"/>
            <w:gridSpan w:val="7"/>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96"/>
        </w:trPr>
        <w:tc>
          <w:tcPr>
            <w:tcW w:w="1060" w:type="dxa"/>
            <w:vAlign w:val="bottom"/>
          </w:tcPr>
          <w:p>
            <w:pPr>
              <w:spacing w:after="0" w:line="196" w:lineRule="exact"/>
              <w:rPr>
                <w:sz w:val="20"/>
                <w:szCs w:val="20"/>
                <w:color w:val="auto"/>
              </w:rPr>
            </w:pPr>
            <w:r>
              <w:rPr>
                <w:rFonts w:ascii="Arial" w:cs="Arial" w:eastAsia="Arial" w:hAnsi="Arial"/>
                <w:sz w:val="18"/>
                <w:szCs w:val="18"/>
                <w:color w:val="auto"/>
              </w:rPr>
              <w:t>Item 16.</w:t>
            </w:r>
          </w:p>
        </w:tc>
        <w:tc>
          <w:tcPr>
            <w:tcW w:w="15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w:anchor="page91">
              <w:r>
                <w:rPr>
                  <w:rFonts w:ascii="Arial" w:cs="Arial" w:eastAsia="Arial" w:hAnsi="Arial"/>
                  <w:sz w:val="18"/>
                  <w:szCs w:val="18"/>
                  <w:color w:val="0000EE"/>
                  <w:w w:val="92"/>
                </w:rPr>
                <w:t>Form 10-K Summary</w:t>
              </w:r>
            </w:hyperlink>
          </w:p>
        </w:tc>
        <w:tc>
          <w:tcPr>
            <w:tcW w:w="1600" w:type="dxa"/>
            <w:vAlign w:val="bottom"/>
            <w:tcBorders>
              <w:top w:val="single" w:sz="8" w:color="0000EE"/>
            </w:tcBorders>
            <w:gridSpan w:val="5"/>
          </w:tcPr>
          <w:p>
            <w:pPr>
              <w:spacing w:after="0"/>
              <w:rPr>
                <w:sz w:val="17"/>
                <w:szCs w:val="17"/>
                <w:color w:val="auto"/>
              </w:rPr>
            </w:pPr>
          </w:p>
        </w:tc>
        <w:tc>
          <w:tcPr>
            <w:tcW w:w="5980" w:type="dxa"/>
            <w:vAlign w:val="bottom"/>
            <w:gridSpan w:val="17"/>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*All or a portion of the referenced section is incorporated by reference from our Definitive Proxy Statement for our 2021 Annual Meeting of the Shareholders (which is expected to be filed with the SEC within 120 days after the end of Fiscal 2021).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Cautionary Notice Regarding Forward-looking Statements</w:t>
      </w:r>
    </w:p>
    <w:p>
      <w:pPr>
        <w:spacing w:after="0" w:line="18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This Annual Report on Form 10-K (this "report") includes certain forward-looking statements, which include statements regarding our intent, belief or expectations and all statements other than those made solely with respect to historical fact. Actual results could differ materially from those reflected by the forward-looking statements in this report and a number of factors may adversely affect the forward-looking statements and our future results, liquidity, capital resources or prospects. These include, but are not limited to, risks related to public health and safety issues, including, for example, risks related to the ongoing novel coronavirus ("COVID-19") pandemic, as well as the timing and availability of effective medical treatments and the ongoing rollout of vaccines in response to the COVID-19 pandemic, including disruptions to our business, sales, supply chain and financial results, the level of consumer spending on our merchandise and in general, the level and timing of promotional activity necessary to protect our reputation and maintain inventories at appropriate levels, the timing and amount of any share repurchases by us, risks related to doing business internationally, including the manufacturing of a portion of our products in China, the increasing scope of our non-U.S. operations, the imposition of tariffs on products imported by us or our vendors as well as the ability and costs to move production of products in response to tariffs, our ability to obtain from suppliers products that are in-demand on a timely basis and effectively manage disruptions in product supply or distribution, unfavorable trends in fuel costs, foreign exchange rates, foreign labor and material costs, a disruption in shipping or increase in cost of our imported products, and other factors affecting the cost of products, our dependence on third-party vendors and licensors for the products we sell, the effects of the British decision to exit the European Union and other sources of market weakness in the U.K. and the Republic of Ireland (“ROI”), the effectiveness of our omnichannel initiatives, costs associated with changes in minimum wage and overtime requirements, wage pressure in the U.S. and the U.K., the evolving regulatory landscape related to our use of social media, the establishment and protection of our intellectual property, weakness in the consumer economy and retail industry, competition and fashion trends in our markets, including trends with respect to the popularity of casual and dress footwear, weakness in shopping mall traffic, any failure to increase sales at our existing stores, given our high fixed expense cost structure, and in our e-commerce businesses, risks related to the potential for terrorist events, changes in buying patterns by significant wholesale customers, changes in consumer preferences, our ability to continue to complete and integrate acquisitions, expand our business and diversify our product base, impairment of goodwill in connection with acquisitions, payment related risks that could increase our operating cost, expose us to fraud or theft, subject us to potential liability and disrupt our business, retained liabilities associated with divestitures of businesses including potential liabilities under leases as the prior tenant or as a guarantor of certain leases, and changes in the timing of holidays or in the onset of seasonal weather affecting period-to-period sales comparisons. Additional factors that could cause differences from expectations include the ability to open additional retail stores, to renew leases in existing stores, to control or lower occupancy costs, and to conduct required remodeling or refurbishment on schedule and at expected expense levels, our ability to realize anticipated cost savings, including rent savings, our ability to realize any anticipated tax benefits, our ability to achieve expected digital gains and gain market share, deterioration in the performance of individual businesses or of our market value relative to our book value, resulting in impairments of fixed assets, operating lease right of use assets or intangible assets or other adverse financial consequences and the timing and amount of such impairments or other consequences, unexpected changes to the market for our shares or for the retail sector in general, costs and reputational harm as a result of disruptions in our business or information technology systems either by security breaches and incidents or by potential problems associated with the implementation of new or upgraded systems, uncertainty regarding the expected phase out of the London Interbank Offered Rate ("LIBOR"), and the cost and outcome of litigation, investigations and environmental matters that involve us. For a full discussion of risk factors, see Item 1A, "Risk Factors".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Genesco Inc. ("Genesco", “Company”, "we", "our", or "us"), incorporated in 1934 in the State of Tennessee, is a leading retailer and wholesaler of branded footwear, apparel and accessories with net sales for Fiscal 2021 of $1.8 billion. During Fiscal 2021, we operated four reportable business segments (not including corporate): (i) Journeys Group, comprised of the Journeys</w:t>
      </w:r>
      <w:r>
        <w:rPr>
          <w:rFonts w:ascii="Arial" w:cs="Arial" w:eastAsia="Arial" w:hAnsi="Arial"/>
          <w:sz w:val="13"/>
          <w:szCs w:val="13"/>
          <w:color w:val="auto"/>
        </w:rPr>
        <w:t>®</w:t>
      </w:r>
      <w:r>
        <w:rPr>
          <w:rFonts w:ascii="Arial" w:cs="Arial" w:eastAsia="Arial" w:hAnsi="Arial"/>
          <w:sz w:val="16"/>
          <w:szCs w:val="16"/>
          <w:color w:val="auto"/>
        </w:rPr>
        <w:t>, Journeys Kidz</w:t>
      </w:r>
      <w:r>
        <w:rPr>
          <w:rFonts w:ascii="Arial" w:cs="Arial" w:eastAsia="Arial" w:hAnsi="Arial"/>
          <w:sz w:val="13"/>
          <w:szCs w:val="13"/>
          <w:color w:val="auto"/>
        </w:rPr>
        <w:t>®</w:t>
      </w:r>
      <w:r>
        <w:rPr>
          <w:rFonts w:ascii="Arial" w:cs="Arial" w:eastAsia="Arial" w:hAnsi="Arial"/>
          <w:sz w:val="16"/>
          <w:szCs w:val="16"/>
          <w:color w:val="auto"/>
        </w:rPr>
        <w:t xml:space="preserve"> and Little Burgundy</w:t>
      </w:r>
      <w:r>
        <w:rPr>
          <w:rFonts w:ascii="Arial" w:cs="Arial" w:eastAsia="Arial" w:hAnsi="Arial"/>
          <w:sz w:val="13"/>
          <w:szCs w:val="13"/>
          <w:color w:val="auto"/>
        </w:rPr>
        <w:t>®</w:t>
      </w:r>
      <w:r>
        <w:rPr>
          <w:rFonts w:ascii="Arial" w:cs="Arial" w:eastAsia="Arial" w:hAnsi="Arial"/>
          <w:sz w:val="16"/>
          <w:szCs w:val="16"/>
          <w:color w:val="auto"/>
        </w:rPr>
        <w:t xml:space="preserve"> retail footwear chains and e-commerce operations; (ii) Schuh Group, comprised of the Schuh retail footwear chain and e-commerce operations; (iii) Johnston &amp; Murphy Group, comprised of Johnston &amp; Murphy</w:t>
      </w:r>
      <w:r>
        <w:rPr>
          <w:rFonts w:ascii="Arial" w:cs="Arial" w:eastAsia="Arial" w:hAnsi="Arial"/>
          <w:sz w:val="13"/>
          <w:szCs w:val="13"/>
          <w:color w:val="auto"/>
        </w:rPr>
        <w:t>®</w:t>
      </w:r>
      <w:r>
        <w:rPr>
          <w:rFonts w:ascii="Arial" w:cs="Arial" w:eastAsia="Arial" w:hAnsi="Arial"/>
          <w:sz w:val="16"/>
          <w:szCs w:val="16"/>
          <w:color w:val="auto"/>
        </w:rPr>
        <w:t xml:space="preserve"> retail operations, e-commerce operations and wholesale distribution of products under the Johnston &amp; Murphy</w:t>
      </w:r>
      <w:r>
        <w:rPr>
          <w:rFonts w:ascii="Arial" w:cs="Arial" w:eastAsia="Arial" w:hAnsi="Arial"/>
          <w:sz w:val="13"/>
          <w:szCs w:val="13"/>
          <w:color w:val="auto"/>
        </w:rPr>
        <w:t>®</w:t>
      </w:r>
      <w:r>
        <w:rPr>
          <w:rFonts w:ascii="Arial" w:cs="Arial" w:eastAsia="Arial" w:hAnsi="Arial"/>
          <w:sz w:val="16"/>
          <w:szCs w:val="16"/>
          <w:color w:val="auto"/>
        </w:rPr>
        <w:t xml:space="preserve"> brand; and (iv) Licensed Brands, comprised of the licensed Dockers</w:t>
      </w:r>
      <w:r>
        <w:rPr>
          <w:rFonts w:ascii="Arial" w:cs="Arial" w:eastAsia="Arial" w:hAnsi="Arial"/>
          <w:sz w:val="13"/>
          <w:szCs w:val="13"/>
          <w:color w:val="auto"/>
        </w:rPr>
        <w:t>®</w:t>
      </w:r>
      <w:r>
        <w:rPr>
          <w:rFonts w:ascii="Arial" w:cs="Arial" w:eastAsia="Arial" w:hAnsi="Arial"/>
          <w:sz w:val="16"/>
          <w:szCs w:val="16"/>
          <w:color w:val="auto"/>
        </w:rPr>
        <w:t>, Levi's</w:t>
      </w:r>
      <w:r>
        <w:rPr>
          <w:rFonts w:ascii="Arial" w:cs="Arial" w:eastAsia="Arial" w:hAnsi="Arial"/>
          <w:sz w:val="13"/>
          <w:szCs w:val="13"/>
          <w:color w:val="auto"/>
        </w:rPr>
        <w:t>®</w:t>
      </w:r>
      <w:r>
        <w:rPr>
          <w:rFonts w:ascii="Arial" w:cs="Arial" w:eastAsia="Arial" w:hAnsi="Arial"/>
          <w:sz w:val="16"/>
          <w:szCs w:val="16"/>
          <w:color w:val="auto"/>
        </w:rPr>
        <w:t>, and G.H. Bass</w:t>
      </w:r>
      <w:r>
        <w:rPr>
          <w:rFonts w:ascii="Arial" w:cs="Arial" w:eastAsia="Arial" w:hAnsi="Arial"/>
          <w:sz w:val="13"/>
          <w:szCs w:val="13"/>
          <w:color w:val="auto"/>
        </w:rPr>
        <w:t>®</w:t>
      </w:r>
      <w:r>
        <w:rPr>
          <w:rFonts w:ascii="Arial" w:cs="Arial" w:eastAsia="Arial" w:hAnsi="Arial"/>
          <w:sz w:val="16"/>
          <w:szCs w:val="16"/>
          <w:color w:val="auto"/>
        </w:rPr>
        <w:t xml:space="preserve"> brands, as well as other brands we license for footwear.</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Effective January 1, 2020, we completed the acquisition of substantially all the assets and the assumption of certain liabilities of Togast LLC, Togast Direct, LLC and TGB Design, LLC (collectively, "Togast"). Togast specializes in the design, sourcing and sale of licensed footwear. We also entered into a new U.S. footwear license agreement with Levi Strauss &amp; Co. for the license of Levi's</w:t>
      </w:r>
      <w:r>
        <w:rPr>
          <w:rFonts w:ascii="Arial" w:cs="Arial" w:eastAsia="Arial" w:hAnsi="Arial"/>
          <w:sz w:val="15"/>
          <w:szCs w:val="15"/>
          <w:color w:val="auto"/>
        </w:rPr>
        <w:t>®</w:t>
      </w:r>
      <w:r>
        <w:rPr>
          <w:rFonts w:ascii="Arial" w:cs="Arial" w:eastAsia="Arial" w:hAnsi="Arial"/>
          <w:sz w:val="18"/>
          <w:szCs w:val="18"/>
          <w:color w:val="auto"/>
        </w:rPr>
        <w:t xml:space="preserve"> footwear for men, women and children in the U.S. concurrently with the Togast acquisition. The acquisition expands our portfolio to include footwear licenses for G.H. Bass and FUBU, among others. Togast operates in our Licensed Brands segment.</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January 30, 2021, we operated 1,460 retail footwear and accessory stores located primarily throughout the United States and in Puerto Rico, but also including 93 footwear stores in Canada and 123 footwear stores in the United Kingdom and the ROI. We plan to open a total of approximately 15 new retail stores and to close approximately 35 retail stores in Fiscal 2022.</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additional information concerning our retail footwear and accessory stores during the five most recent fiscal years: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1220" w:type="dxa"/>
            <w:vAlign w:val="bottom"/>
            <w:gridSpan w:val="2"/>
          </w:tcPr>
          <w:p>
            <w:pPr>
              <w:ind w:left="540"/>
              <w:spacing w:after="0"/>
              <w:rPr>
                <w:sz w:val="20"/>
                <w:szCs w:val="20"/>
                <w:color w:val="auto"/>
              </w:rPr>
            </w:pPr>
            <w:r>
              <w:rPr>
                <w:rFonts w:ascii="Arial" w:cs="Arial" w:eastAsia="Arial" w:hAnsi="Arial"/>
                <w:sz w:val="18"/>
                <w:szCs w:val="18"/>
                <w:b w:val="1"/>
                <w:bCs w:val="1"/>
                <w:color w:val="auto"/>
              </w:rPr>
              <w:t>Fiscal</w:t>
            </w:r>
          </w:p>
        </w:tc>
        <w:tc>
          <w:tcPr>
            <w:tcW w:w="1220" w:type="dxa"/>
            <w:vAlign w:val="bottom"/>
            <w:gridSpan w:val="2"/>
          </w:tcPr>
          <w:p>
            <w:pPr>
              <w:ind w:left="540"/>
              <w:spacing w:after="0"/>
              <w:rPr>
                <w:sz w:val="20"/>
                <w:szCs w:val="20"/>
                <w:color w:val="auto"/>
              </w:rPr>
            </w:pPr>
            <w:r>
              <w:rPr>
                <w:rFonts w:ascii="Arial" w:cs="Arial" w:eastAsia="Arial" w:hAnsi="Arial"/>
                <w:sz w:val="18"/>
                <w:szCs w:val="18"/>
                <w:b w:val="1"/>
                <w:bCs w:val="1"/>
                <w:color w:val="auto"/>
              </w:rPr>
              <w:t>Fiscal</w:t>
            </w:r>
          </w:p>
        </w:tc>
        <w:tc>
          <w:tcPr>
            <w:tcW w:w="1240" w:type="dxa"/>
            <w:vAlign w:val="bottom"/>
            <w:gridSpan w:val="2"/>
          </w:tcPr>
          <w:p>
            <w:pPr>
              <w:ind w:left="560"/>
              <w:spacing w:after="0"/>
              <w:rPr>
                <w:sz w:val="20"/>
                <w:szCs w:val="20"/>
                <w:color w:val="auto"/>
              </w:rPr>
            </w:pPr>
            <w:r>
              <w:rPr>
                <w:rFonts w:ascii="Arial" w:cs="Arial" w:eastAsia="Arial" w:hAnsi="Arial"/>
                <w:sz w:val="18"/>
                <w:szCs w:val="18"/>
                <w:b w:val="1"/>
                <w:bCs w:val="1"/>
                <w:color w:val="auto"/>
              </w:rPr>
              <w:t>Fiscal</w:t>
            </w:r>
          </w:p>
        </w:tc>
        <w:tc>
          <w:tcPr>
            <w:tcW w:w="1220" w:type="dxa"/>
            <w:vAlign w:val="bottom"/>
            <w:gridSpan w:val="2"/>
          </w:tcPr>
          <w:p>
            <w:pPr>
              <w:ind w:left="540"/>
              <w:spacing w:after="0"/>
              <w:rPr>
                <w:sz w:val="20"/>
                <w:szCs w:val="20"/>
                <w:color w:val="auto"/>
              </w:rPr>
            </w:pPr>
            <w:r>
              <w:rPr>
                <w:rFonts w:ascii="Arial" w:cs="Arial" w:eastAsia="Arial" w:hAnsi="Arial"/>
                <w:sz w:val="18"/>
                <w:szCs w:val="18"/>
                <w:b w:val="1"/>
                <w:bCs w:val="1"/>
                <w:color w:val="auto"/>
              </w:rPr>
              <w:t>Fiscal</w:t>
            </w: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Fiscal</w:t>
            </w:r>
          </w:p>
        </w:tc>
      </w:tr>
      <w:tr>
        <w:trPr>
          <w:trHeight w:val="234"/>
        </w:trPr>
        <w:tc>
          <w:tcPr>
            <w:tcW w:w="5200" w:type="dxa"/>
            <w:vAlign w:val="bottom"/>
            <w:tcBorders>
              <w:bottom w:val="single" w:sz="8" w:color="CFF0FC"/>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FF0FC"/>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FF0FC"/>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r>
      <w:tr>
        <w:trPr>
          <w:trHeight w:val="22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Retail Stores</w:t>
            </w: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Beginning of year</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1,520</w:t>
            </w:r>
          </w:p>
        </w:tc>
        <w:tc>
          <w:tcPr>
            <w:tcW w:w="1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1,535</w:t>
            </w:r>
          </w:p>
        </w:tc>
        <w:tc>
          <w:tcPr>
            <w:tcW w:w="1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1,512</w:t>
            </w:r>
          </w:p>
        </w:tc>
        <w:tc>
          <w:tcPr>
            <w:tcW w:w="1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1,480</w:t>
            </w:r>
          </w:p>
        </w:tc>
      </w:tr>
      <w:tr>
        <w:trPr>
          <w:trHeight w:val="230"/>
        </w:trPr>
        <w:tc>
          <w:tcPr>
            <w:tcW w:w="52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Opened during year</w:t>
            </w: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w:t>
            </w:r>
          </w:p>
        </w:tc>
      </w:tr>
      <w:tr>
        <w:trPr>
          <w:trHeight w:val="230"/>
        </w:trPr>
        <w:tc>
          <w:tcPr>
            <w:tcW w:w="52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Closed during year</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52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End of year</w:t>
            </w: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1,554</w:t>
            </w:r>
          </w:p>
        </w:tc>
        <w:tc>
          <w:tcPr>
            <w:tcW w:w="10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1,535</w:t>
            </w:r>
          </w:p>
        </w:tc>
        <w:tc>
          <w:tcPr>
            <w:tcW w:w="10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1,512</w:t>
            </w:r>
          </w:p>
        </w:tc>
        <w:tc>
          <w:tcPr>
            <w:tcW w:w="12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1,480</w:t>
            </w:r>
          </w:p>
        </w:tc>
        <w:tc>
          <w:tcPr>
            <w:tcW w:w="10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1,460</w:t>
            </w:r>
          </w:p>
        </w:tc>
      </w:tr>
      <w:tr>
        <w:trPr>
          <w:trHeight w:val="20"/>
        </w:trPr>
        <w:tc>
          <w:tcPr>
            <w:tcW w:w="5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source, design, market and distribute footwear under our Johnston &amp; Murphy brand and the licensed Levi's, Dockers and G.H. Bass brands, as well as other brands that we license for footwear to over 1,000 retail accounts in the United States, including a number of leading department, discount, and specialty stores.</w:t>
      </w:r>
    </w:p>
    <w:p>
      <w:pPr>
        <w:spacing w:after="0" w:line="1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Shorthand references to fiscal years (e.g., “Fiscal 2021”) refer to the fiscal year ended on the Saturday nearest January 31st in the named year (e.g., January 30, 2021). The terms "Company," "Genesco," "we," "our" or "us" as used herein and unless otherwise stated or indicated by context refer to Genesco Inc. and its subsidiaries. All information contained in Item 7, “Management’s Discussion and Analysis of Financial Condition and Results of Operations,” which is referred to in this Item 1 of this report, is incorporated by such reference in Item 1. As discussed above, this report contains forward-looking statements. Actual results may vary materially and adversely from the expectations reflected in these statements. For a discussion of some of the factors that may lead to different results, see Item 1A, “Risk Factors” and Item 7,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COVID-19</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Impacts related to the novel coronavirus global pandemic (“COVID-19”) have been significantly adverse for the retail industry, our Company, our customers, and our employees. We have experienced significant disruptions to our business due to the COVID-19 pandemic and related social distancing and shelter-in-place recommendations and mandates, which initially resulted in the temporary closure of a number of stores and furlough of our employees. During Fiscal 2021, as stores were impacted by negative mall traffic, we focused on our digital capabilities. As of January 30, 2021, the vast majority of our stores in North America had reopened, although we continue to see residual impacts on foot traffic and in-store revenues. As of January 30, 2021, essentially all of the stores in the United Kingdom and the ROI remained closed.</w:t>
      </w:r>
    </w:p>
    <w:p>
      <w:pPr>
        <w:spacing w:after="0" w:line="1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impacts of the COVID-19 pandemic on our business are discussed in further detail throughout this Business section, Item 1A - Risk Factors, and Part II - Item 7 - Management's Discussion and Analysis of Financial Condition and Results of Operations of this Annual Report on Form 10-K.</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Strategy</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Across our company, we aspire to create and curate leading footwear brands that represent style, innovation and self-expression and to be the destination for our consumers' favorite fashion footwear. Each of our businesses has a strong strategic position grounded in a deep and ever-evolving understanding of the customers it serves. The strength of our concepts and the advantages we have built over time have established long-lasting leadership positions that make our footwear businesses outstanding on their own, but what they share through the benefit of synergies, makes them even stronger together. We have aligned our business around six pillars; 1) build deeper consumer insights to strengthen customer relationships and brand equity, 2) intensify product innovation and trend insight efforts, 3) accelerate digital to grow direct-to-consumer, 4) maximize the relationship between physical and digital, 5) reshape the cost base to reinvest for future growth, and 6) pursue synergistic acquisitions that add growth and create shareholder value. We anticipate opening fewer new stores in the future, concentrating on locations that we believe will be most productive, as well as closing certain stores, perhaps reducing the overall square footage and store count from current levels, but improving productivity in our existing locations and investing in technology and infrastructure to support omnichannel and digital retailing.</w:t>
      </w:r>
    </w:p>
    <w:p>
      <w:pPr>
        <w:spacing w:after="0" w:line="1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made acquisitions, including the acquisitions of the Schuh Group in June 2011, Little Burgundy in December 2015 and Togast in January 2020, and anticipate that we may pursue acquisitions reactively rather than proactively until we recover further from the pandemic. We anticipate that potential acquisitions would either augment existing businesses or facilitate our entry into new businesses that are compatible with our existing footwear businesses and core expertise.</w:t>
      </w:r>
    </w:p>
    <w:p>
      <w:pPr>
        <w:spacing w:after="0" w:line="16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More generally, we attempt to develop strategies to mitigate the risks we view as material, including those discussed under the caption “Forward Looking Statements,” above, and those discussed in Item 1A, "Risk Factors". Among the most important of these factors are those related to consumer demand. Conditions in the economy can affect demand, resulting in changes in sales and, as prices are adjusted to drive sales and manage inventories, in gross margins. Because fashion trends influencing many of our target customers can change rapidly, we believe that our ability to react quickly to those changes has been important to our success. Even when we succeed in aligning our merchandise offerings with consumer preferences, those preferences may affect results by, for example, driving sales of products with lower average selling prices or products which are more widely available in the marketplace and thus more subject to competitive pressures than our typical offering. Moreover, economic factors, such as persistent unemployment, the effects of the ongoing COVID-19 pandemic, and any future economic contraction and changes in tax policies, may reduce the consumer’s disposable income or his or her willingness to purchase discretionary items, and thus may reduce demand for our merchandise, regardless of our skill in detecting and responding to fashion trends. We believe our experience and discipline in merchandising and the buying power associated with our relative size and importance in the industry segments in which we compete are important factors in our ability to mitigate risks associated with changing customer preferences and other changes in consumer demand.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Journeys Group</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Journeys Group accounted for 69% of our net sales in Fiscal 2021. Journeys retail footwear stores target customers in the 13 to 22 year age group through the use of youth-oriented decor and multi-channel media. Journeys stores carry predominately branded merchandise across a wide range of prices. The Journeys Kidz retail footwear stores sell footwear and accessories primarily for younger children, toddler age to 12 years old. Little Burgundy retail footwear stores sell footwear and accessories to fashion-oriented men and women in the 21 to 34 age group ranging from students to young professionals.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January 30, 2021, Journeys Group operated 1,159 stores, including 888 Journeys stores, 233 Journeys Kidz stores and 38 Little Burgundy stores averaging approximately 1,975 square feet, located primarily in malls and factory outlet centers throughout the United States, Puerto Rico and Canada, selling footwear and accessories for young men, women and children. Journeys Group's e-commerce websites include the following: journeys.com, journeyskidz.com, journeys.ca and littleburgundyshoes.com. In Fiscal 2021, the Journeys Group closed a net of 12 stores.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Schuh Group</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Schuh Group accounted for 17% of our net sales in Fiscal 2021. Schuh Group stores target teenagers and young adults in the 16 to 24 year age group, selling a broad range of branded casual and athletic footwear along with a meaningful private label offering. At January 30, 2021, Schuh Group operated 123 Schuh stores, averaging approximately 4,825 square feet, which include both street-level and mall locations in the United Kingdom and the ROI. Schuh Group's e-commerce website is schuh.co.uk. Schuh Group closed a net of six stores in Fiscal 2021.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Johnston &amp; Murphy Group</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Johnston &amp; Murphy Group accounted for 8% of our net sales in Fiscal 2021. The majority of Johnston &amp; Murphy wholesale sales are of the Genesco-owned Johnston &amp; Murphy brand, and all of the group’s retail sales are of Johnston &amp; Murphy branded products.</w:t>
      </w:r>
    </w:p>
    <w:p>
      <w:pPr>
        <w:spacing w:after="0" w:line="13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Johnston &amp; Murphy Retail Operations. At January 30, 2021, Johnston &amp; Murphy operated 178 retail shops and factory stores primarily in the United States averaging approximately 1,900 square feet and selling footwear, apparel and accessories primarily for men in the 35 to 55 year age group, targeting business and professional customers. Johnston &amp; Murphy retail shops are located primarily in higher-end malls and airports nationwide and sell a broad range of men’s dress and casual footwear, apparel and accessories. Women’s footwear and accessories are sold in select Johnston &amp; Murphy locations. We also sell Johnston &amp; Murphy products directly to consumers through e-commerce websites. The websites are johnstonmurphy.com and johnstonmurphy.ca. Footwear accounted for 60% of Johnston &amp; Murphy retail sales in Fiscal 2021, with the balance consisting primarily of apparel and accessories. Johnston &amp; Murphy Group closed a net of two shops and factory stores in Fiscal 2021.</w:t>
      </w:r>
    </w:p>
    <w:p>
      <w:pPr>
        <w:spacing w:after="0" w:line="13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Johnston &amp; Murphy Wholesale Operations. Johnston &amp; Murphy men’s and women's footwear and accessories are sold at wholesale, primarily to better department stores, independent specialty stores and e-commerce. Johnston &amp; Murphy’s wholesale customers offer the brand’s footwear for dress, dress casual, and casual occasions, with the majority of styles offered in these channels selling from $100 to $195.</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Licensed Brands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Licensed Brands segment accounted for 6% of our net sales in Fiscal 2021. Licensed Brands sales include footwear marketed under the Levi's brand, Dockers brand and G.H. Bass brand, among others. The Levi's brand license was entered into concurrently with the closing of the Togast acquisition. We have had the exclusive Dockers men’s footwear license in the United States since 1991. We acquired the G.H. Bass brand license in conjunction with the acquisition of Togast. In addition, we renewed our men's Dockers footwear license for the United States. Dockers footwear is marketed to men aged 30 to 55 through many of the same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national retail chains that carry Dockers pants and sportswear and in department and specialty stores across the country. Suggested retail prices for Dockers footwear generally range from $50 to $90. Togast designs and sources licensed footwear under the Levi's and G.H. Bass brand names, among others, and provides services for the sourcing of FUBU licensed footwear.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Manufacturing and Sourcing</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rely on independent third-party manufacturers for production of our footwear products sold at wholesale and our Johnston &amp; Murphy retail business. We source footwear and accessory products from foreign manufacturers located in Brazil, Canada, China, Hong Kong, India, Italy, Mexico, Pakistan, Portugal, Peru, and Vietnam. Our retail operations, excluding Johnston &amp; Murphy, sell primarily branded products from third parties who source primarily overseas.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Competition</w:t>
      </w:r>
    </w:p>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Competition is intense in the footwear and accessory industries. Our retail footwear and accessory competitors range from small, locally owned stores to regional and national department stores, discount stores, specialty chains, our vendors with their own direct-to-consumer channels and online retailers. We also compete with hundreds of footwear wholesale operations in the United States and throughout the world, most of which are relatively small, specialized operations, but some of which are large, more diversified companies. Some of our competitors have resources that are not available to us. Our success depends upon our ability to remain competitive with respect to the key factors of style, price, quality, comfort, brand loyalty, customer service, store location and atmosphere, technology, infrastructure and speed of delivery to support e-commerce and the ability to offer relevant products.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Licenses</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own our Johnston &amp; Murphy</w:t>
      </w:r>
      <w:r>
        <w:rPr>
          <w:rFonts w:ascii="Arial" w:cs="Arial" w:eastAsia="Arial" w:hAnsi="Arial"/>
          <w:sz w:val="13"/>
          <w:szCs w:val="13"/>
          <w:color w:val="auto"/>
        </w:rPr>
        <w:t>®</w:t>
      </w:r>
      <w:r>
        <w:rPr>
          <w:rFonts w:ascii="Arial" w:cs="Arial" w:eastAsia="Arial" w:hAnsi="Arial"/>
          <w:sz w:val="16"/>
          <w:szCs w:val="16"/>
          <w:color w:val="auto"/>
        </w:rPr>
        <w:t xml:space="preserve"> brand and own or license the trade names of our retail concepts either directly or through wholly-owned subsidiaries. The Dockers</w:t>
      </w:r>
      <w:r>
        <w:rPr>
          <w:rFonts w:ascii="Arial" w:cs="Arial" w:eastAsia="Arial" w:hAnsi="Arial"/>
          <w:sz w:val="13"/>
          <w:szCs w:val="13"/>
          <w:color w:val="auto"/>
        </w:rPr>
        <w:t>®</w:t>
      </w:r>
      <w:r>
        <w:rPr>
          <w:rFonts w:ascii="Arial" w:cs="Arial" w:eastAsia="Arial" w:hAnsi="Arial"/>
          <w:sz w:val="16"/>
          <w:szCs w:val="16"/>
          <w:color w:val="auto"/>
        </w:rPr>
        <w:t xml:space="preserve"> footwear line, introduced in Fiscal 1993, is sold under a license agreement granting us the exclusive right to sell men’s footwear under the trademark in the United States, Canada and the Caribbean. The Dockers license agreement expires in 2024. We entered into a new license agreement with Levi Strauss &amp; Co. in January 2020 for the right to sell men's, women's and children's footwear under the Levi's</w:t>
      </w:r>
      <w:r>
        <w:rPr>
          <w:rFonts w:ascii="Arial" w:cs="Arial" w:eastAsia="Arial" w:hAnsi="Arial"/>
          <w:sz w:val="13"/>
          <w:szCs w:val="13"/>
          <w:color w:val="auto"/>
        </w:rPr>
        <w:t>®</w:t>
      </w:r>
      <w:r>
        <w:rPr>
          <w:rFonts w:ascii="Arial" w:cs="Arial" w:eastAsia="Arial" w:hAnsi="Arial"/>
          <w:sz w:val="16"/>
          <w:szCs w:val="16"/>
          <w:color w:val="auto"/>
        </w:rPr>
        <w:t xml:space="preserve"> trademark in the United States and the Caribbean. The initial term of the license agreement with respect to Levi's</w:t>
      </w:r>
      <w:r>
        <w:rPr>
          <w:rFonts w:ascii="Arial" w:cs="Arial" w:eastAsia="Arial" w:hAnsi="Arial"/>
          <w:sz w:val="13"/>
          <w:szCs w:val="13"/>
          <w:color w:val="auto"/>
        </w:rPr>
        <w:t>®</w:t>
      </w:r>
      <w:r>
        <w:rPr>
          <w:rFonts w:ascii="Arial" w:cs="Arial" w:eastAsia="Arial" w:hAnsi="Arial"/>
          <w:sz w:val="16"/>
          <w:szCs w:val="16"/>
          <w:color w:val="auto"/>
        </w:rPr>
        <w:t xml:space="preserve"> trademarks is through November 30, 2024 with one additional four-year renewal term. We license certain other footwear brands, mostly in foreign markets. License royalty income was not material in Fiscal 2021.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Wholesale Backlog</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Most of the orders in our wholesale divisions are for delivery within 150 days. Because most of our business is at-once, the backlog at any one time is not necessarily indicative of future sales. As of February 27, 2021, our wholesale operations had a backlog of orders, including unconfirmed customer purchase orders, amounting to approximately $64.6 million, compared to approximately $24.7 million on February 29, 2020. The increase in backlog reflects the acquisition of Togast. Our backlog may be more vulnerable to cancellation than is typical due to the COVID-19 pandemic.</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Human Capital</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Employees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had approximately 19,000 employees as of January 30, 2021 with approximately 16,000 employed in the United States and Canada, and approximately 3,000 in the United Kingdom and the ROI. The majority of our workforce consists of retail-based, customer-facing employees with approximately 70% part-time and 30% full-time as of January 30, 2021.</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values include treating our customers and each other with integrity, trust and respect, and creating an unrivaled home for talent and diversity to grow and succeed. We consider our employees to be core to our success.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Health &amp; Safety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COVID-19</w:t>
      </w:r>
    </w:p>
    <w:p>
      <w:pPr>
        <w:spacing w:after="0" w:line="18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Importantly, during Fiscal 2021, we faced many disruptions as a result of the COVID-19 pandemic. During this time, we took a number of steps to support our employees and customers including:</w:t>
      </w:r>
    </w:p>
    <w:p>
      <w:pPr>
        <w:spacing w:after="0" w:line="1" w:lineRule="exact"/>
        <w:rPr>
          <w:sz w:val="20"/>
          <w:szCs w:val="20"/>
          <w:color w:val="auto"/>
        </w:rPr>
      </w:pPr>
    </w:p>
    <w:p>
      <w:pPr>
        <w:ind w:left="800" w:hanging="40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safety and cleaning protocols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Employee safety training and communications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Modified visitor and travel policies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Strict protocols for employee contact tracing</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Technology investments to allow remote work where possible</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Suspension of meetings and events, utilizing virtual alternatives where possible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took action to protect employee wages and benefits during periods of store closings and periods of decreased mall and store traffic. Specifically, we continued benefits and paid employee premiums for employees on furlough due to store closings and temporarily implemented minimum guarantees in pay for full-time commissioned-based retail store employees. We also returned all or a portion of salaries lost for employees who were impacted by forced salary reductions.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Benefits</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currently offer a comprehensive benefits package designed to meet the diverse needs of our employees. This package includes many benefits dedicated to our employees’ physical and mental health and well-being as well as benefits designed to help employees build wealth and prepare for the future. We also provide valuable benefits and protections such as domestic partner benefits, parental leave, paid time for community service, adoption benefits, financial assistance with emergencies, scholarship opportunities, matching gift contributions and a generous product discount.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Pay</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compensation programs are designed to align the compensation of our employees with the Company’s performance and to provide incentives to attract, retain and motivate employees.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compensation philosophy is to motivate and retain our employees by offering what we believe to be competitive salary packages. To align employee objectives with the Company and ultimately our shareholders, we offer programs that reward long-term performance. We engage a nationally recognized outside compensation consulting firm to independently evaluate the effectiveness of our executive compensation programs and to provide benchmarking against our peers within the industry.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Diversity, Equity and Inclusion and Employee Engagement</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committed to furthering our efforts to cultivate a respectful and inclusive work environment in support of our employees and our business objectives. We have committed our diversity, equity and inclusion action to four overarching areas – community, talent, business practices and measurement.</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routinely conduct annual employee engagement surveys with various segments of our population. In 2020, we also conducted a diversity, equity and inclusion survey. We remain committed to listening to and learning from our employees.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Seasonality</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business is seasonal with our investment in inventory and accounts receivable normally reaching peaks in the spring and fall of each year and a significant portion of our net sales and operating income generated during the fourth quarter. Also, the wholesale backlog is somewhat seasonal, reaching a peak in the spring. We maintain in-stock programs for selected product lines with anticipated high-volume sales.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Environmental Matters</w:t>
      </w:r>
    </w:p>
    <w:p>
      <w:pPr>
        <w:spacing w:after="0" w:line="20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former manufacturing operations and the sites of those operations as well as the sites of our current operations are subject to numerous federal, state, and local laws and regulations relating to human health and safety and the environment. These laws and regulations address and regulate, among other matters, wastewater discharge, air quality and the generation, handling, storage, treatment, disposal, and transportation of solid and hazardous wastes and releases of hazardous substances into the environment. In addition, third parties and governmental agencies in some cases have the power under such laws and regulations to require remediation of environmental conditions and, in the case of governmental agencies, to impose fines and penalties. Several of the facilities owned by us (currently or in the past) are located in industrial areas and have historically been used for extensive periods for industrial operations such as tanning, dyeing, and manufacturing. Some of these operations used materials and generated wastes that would be considered regulated substances under current environmental laws and regulations. We are currently involved in certain administrative and judicial environmental proceedings relating to our former facilities. See Note 16 to the Consolidated Financial Statements included in Item 8, "Financial Statements and Supplementary Data".</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Available Information</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file reports with the Securities and Exchange Commission (“SEC”), including Annual Reports on Form 10-K, Quarterly Reports on Form 10-Q and other reports from time to time. We are an electronic filer and the SEC maintains an internet site at http://www.sec.gov that contains the reports, proxy and information statements, and other information filed electronically. Our website address, which is provided as an inactive textual reference only, is http://www.genesco.com. We make available free of charge through the website Annual Reports on Form 10-K, Quarterly Reports on Form 10-Q, Current Reports on Form 8-K, and all amendments to those reports as soon as reasonably practicable after such material is electronically filed with or furnished to the SEC. Copies of the charters of each of our Audit Committee, Compensation Committee, Nominating and Governance Committee as well as our Corporate Governance Guidelines and Code of Ethics along with position descriptions for our board of directors (the "Board of Directors" or the "Board") and Board committees are also available free of charge through the website. The information provided on our website is not part of this Annual Report on Form 10-K and is therefore not incorporated by reference unless such information is otherwise specifically incorporated elsewhere in this Annual Report on Form 10-K.</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is subject to significant risks. You should carefully consider the risks and uncertainties described below and the other information in this Annual Report on Form 10-K, including our Consolidated Financial Statements and the notes to those statements. The risks and uncertainties described below are not the only ones we face. Additional risks and uncertainties that we do not presently know about or that we currently consider immaterial may also affect our business operations and financial performance. If any of the events described below actually occur, our business, financial condition, cash flows or results of operations could be adversely affected in a material way. This could cause the trading price of our stock to decline, perhaps significantly, and you may lose part or all of your investment.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Competitive, Demand-Related and Reputational Risks</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experiencing a material disruption to our business as a result of the COVID-19 pandemic and our sales, supply chain and financial results have been, and may continue to be materially adversely impacted.</w:t>
      </w:r>
    </w:p>
    <w:p>
      <w:pPr>
        <w:spacing w:after="0" w:line="13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business is subject to risks, or public perception of risks, arising from public health and safety crises, including pandemics, which have impacted, and may in the future impact, our wholesale and retail demand and supply chain. On March 18, 2020, we closed all of our North American stores and on March 23, 2020, we temporarily closed all our stores in the United Kingdom and the ROI in response to the COVID-19 pandemic. Our wholesale partner stores also closed or substantially reduced operating hours in March of 2020. Beginning on May 1, 2020, we began reopening some of our stores based on pertinent state and local orders, and as of August 1, 2020, we had reopened most of our stores, although some stores, notably in California, Canada, the U.K. and the ROI, have been subject to further closures for varying periods. The duration of any closures and their impact over the longer term are uncertain and cannot be predicted at this time. The effects of the COVID-19 pandemic depend on future developments outside our control such as the spread of the disease and the effectiveness of containment efforts, as well as the timing and availability of effective medical treatments and the ongoing rollout of vaccines. Even if the COVID-19 pandemic does not continue for an extended period, our business could be materially adversely affected by several additional factors related to the COVID-19 pandemic, including the following:</w:t>
      </w:r>
    </w:p>
    <w:p>
      <w:pPr>
        <w:spacing w:after="0" w:line="8" w:lineRule="exact"/>
        <w:rPr>
          <w:sz w:val="20"/>
          <w:szCs w:val="20"/>
          <w:color w:val="auto"/>
        </w:rPr>
      </w:pPr>
    </w:p>
    <w:p>
      <w:pPr>
        <w:ind w:left="800" w:hanging="401"/>
        <w:spacing w:after="0" w:line="250"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Reduced consumer demand and customer traffic in malls and shopping centers and reduced demand for our wholesale products from our retail partners;</w:t>
      </w:r>
    </w:p>
    <w:p>
      <w:pPr>
        <w:jc w:val="both"/>
        <w:ind w:left="800" w:hanging="401"/>
        <w:spacing w:after="0" w:line="250"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effects of the COVID-19 pandemic on the global economy, including a recession, or the deterioration of economic conditions in the markets in which we operate, or an increase in unemployment levels could result in customers having less disposable income which could lead to reduced sales of our products;</w:t>
      </w:r>
    </w:p>
    <w:p>
      <w:pPr>
        <w:spacing w:after="0" w:line="1" w:lineRule="exact"/>
        <w:rPr>
          <w:rFonts w:ascii="Arial" w:cs="Arial" w:eastAsia="Arial" w:hAnsi="Arial"/>
          <w:sz w:val="18"/>
          <w:szCs w:val="18"/>
          <w:color w:val="auto"/>
        </w:rPr>
      </w:pPr>
    </w:p>
    <w:p>
      <w:pPr>
        <w:ind w:left="800" w:hanging="401"/>
        <w:spacing w:after="0" w:line="250"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effects of the COVID-19 pandemic could further delay inventory production and fulfillment and our release or delivery of new product offerings or require us to make unexpected changes to our offerings;</w:t>
      </w:r>
    </w:p>
    <w:p>
      <w:pPr>
        <w:ind w:left="800" w:hanging="401"/>
        <w:spacing w:after="0" w:line="265" w:lineRule="auto"/>
        <w:tabs>
          <w:tab w:leader="none" w:pos="800" w:val="left"/>
        </w:tabs>
        <w:numPr>
          <w:ilvl w:val="0"/>
          <w:numId w:val="4"/>
        </w:numPr>
        <w:rPr>
          <w:rFonts w:ascii="Arial" w:cs="Arial" w:eastAsia="Arial" w:hAnsi="Arial"/>
          <w:sz w:val="17"/>
          <w:szCs w:val="17"/>
          <w:color w:val="auto"/>
        </w:rPr>
      </w:pPr>
      <w:r>
        <w:rPr>
          <w:rFonts w:ascii="Arial" w:cs="Arial" w:eastAsia="Arial" w:hAnsi="Arial"/>
          <w:sz w:val="17"/>
          <w:szCs w:val="17"/>
          <w:color w:val="auto"/>
        </w:rPr>
        <w:t>“Shelter in Place” and other similar mandated or suggested isolation protocols could disrupt not only our brick and mortar operations but our e-commerce operations as well, particularly if employees are not able to report to work or perform their work remotely;</w:t>
      </w:r>
    </w:p>
    <w:p>
      <w:pPr>
        <w:ind w:left="800" w:hanging="401"/>
        <w:spacing w:after="0"/>
        <w:tabs>
          <w:tab w:leader="none" w:pos="800" w:val="left"/>
        </w:tabs>
        <w:numPr>
          <w:ilvl w:val="0"/>
          <w:numId w:val="4"/>
        </w:numPr>
        <w:rPr>
          <w:rFonts w:ascii="Arial" w:cs="Arial" w:eastAsia="Arial" w:hAnsi="Arial"/>
          <w:sz w:val="17"/>
          <w:szCs w:val="17"/>
          <w:color w:val="auto"/>
        </w:rPr>
      </w:pPr>
      <w:r>
        <w:rPr>
          <w:rFonts w:ascii="Arial" w:cs="Arial" w:eastAsia="Arial" w:hAnsi="Arial"/>
          <w:sz w:val="17"/>
          <w:szCs w:val="17"/>
          <w:color w:val="auto"/>
        </w:rPr>
        <w:t>While we are making efforts to both maintain reductions in operating costs and conserve cash, we may not be successful in doing so;</w:t>
      </w:r>
    </w:p>
    <w:p>
      <w:pPr>
        <w:spacing w:after="0" w:line="20" w:lineRule="exact"/>
        <w:rPr>
          <w:rFonts w:ascii="Arial" w:cs="Arial" w:eastAsia="Arial" w:hAnsi="Arial"/>
          <w:sz w:val="17"/>
          <w:szCs w:val="17"/>
          <w:color w:val="auto"/>
        </w:rPr>
      </w:pPr>
    </w:p>
    <w:p>
      <w:pPr>
        <w:ind w:left="800" w:hanging="401"/>
        <w:spacing w:after="0" w:line="250"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undertaking discussions with our landlords and other vendors to obtain rent and other relief, but we may not be successful in these endeavors. As a result, we may be subject to litigation or other claims;</w:t>
      </w:r>
    </w:p>
    <w:p>
      <w:pPr>
        <w:ind w:left="800" w:hanging="401"/>
        <w:spacing w:after="0" w:line="250"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After the pandemic has subsided, fear of COVID-19, re-occurrence of the outbreak or another pandemic or similar crisis could cause customers to avoid public places where our stores are located such as malls, outlets, and airports;</w:t>
      </w:r>
    </w:p>
    <w:p>
      <w:pPr>
        <w:ind w:left="800" w:right="20" w:hanging="401"/>
        <w:spacing w:after="0" w:line="250"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been forced to reduce our workforce, and as a result, there may be obstacles and delays in reopening stores which have remained closed as we may have to hire and train a substantial number of new employees; and</w:t>
      </w:r>
    </w:p>
    <w:p>
      <w:pPr>
        <w:ind w:left="800" w:right="20" w:hanging="401"/>
        <w:spacing w:after="0" w:line="323" w:lineRule="auto"/>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may be required to revise certain accounting estimates and judgments such as, but not limited to, those related to the valuation of goodwill, long-lived assets and deferred tax assets, which could have a material adverse effect on our financial position and results of operations.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COVID-19 has also had a significant impact on the countries, including China, from which we and our vendors source products. We and our vendors rely upon the facilities of third-party manufacturers in other countries to support our business. The outbreak has resulted in significant governmental measures being implemented to control the spread of the virus, including, among others, restrictions on manufacturing and the movement of employees in many other countries. As a result of the COVID-19 pandemic and the measures designed to contain the spread of the virus, our and our vendors’ third-party manufacturers may not have the materials, capacity, or capability to manufacture our products according to our schedule and specifications. If third-party manufacturers’ operations are curtailed, we and our vendors may need to seek alternate manufacturing sources, which may be more expensive. Alternate sources may not be available or may result in delays in shipments to us from our supply chain and subsequently to our customers, each of which would affect our results of operations. While the disruptions and restrictions on the ability to travel, quarantines, and temporary closures of the facilities of third-party manufacturers and suppliers, as well as general limitations on movement are expected to be temporary, the duration of the production and supply chain disruption, and related financial impact, cannot be estimated at this time. Should the production and distribution disruptions continue for an extended period of time, the impact on our supply chain could have a material adverse effect on our results of operations and cash flows.</w:t>
      </w:r>
    </w:p>
    <w:p>
      <w:pPr>
        <w:spacing w:after="0" w:line="14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Consumer spending is affected by poor economic conditions and other factors and may significantly harm our business, affecting our financial condition, liquidity, and results of operations.</w:t>
      </w:r>
    </w:p>
    <w:p>
      <w:pPr>
        <w:spacing w:after="0" w:line="125"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The success of our business depends to a significant extent upon the level of consumer spending in general and on our product categories. A number of factors may affect the level of consumer spending on merchandise that we offer, including, among other things:</w:t>
      </w:r>
    </w:p>
    <w:p>
      <w:pPr>
        <w:spacing w:after="0" w:line="1" w:lineRule="exact"/>
        <w:rPr>
          <w:sz w:val="20"/>
          <w:szCs w:val="20"/>
          <w:color w:val="auto"/>
        </w:rPr>
      </w:pPr>
    </w:p>
    <w:p>
      <w:pPr>
        <w:ind w:left="800" w:hanging="401"/>
        <w:spacing w:after="0" w:line="250"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economic and industry conditions, including the risks associated with recessions in the U.S. and Canada, and the impact of the ongoing COVID-19 pandemic;</w:t>
      </w:r>
    </w:p>
    <w:p>
      <w:pPr>
        <w:ind w:left="800" w:hanging="401"/>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9" w:lineRule="exact"/>
        <w:rPr>
          <w:rFonts w:ascii="Arial" w:cs="Arial" w:eastAsia="Arial" w:hAnsi="Arial"/>
          <w:sz w:val="18"/>
          <w:szCs w:val="18"/>
          <w:color w:val="auto"/>
        </w:rPr>
      </w:pPr>
    </w:p>
    <w:p>
      <w:pPr>
        <w:ind w:left="800" w:right="20" w:hanging="401"/>
        <w:spacing w:after="0" w:line="250"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conditions in the U.K and the ROI and the uncertainty surrounding, as well as the effects of, the withdrawal of the U.K. from the European Union (“Brexit”);</w:t>
      </w:r>
    </w:p>
    <w:p>
      <w:pPr>
        <w:ind w:left="800" w:hanging="401"/>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energy costs, which affect gasoline and home heating prices;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level of consumer debt;</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pricing of products;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interest rates;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tax rates, refunds and policies;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war, terrorism and other hostilities; and</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consumer confidence in future economic conditions.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Adverse economic conditions and any related decrease in consumer demand for discretionary items could have a material adverse effect on our business, results of operations and financial condition. The merchandise we sell generally consists of discretionary items. Reduced consumer confidence and spending may result in reduced demand for discretionary items and may force us to take inventory markdowns, decreasing sales and making expense leverage difficult to achieve. Demand can also be influenced by other factors beyond our control.</w:t>
      </w:r>
    </w:p>
    <w:p>
      <w:pPr>
        <w:spacing w:after="0" w:line="16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Moreover, while we believe that our operating cash flows and borrowing capacity under committed lines of credit will be adequate for our anticipated cash requirements, if the economy were to experience a continued or worsening downturn, if one or more of our revolving credit banks were to fail to honor its commitments under our credit lines or if we were unable to draw on our credit lines for any reason, we could be required to modify our operations for decreased cash flow or to seek alternative sources of liquidity, and such alternative sources might not be available to us. These same factors could impact our wholesale customers, limiting their ability to buy or pay for merchandise offered by us.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protect our reputation could have a material adverse effect on our brand names.</w:t>
      </w:r>
    </w:p>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success depends in part on the value and strength of the names of our business units. These names are integral to our businesses as well as to the implementation of our strategies for expanding our businesses. Maintaining, promoting, and positioning our brands will depend largely on the success of our marketing and merchandising efforts and our ability to provide high quality merchandise and a consistent, high quality customer experience. Our brands could be adversely affected if we fail to achieve these objectives or if our public image or reputation were to be tarnished by negative publicity or if adverse information concerning us is posted on social media platforms or similar mediums. Failure to comply, or accusation of failure to comply, with ethical, social, health, product, labor, data privacy, and environmental standards could also jeopardize our reputation and potentially lead to various adverse consumer and employee actions. Any of these events could result in decreased revenue or otherwise adversely affect our business.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involves a degree of risk related to fashion and other extrinsic demand drivers that are beyond our control.</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majority of our businesses serve a fashion-conscious customer base and depend upon the ability of our buyers and merchandisers to react to fashion trends, to purchase inventory that reflects such trends, and to manage our inventories appropriately in view of the potential for sudden changes in fashion, consumer taste, or other drivers of demand. Failure to execute any of these activities successfully could result in adverse consequences, including lower sales, product margins, operating income and cash flows.</w:t>
      </w:r>
    </w:p>
    <w:p>
      <w:pPr>
        <w:spacing w:after="0" w:line="15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future success also depends on our ability to respond to changing consumer preferences, identify and interpret consumer trends, and successfully market new products.</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industry in which we operate is subject to rapidly changing consumer preferences. The continued popularity of our footwear and the development and selection of new lines and styles of footwear with widespread consumer appeal, requires us to accurately identify and interpret changing consumer trends and preferences, and to effectively respond in a timely manner. Continuing demand and market acceptance for both existing and new products are uncertain and depend on substantial investment in product innovation, design and development, an ongoing commitment to product quality and significant and sustained marketing efforts and expenditures.</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assessing our response to anticipated changing consumer preferences and trends, we frequently must make decisions about product designs and marketing expenditures months in advance of the time when actual consumer acceptance can be determined. As a result, we may not be successful in responding to shifting consumer preferences and trends with new products that achieve market acceptance. If we fail to identify and interpret changing consumer preferences and trends, or are not successful in responding to these changes with the timely development or sourcing of products that achieve market acceptance, we could experience excess inventories and higher than normal markdowns, returns, order cancellations or an inability to profitably sell our products.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results may be adversely affected by declines in consumer traffic in malls.</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majority of our stores are located within shopping malls and depend to varying degrees on consumer traffic in the malls to generate sales. Declines in mall traffic, whether caused by a shift in consumer shopping preferences or by other factors, such as COVID-19, may negatively impact our ability to maintain or grow our sales in existing stores, which could have an adverse effect on our financial condition or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results of operations are subject to seasonal and quarterly fluctuations.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business is seasonal, with a significant portion of our net sales and operating income generated during the fourth quarter, which includes the holiday shopping season. Because of this seasonality, we have limited ability to compensate for shortfalls 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fourth quarter sales or earnings by changes in our operations or strategies in other quarters. Our quarterly results of operations also may fluctuate significantly based on such factors as:</w:t>
      </w:r>
    </w:p>
    <w:p>
      <w:pPr>
        <w:spacing w:after="0" w:line="1" w:lineRule="exact"/>
        <w:rPr>
          <w:sz w:val="20"/>
          <w:szCs w:val="20"/>
          <w:color w:val="auto"/>
        </w:rPr>
      </w:pPr>
    </w:p>
    <w:p>
      <w:pPr>
        <w:ind w:left="800" w:hanging="401"/>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of any new store openings and renewals;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amount of net sales contributed by new and existing stores;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of certain holidays and sales events;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quarter end dates due to the 53-week year;</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our merchandise mix;</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weather conditions that affect consumer spending; and</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actions of competitors, including promotional activity.</w:t>
      </w:r>
    </w:p>
    <w:p>
      <w:pPr>
        <w:spacing w:after="0" w:line="18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A failure to increase sales at our existing stores, given our high fixed expense cost structure, and in our e-commerce businesses may adversely affect our stock price and impact our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A number of factors have historically affected, and will continue to affect, our comparable sales results and gross margin, including:</w:t>
      </w:r>
    </w:p>
    <w:p>
      <w:pPr>
        <w:spacing w:after="0" w:line="23" w:lineRule="exact"/>
        <w:rPr>
          <w:sz w:val="20"/>
          <w:szCs w:val="20"/>
          <w:color w:val="auto"/>
        </w:rPr>
      </w:pPr>
    </w:p>
    <w:p>
      <w:pPr>
        <w:ind w:left="800" w:hanging="40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consumer trends, such as less disposable income due to the impact of economic conditions, tax policies and other factors;</w:t>
      </w:r>
    </w:p>
    <w:p>
      <w:pPr>
        <w:spacing w:after="0" w:line="9" w:lineRule="exact"/>
        <w:rPr>
          <w:rFonts w:ascii="Arial" w:cs="Arial" w:eastAsia="Arial" w:hAnsi="Arial"/>
          <w:sz w:val="18"/>
          <w:szCs w:val="18"/>
          <w:color w:val="auto"/>
        </w:rPr>
      </w:pPr>
    </w:p>
    <w:p>
      <w:pPr>
        <w:ind w:left="800" w:hanging="401"/>
        <w:spacing w:after="0" w:line="250"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lack of new fashion trends to drive demand in certain of our businesses and the ability of those businesses to adjust to fashion changes on a timely basis;</w:t>
      </w:r>
    </w:p>
    <w:p>
      <w:pPr>
        <w:ind w:left="800" w:hanging="40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closing of department stores that anchor malls or a significant number of non-anchor mall formats;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declining mall traffic due to changing customer preferences in the way they shop;</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timing of holidays including sales tax holidays and the timing of tax refunds;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regional and national economic conditions;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inclement weather;</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merchandise introductions and changes in our merchandise mix;</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distribute merchandise efficiently to our stores;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timing and type of sales events, promotional activities or other advertising;</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adapt to changing customer preferences in the ways they digitally shop;</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access to allocated product from our vendors;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execute our business strategy effectively; and</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external events beyond our control, such as COVID-19.</w:t>
      </w:r>
    </w:p>
    <w:p>
      <w:pPr>
        <w:spacing w:after="0" w:line="1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Our comparable sales have fluctuated in the past, including the composition of our comparable sales between store and digital, and we believe such fluctuations may continue. The unpredictability of our comparable sales may cause our revenue and results of operations to vary from quarter to quarter, and an unanticipated change in revenues or operating income may cause our stock price to fluctuate significantly.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the retail industry could have a material adverse effect on our business or financial condition.</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recent years, the retail industry has experienced consolidation, store closures, bankruptcies and other ownership changes. In the future, retailers in the U.S. and in foreign markets may further consolidate, undergo restructurings or reorganizations, or realign their affiliations, any of which could decrease the number of stores that carry our products or our licensees’ products or increase the ownership concentration within the retail industry. Changing shopping patterns, including the rapid expansion of online retail shopping, have adversely affected customer traffic in mall and outlet centers. We expect competition in the e-commerce market will continue to intensify. Growth in e-commerce could result in financial difficulties, including store closures, bankruptcies or liquidations for our brick-and-mortar wholesale customers who fail to compete effectively in the e-commerce market. We cannot control the success of individual malls, and an increase in store closures by other retailers may lead to mall bankruptcies, mall vacancies and reduced foot traffic. A continuation or worsening of these trends could cause financial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difficulties for one or more of our segments, which, in turn, could substantially increase our credit risk and have a material adverse effect on our results of operations, financial condition and cash flows.</w:t>
      </w:r>
    </w:p>
    <w:p>
      <w:pPr>
        <w:spacing w:after="0" w:line="14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future success will be determined, in part, on our ability to manage the impact of the rapidly changing retail environment and identify and capitalize on retail trends, including technology, enhanced digital capabilities, e-commerce and other process efficiencies that will better service our customers.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is intensely competitive and increased or new competition could have a material adverse effect on us.</w:t>
      </w:r>
    </w:p>
    <w:p>
      <w:pPr>
        <w:spacing w:after="0" w:line="18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retail footwear and accessory markets are intensely competitive. We currently compete against a diverse group of retailers, including other regional and national specialty stores, department and discount stores, small independents and e-commerce retailers, as well as our own vendors who are increasingly selling direct-to-consumers, which sell products similar to and often identical to those we sell. Our branded businesses, selling footwear at wholesale, also face intense competition, both from other branded wholesale vendors and from private label initiatives of their retailer customers. A number of different competitive factors could have a material adverse effect on our business, including:</w:t>
      </w:r>
    </w:p>
    <w:p>
      <w:pPr>
        <w:spacing w:after="0" w:line="3" w:lineRule="exact"/>
        <w:rPr>
          <w:sz w:val="20"/>
          <w:szCs w:val="20"/>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operational efficiencies of competitors;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competitive pricing strategies;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expansion by existing competitors;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expansion of direct-to-consumer selling by our vendors;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entry by new competitors into markets in which we currently operate; and</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adoption by existing retail competitors of innovative store formats or sales methods.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Investments and Infrastructure Risks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a number of risks in opening new stores and renewing leases on existing stores.</w:t>
      </w:r>
    </w:p>
    <w:p>
      <w:pPr>
        <w:spacing w:after="0" w:line="18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may open new stores, both in regional malls, where most of the operational experience of our U.S. businesses lies, and in other venues including outlet centers, major city street locations, airports and tourist destinations. We cannot offer assurances that we will be able to open as many stores as we have planned, that any new store will achieve similar operating results to those of our existing stores or that new stores opened in markets in which we operate will not have a material adverse effect on the revenues and profitability of our existing stores. In addition to the risks already discussed for existing stores, the success of any planned expansion will be dependent upon numerous factors, many of which are beyond our control, including the following:</w:t>
      </w:r>
    </w:p>
    <w:p>
      <w:pPr>
        <w:spacing w:after="0" w:line="2" w:lineRule="exact"/>
        <w:rPr>
          <w:sz w:val="20"/>
          <w:szCs w:val="20"/>
          <w:color w:val="auto"/>
        </w:rPr>
      </w:pPr>
    </w:p>
    <w:p>
      <w:pPr>
        <w:ind w:left="800" w:hanging="40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identify suitable markets and individual store sites within those markets;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competition for suitable store sites;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negotiate favorable lease terms for new stores and renewals (including rent and other costs) with landlords;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ability to obtain governmental and other third-party consents, permits and licenses necessary to the operation of our stores or otherwise;</w:t>
      </w:r>
    </w:p>
    <w:p>
      <w:pPr>
        <w:spacing w:after="0" w:line="32" w:lineRule="exact"/>
        <w:rPr>
          <w:rFonts w:ascii="Arial" w:cs="Arial" w:eastAsia="Arial" w:hAnsi="Arial"/>
          <w:sz w:val="16"/>
          <w:szCs w:val="16"/>
          <w:color w:val="auto"/>
        </w:rPr>
      </w:pPr>
    </w:p>
    <w:p>
      <w:pPr>
        <w:ind w:left="800" w:hanging="40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build and remodel stores on schedule and at acceptable cost;</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of employees to staff new stores and our ability to hire, train, motivate and retain store personnel;</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changes to laws and regulations, including wage, over-time, and employee benefits laws on store expense;</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of adequate management and financial resources to manage an increased number of stores;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adapt our distribution and other operational and management systems to an expanded network of stores; and</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unforeseen events, such as COVID-19, could prevent or delay store openings and impact our liquidity needed for store openings.</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Additionally, the results we expect to achieve during each fiscal quarter are dependent upon opening new stores and renewing leases on existing stores on schedule. If we fall behind new store openings, we will lose expected sales and earnings between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planned opening date and the actual opening and may further complicate the logistics of opening stores, possibly resulting in additional delays, seasonally inappropriate product assortments, and other undesirable conditions.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Any acquisitions we make or new businesses we launch, as well as any dispositions of assets or businesses, involve a degree of risk.</w:t>
      </w:r>
    </w:p>
    <w:p>
      <w:pPr>
        <w:spacing w:after="0" w:line="20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Acquisitions have been a component of our growth strategy in recent years, and we expect that we may continue to engage in acquisitions or launch new businesses to grow our revenues and meet our other strategic objectives. If acquisitions are not successfully integrated with our business, our ongoing operations could be adversely affected. Additionally, acquisitions or new businesses may not achieve desired profitability objectives or result in any anticipated successful expansion of the businesses or concepts, causing lower than expected earnings and cash flow and potentially requiring impairment of goodwill and other intangibles. Although we review and analyze assets or companies we acquire, such reviews are subject to uncertainties and may not reveal all potential risks. Additionally, although we attempt to obtain protective contractual provisions, such as representations, warranties and indemnities, in connection with acquisitions, we cannot offer assurance that we can obtain such provisions in our acquisitions or that they will fully protect us from unforeseen costs of, or liabilities associated with, the acquisitions. We may also incur significant costs and diversion of management time and attention in connection with pursuing possible acquisitions even if the acquisition is not ultimately consummated.</w:t>
      </w:r>
    </w:p>
    <w:p>
      <w:pPr>
        <w:spacing w:after="0" w:line="12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Additionally, we have in the past and may in the future divest assets or businesses. Following any such divestitures, we may retain or incur liabilities or costs relating to our previous ownership of the assets or business that we sell. Any required payments on retained liabilities or indemnification obligations with respect to past or future asset or business divestitures could have a material adverse effect on our business or results of operations. Dispositions may also involve our continued financial involvement in the divested business, such as through transition services agreements and guarantees. Under these arrangements, performance by the divested businesses or conditions outside our control could adversely affect our business and results of operations.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Further, acquisitions and dispositions are often structured such that the purchase price paid or received by us, as applicable, is subject to post-closing adjustments, whether as a result of net working capital adjustments, contingent payments (i.e., earn-outs) or otherwise. Any such adjustments could result in a material change in the consideration paid to or received by us, as applicable, in such transactions.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recorded with acquisitions is subject to impairment which could reduce the Company's profitability.</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acquisitions, we record goodwill on our Consolidated Balance Sheets. This asset is not amortized but is subject to an impairment test at least annually, where we have the option first to assess qualitative factors to determine whether events and circumstances indicate that it is more likely than not that goodwill is impaired. If after such assessment we conclude that the asset is impaired, we are required to determine the fair value of the asset using a quantitative impairment test that is based on projected future cash flows from the acquired business discounted at a rate commensurate with the risk we consider to be inherent in our current business model. We perform the impairment test annually at the beginning of our fourth quarter, or more frequently if events or circumstances indicate that the value of the asset might be impaired.</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Deterioration in our market value, whether related to our operating performance or to disruptions in the equity markets or deterioration in the operating performance of the business unit with which goodwill is associated, which could be caused by events such as, but not limited to, COVID-19, could cause us to recognize the impairment of some or all of the $38.6 million of goodwill on our Consolidated Balance Sheets at January 30, 2021, resulting in the reduction of net assets and a corresponding non-cash charge to earnings in the amount of the impairment.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Technology, Data Security and Privacy Risks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operation of our business is heavily dependent on our information systems.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depend on a variety of information technology systems for the efficient functioning of our business (including our multiple e-commerce websites) and security of information. Much information essential to our business is maintained electronically, including competitively sensitive information and potentially sensitive personal information about customers and employees.</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Despite our preventative efforts, our IT systems and websites may, from time to time be vulnerable to damage or interruption from events such as difficulties in replacing or integrating the systems of acquired businesses, computer viruses, security breaches and power outages.</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insurance policies may not provide coverage for security breaches and similar incidents or may have coverage limits which may not be adequate to reimburse us for losses caused by security breaches. We also rely on certain hardware and software</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vendors, including cloud-service providers, to maintain and periodically upgrade many of these systems so that they can continue to support our business. The software programs supporting many of our systems are licensed to us by independent software developers. The inability of our employees and developers or our inability to continue to maintain and upgrade these information systems and software programs could disrupt or reduce the efficiency of our operations. In addition, costs and potential problems and interruptions associated with the implementation of new or upgraded systems and technology or with maintenance or adequate support of existing systems could also disrupt or reduce the efficiency of our operations or leave us vulnerable to security breaches.</w:t>
      </w:r>
    </w:p>
    <w:p>
      <w:pPr>
        <w:spacing w:after="0" w:line="1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rely heavily on our information technology staff. If we cannot meet our staffing needs in this area, we may not be able to fulfill our technology initiatives or to provide maintenance on existing systems.</w:t>
      </w:r>
    </w:p>
    <w:p>
      <w:pPr>
        <w:spacing w:after="0" w:line="13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are subject to payment-related risks that could increase our operating costs, expose us to fraud or theft, subject us to potential liability and potentially disrupt our business.</w:t>
      </w:r>
    </w:p>
    <w:p>
      <w:pPr>
        <w:spacing w:after="0" w:line="1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a retailer who accepts payments using a variety of methods, including credit and debit cards, installment payment methods, PayPal, and gift cards, we are subject to rules, regulations, contractual obligations and compliance requirements, including payment network rules and operating guidelines, data security standards and certification requirements, and rules governing electronic funds transfers. The regulatory environment related to information security and privacy is increasingly rigorous, with new and constantly changing requirements applicable to our business, and compliance with those requirements could result in additional costs or accelerate these costs with additional legal and financial exposure for noncompliance. For certain payment methods, including credit and debit cards, we pay interchange and other fees, which could increase over time and raise our operating costs. We rely on third parties to provide payment processing services, including the processing of credit cards, debit cards, and other forms of electronic payment. If these companies become unable to provide these services to us, or if their systems are compromised, it could disrupt our business.</w:t>
      </w:r>
    </w:p>
    <w:p>
      <w:pPr>
        <w:spacing w:after="0" w:line="1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payment methods that we offer also subject us to potential fraud and theft by persons who seek to obtain unauthorized access to or exploit any weaknesses that may exist in the payment systems. We completed the implementation of Europay, Mastercard and Visa ("EMV") technology and received certification in Fiscal 2018; however future upgrades to our Company's systems could expose us to the fraudulent use of credit cards and increased costs, including possible fines and restrictions on our Company's ability to accept payments by credit or debit cards, if we were not to receive recertification. Because we accept debit and credit cards for payment, we are also subject to industry data protection standards and protocols, such as the Payment Card Industry Data Security Standards (“PCI DSS”), issued by the Payment Card Industry Security Standards Council. Additionally, we have implemented technology in our stores to allow for the acceptance of EMV credit transactions and point-to-point encryption. Complying with PCI DSS standards and implementing related procedures, technology and information security measures require significant resources and ongoing attention. However, even if we comply with PCI DSS standards and offer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EMV and point-to-point encryption technology in our stores, we may be vulnerable to, and unable to detect and appropriately respond to, data security breaches and data loss, including cybersecurity attacks or other breach of cardholder data.</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 Payment Card Industry (“PCI”) is controlled by a limited number of vendors who have the ability to impose changes in the PCI’s fee structure and operational requirements on us without negotiation. Such changes in fees and operational requirements may result in our failure to comply with PCI DSS, and cause us to incur significant unanticipated expenses.</w:t>
      </w:r>
    </w:p>
    <w:p>
      <w:pPr>
        <w:spacing w:after="0" w:line="13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 privacy breach, through a cybersecurity incident or otherwise, or failure to comply with privacy laws could materially adversely affect our business.</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As part of normal operations, we and our third-party vendors and partners, receive and maintain confidential and personally identifiable information (“PII”) about our customers and employees, and confidential financial, intellectual property, and other information. We regard the protection of our customer, employee, and company information as critical. The regulatory environment surrounding information security and privacy is very demanding, with the frequent imposition of new and changing requirements some of which involve significant costs to implement and significant penalties if not followed properly. Despite our efforts and technology to secure our computer network and systems, a cybersecurity breach, whether targeted, random, or inadvertent, and whether at the hands of cyber criminals, hackers, rogue employees or other persons, may occur and could go undetected for a period of time, resulting in a material disruption of our computer network, a loss of information valuable to our business, including without limitation customer or employee PII, and/or theft. A similar cybersecurity breach to the computer networks and systems of our third-party vendors and partners, including those that are cloud-based, over which we have no control, may occur, and could lead to a material disruption of our computer network and/or the areas of our business that are dependent on the support, services and other products provided by our third-party vendors and partners. Our computer networks and our business may be adversely affected by such a breach of our third-party vendors and partners, which could result in a decrease in our e-commerce sales and/or a loss of information valuable to our business, including, without limitation, PII of customers or employees. Such a cyber-incident could result in any of the following:</w:t>
      </w:r>
    </w:p>
    <w:p>
      <w:pPr>
        <w:spacing w:after="0" w:line="6" w:lineRule="exact"/>
        <w:rPr>
          <w:sz w:val="20"/>
          <w:szCs w:val="20"/>
          <w:color w:val="auto"/>
        </w:rPr>
      </w:pPr>
    </w:p>
    <w:p>
      <w:pPr>
        <w:jc w:val="both"/>
        <w:ind w:left="800" w:hanging="401"/>
        <w:spacing w:after="0" w:line="250"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theft, destruction, loss, misappropriation, or release of confidential financial and other data, intellectual property, customer awards, or customer or employee information, including PII such as payment card information, email addresses, passwords, social security numbers, home addresses, or health information;</w:t>
      </w:r>
    </w:p>
    <w:p>
      <w:pPr>
        <w:spacing w:after="0" w:line="1" w:lineRule="exact"/>
        <w:rPr>
          <w:rFonts w:ascii="Arial" w:cs="Arial" w:eastAsia="Arial" w:hAnsi="Arial"/>
          <w:sz w:val="18"/>
          <w:szCs w:val="18"/>
          <w:color w:val="auto"/>
        </w:rPr>
      </w:pPr>
    </w:p>
    <w:p>
      <w:pPr>
        <w:ind w:left="800" w:hanging="401"/>
        <w:spacing w:after="0" w:line="250"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operational or business delays resulting from the disruption of our e-commerce sites, computer networks or the computer networks of our third-party vendors and partners and subsequent material clean-up and mitigation costs and activities;</w:t>
      </w:r>
    </w:p>
    <w:p>
      <w:pPr>
        <w:ind w:left="800" w:hanging="401"/>
        <w:spacing w:after="0"/>
        <w:tabs>
          <w:tab w:leader="none" w:pos="8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negative publicity resulting in material reputation or brand damage with our customers, vendors, third-party partners or industry peers;</w:t>
      </w:r>
    </w:p>
    <w:p>
      <w:pPr>
        <w:spacing w:after="0" w:line="20" w:lineRule="exact"/>
        <w:rPr>
          <w:rFonts w:ascii="Arial" w:cs="Arial" w:eastAsia="Arial" w:hAnsi="Arial"/>
          <w:sz w:val="17"/>
          <w:szCs w:val="17"/>
          <w:color w:val="auto"/>
        </w:rPr>
      </w:pPr>
    </w:p>
    <w:p>
      <w:pPr>
        <w:ind w:left="800" w:hanging="401"/>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loss of sales, including those generated through our e-commerce websites; and</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governmental penalties, fines and/or enforcement actions, payment and industry penalties and fines and/or class action and other lawsuits.</w:t>
      </w:r>
    </w:p>
    <w:p>
      <w:pPr>
        <w:spacing w:after="0" w:line="1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Any of the above risks, individually or in aggregation, could materially damage our reputation and result in lost sales, governmental and payment card industry fines, and/or class action and other lawsuits. Although we carry cybersecurity insurance, in the event of a cyber-incident, that insurance may not be extensive enough or adequate in scope of coverage or amount to reimburse us for damages we may incur. Further, a significant breach of federal, state, provincial, local or international privacy laws could have a material adverse effect on our reputation.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Operational, Supply Chain and Third-Party Risks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Increased operating costs, including those resulting from potential increases in the minimum wage, could have an adverse effect on our results.</w:t>
      </w:r>
    </w:p>
    <w:p>
      <w:pPr>
        <w:spacing w:after="0" w:line="21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Increased operating costs, including those resulting from potential increases in the minimum wage or wage increases reflecting competition in relevant labor markets, store occupancy costs, distribution center costs and other expense items, including healthcare costs, may reduce our operating margin, and make it more difficult to identify new store locations that we believe will meet our investment return requirements. In addition, other employment and healthcare law changes may increase the cost of provided retirement and healthcare benefits expenses. Increases in our overall employment costs could have a material adverse effect on the Company’s business, results of operations and financial and competitive position.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lose key members of management or are unable to attract and retain the talent required for our business, our operating results could suffer.</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performance depends largely on the efforts and abilities of members of our management team. Our executives have substantial experience and expertise in our business and have made significant contributions to our growth and success. The unexpected future loss of services of one or more key members of our management team could have an adverse effect on our business. In addition, future performance will depend upon our ability to attract, retain and motivate qualified employees, including store personnel and field management. If we are unable to do so, our ability to meet our operating goals may be compromised. Finally, our stores are decentralized, are managed through a network of geographically dispersed management personnel and historically experience a high degree of turnover. If we are for any reason unable to maintain appropriate controls on store operations due to turnover or other reasons, including the ability to control losses resulting from inventory and cash shrinkage, our sales and operating margins may be adversely affected. There can be no assurance that we will be able to attract and retain the personnel we need in the future.</w:t>
      </w:r>
    </w:p>
    <w:p>
      <w:pPr>
        <w:spacing w:after="0" w:line="1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loss of, or disruption in, one of our distribution centers and other factors affecting the distribution of merchandise, including freight cost, could materially adversely affect our business.</w:t>
      </w:r>
    </w:p>
    <w:p>
      <w:pPr>
        <w:spacing w:after="0" w:line="1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Each of our divisions uses a single distribution center to handle all or a significant amount of its merchandise. Most of our operations’ inventory is shipped directly from suppliers to our operations' distribution centers, where the inventory is then processed, sorted and shipped to our stores, to our wholesale customers or to our e-commerce customers. We depend on the orderly operation of this receiving and distribution process, which depends, in turn, on adherence to shipping schedules and effective management of the distribution centers. Although we believe that our receiving and distribution process is efficient and well positioned to support our current business and our expansion plans, we cannot offer assurance that we have anticipated all of the changing demands that our expanding operations, particularly our e-commerce operations, will impose on our receiving and distribution system, or that events beyond our control, such as disruptions in operations due to fire or other catastrophic events, labor disagreements or shipping problems (whether in our own or in our third party vendors’ or carriers’ businesses), will not result in delays in the delivery of merchandise to our stores or to our wholesale customers or e-commerce/retail customers. In addition, to the extent we need to add capacity to distribution centers by either leasing or building new distribution centers or adding capacity at existing centers or make changes in our distribution processes to improve efficiency and maximize capacity, we cannot assure that these changes will not result in unanticipated delays or interruptions in distribution. We depend upon third-parties for shipment of a significant amount of merchandise. Interruptions in the services provided by third-parties may occasionally result from damage or destruction to our distribution centers; weather-related events; natural disasters; pandemics; trade policy changes or restrictions; tariffs or import-related taxes; third-party labor disruptions; shipping capacity constraints; third-party contract disputes; military conflicts; acts of terrorism; or other factors beyond our control. An interruption in service by third-parties for any reason could cause temporary disruptions in our business, a loss of sales and profits, and other material adverse effects.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freight cost is impacted by changes in fuel prices, surcharges and other factors which can affect cost both on inbound freight from vendors to our distribution centers and outbound freight from our distribution centers to our stores and customers. Increases in freight costs, including in connection with increased fuel prices, may increase our cost of goods sold and our selling and administrative expenses.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increase in the cost or a disruption in the flow of our imported products could adversely affect our business.</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Merchandise originally manufactured and imported from overseas makes up a large proportion of our total inventory. A disruption in the shipping of our imported merchandise or an increase in the cost of those products may significantly decrease our sales and profits. We may be unable to meet customer demands or pass on price increases to our customers. In addition, if imported merchandise becomes more expensive or unavailable, the transition to alternative sources may not occur in time to meet demand. Products from alternative sources may also be of lesser quality or more expensive than those we currently import. Risks associated with our reliance on imported products include:</w:t>
      </w:r>
    </w:p>
    <w:p>
      <w:pPr>
        <w:spacing w:after="0" w:line="3" w:lineRule="exact"/>
        <w:rPr>
          <w:sz w:val="20"/>
          <w:szCs w:val="20"/>
          <w:color w:val="auto"/>
        </w:rPr>
      </w:pPr>
    </w:p>
    <w:p>
      <w:pPr>
        <w:ind w:left="800" w:hanging="401"/>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disruptions in the shipping and importation of imported products because of factors such as:</w:t>
      </w:r>
    </w:p>
    <w:p>
      <w:pPr>
        <w:spacing w:after="0" w:line="9" w:lineRule="exact"/>
        <w:rPr>
          <w:rFonts w:ascii="Arial" w:cs="Arial" w:eastAsia="Arial" w:hAnsi="Arial"/>
          <w:sz w:val="18"/>
          <w:szCs w:val="18"/>
          <w:color w:val="auto"/>
        </w:rPr>
      </w:pPr>
    </w:p>
    <w:p>
      <w:pPr>
        <w:ind w:left="1180" w:hanging="389"/>
        <w:spacing w:after="0"/>
        <w:tabs>
          <w:tab w:leader="none" w:pos="11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raw material shortages, work stoppages, strikes and political unrest;</w:t>
      </w:r>
    </w:p>
    <w:p>
      <w:pPr>
        <w:spacing w:after="0" w:line="9" w:lineRule="exact"/>
        <w:rPr>
          <w:rFonts w:ascii="Arial" w:cs="Arial" w:eastAsia="Arial" w:hAnsi="Arial"/>
          <w:sz w:val="18"/>
          <w:szCs w:val="18"/>
          <w:color w:val="auto"/>
        </w:rPr>
      </w:pPr>
    </w:p>
    <w:p>
      <w:pPr>
        <w:ind w:left="1180" w:hanging="389"/>
        <w:spacing w:after="0"/>
        <w:tabs>
          <w:tab w:leader="none" w:pos="11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problems with oceanic shipping, including shipping container shortages and delays in ports;</w:t>
      </w:r>
    </w:p>
    <w:p>
      <w:pPr>
        <w:spacing w:after="0" w:line="9" w:lineRule="exact"/>
        <w:rPr>
          <w:rFonts w:ascii="Arial" w:cs="Arial" w:eastAsia="Arial" w:hAnsi="Arial"/>
          <w:sz w:val="18"/>
          <w:szCs w:val="18"/>
          <w:color w:val="auto"/>
        </w:rPr>
      </w:pPr>
    </w:p>
    <w:p>
      <w:pPr>
        <w:ind w:left="1180" w:hanging="389"/>
        <w:spacing w:after="0"/>
        <w:tabs>
          <w:tab w:leader="none" w:pos="11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increased customs inspections of import shipments or other factors that could result in penalties causing delays in shipments;</w:t>
      </w:r>
    </w:p>
    <w:p>
      <w:pPr>
        <w:spacing w:after="0" w:line="9" w:lineRule="exact"/>
        <w:rPr>
          <w:rFonts w:ascii="Arial" w:cs="Arial" w:eastAsia="Arial" w:hAnsi="Arial"/>
          <w:sz w:val="18"/>
          <w:szCs w:val="18"/>
          <w:color w:val="auto"/>
        </w:rPr>
      </w:pPr>
    </w:p>
    <w:p>
      <w:pPr>
        <w:ind w:left="1180" w:hanging="389"/>
        <w:spacing w:after="0"/>
        <w:tabs>
          <w:tab w:leader="none" w:pos="11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economic crises, natural disasters, pandemics (including COVID-19), international disputes and wars; and</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increases in the cost of purchasing or shipping foreign merchandise resulting from:</w:t>
      </w:r>
    </w:p>
    <w:p>
      <w:pPr>
        <w:spacing w:after="0" w:line="9" w:lineRule="exact"/>
        <w:rPr>
          <w:rFonts w:ascii="Arial" w:cs="Arial" w:eastAsia="Arial" w:hAnsi="Arial"/>
          <w:sz w:val="18"/>
          <w:szCs w:val="18"/>
          <w:color w:val="auto"/>
        </w:rPr>
      </w:pPr>
    </w:p>
    <w:p>
      <w:pPr>
        <w:ind w:left="1180" w:hanging="389"/>
        <w:spacing w:after="0"/>
        <w:tabs>
          <w:tab w:leader="none" w:pos="11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imposition of additional cargo or safeguard measures;</w:t>
      </w:r>
    </w:p>
    <w:p>
      <w:pPr>
        <w:spacing w:after="0" w:line="9" w:lineRule="exact"/>
        <w:rPr>
          <w:rFonts w:ascii="Arial" w:cs="Arial" w:eastAsia="Arial" w:hAnsi="Arial"/>
          <w:sz w:val="18"/>
          <w:szCs w:val="18"/>
          <w:color w:val="auto"/>
        </w:rPr>
      </w:pPr>
    </w:p>
    <w:p>
      <w:pPr>
        <w:ind w:left="1180" w:hanging="389"/>
        <w:spacing w:after="0" w:line="250" w:lineRule="auto"/>
        <w:tabs>
          <w:tab w:leader="none" w:pos="11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denial by the United States of “most favored nation” trading status to or the imposition of quotas or other restriction on imports from a foreign country from which we purchase goods;</w:t>
      </w:r>
    </w:p>
    <w:p>
      <w:pPr>
        <w:ind w:left="1180" w:hanging="389"/>
        <w:spacing w:after="0"/>
        <w:tabs>
          <w:tab w:leader="none" w:pos="11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changes in import duties, import quotas and other trade sanctions; and</w:t>
      </w:r>
    </w:p>
    <w:p>
      <w:pPr>
        <w:spacing w:after="0" w:line="9" w:lineRule="exact"/>
        <w:rPr>
          <w:rFonts w:ascii="Arial" w:cs="Arial" w:eastAsia="Arial" w:hAnsi="Arial"/>
          <w:sz w:val="18"/>
          <w:szCs w:val="18"/>
          <w:color w:val="auto"/>
        </w:rPr>
      </w:pPr>
    </w:p>
    <w:p>
      <w:pPr>
        <w:ind w:left="1180" w:hanging="389"/>
        <w:spacing w:after="0"/>
        <w:tabs>
          <w:tab w:leader="none" w:pos="11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increases in shipping rates.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considerable amount of the inventory we sell is imported from China, which has historically been subject to efforts to increase duty rates or to impose restrictions on imports of certain products.</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we or our suppliers or licensees are unable to source raw materials or finished goods from the countries where we or they wish to purchase them, either because of a regulatory change or for any other reason, or if the cost of doing so should increase, it could have a material adverse effect on our sales and earnings.</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small portion of the products we buy abroad is priced in foreign currencies and, therefore, we are affected by fluctuating currency exchange rates. In the past, we have entered into foreign currency exchange contracts with major financial institutions to hedge these fluctuations. We may not be able to effectively protect ourselves in the future against currency rate fluctuations. Even dollar-denominated foreign purchases may be affected by currency fluctuations to reflect appreciation in the local currency against the dollar in the price of the products that they provide. See Item 7, “Management’s Discussion and Analysis of Financial Condition and Results of Operations” for more information about our foreign currency exchange rate exposure and any hedging activities.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Data protection requirements are constantly evolving and these requirements could adversely affect our business and operating results.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access to collect or maintain information about our customers, and the protection of that data is critical to our business. The regulatory environment surrounding information security and privacy continues to evolve and new laws are increasingly giving customers the right to control how their personal data is used. One such law is the European Union's General Data Protection Regulation ("GDPR"). Our failure to comply with the obligations of GDPR and similar U.S. federal and state laws, including California privacy laws, could in the future result in significant penalties which could have a material adverse effect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our business and results of operations. Data protection compliance could also cause us to incur substantial costs, forego a substantial amount of revenue or be subject to business risk associated with system changes and new business processes.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on third-party vendors and licensors for the merchandise we sell.</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do not manufacture the merchandise we sell, and our Licensed Brands business is dependent on third-party licenses. Accordingly, our product supply is subject to the ability and willingness of third-party suppliers to deliver merchandise we order on time and in the quantities and of the quality we need. In addition, a material portion of our retail footwear sales consists of products marketed under brands, belonging to unaffiliated vendors, which have fashion significance to our customers. If those vendors were to decide not to sell to us or to limit the availability of their products to us, or if they become unable because of economic conditions, COVID-19, work stoppages, strikes, political unrest, raw materials supply disruptions, or any other reason to supply us with products, we could be unable to offer our customers the products they wish to buy and could lose their business. Additionally, manufacturers are required to remain in compliance with certain wage, labor and environment-related laws and regulations. Delayed compliance or failure to comply with such laws and regulations by our vendors could adversely affect our ability to obtain products generally or at favorable costs, affecting our overall ability to maintain and manage inventory levels.</w:t>
      </w:r>
    </w:p>
    <w:p>
      <w:pPr>
        <w:spacing w:after="0" w:line="13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manufacture of our products and our distributing operations are subject to the risks of doing business abroad, including in China, which could affect our ability to obtain products from foreign suppliers or control the costs of our products.</w:t>
      </w:r>
    </w:p>
    <w:p>
      <w:pPr>
        <w:spacing w:after="0" w:line="13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While we have taken action to diversify our sourcing base outside of China, since a portion of our products are manufactured in China, the possibility of adverse changes in trade or political relations with China, political instability, increases in labor costs, the occurrence of prolonged adverse weather conditions or a natural disaster such as an earthquake or typhoon, or the continuation of the COVID-19 pandemic or the outbreak of another pandemic disease in China could severely interfere with the manufacturing and/or shipment of our products and would have a material adverse effect on our operations. Our business operations may be adversely affected by the current and future political environment in China. Our ability to source products from China may be adversely affected by changes in Chinese laws and regulations (or the interpretation thereof), including those relating to taxation, import and export tariffs, raw materials, environmental regulations, land use rights, property and other matters. Under its current leadership, China’s Communist Party has been pursuing economic reform policies; however, there is no assurance that China’s government will continue to pursue these policies, or that it will not significantly alter these policies without notice. Policy changes could adversely affect our interests through, among other factors: changes in laws and regulations, confiscatory taxation, restrictions on currency conversion, imports or sources of supplies, or the expropriation or nationalization of private enterprises. In addition, electrical shortages, labor shortages or work stoppages may extend the production time necessary to produce our orders. There may be circumstances in the future where we may have to incur premium freight charges to expedite the delivery of product to our customers which could negatively affect our gross profit if we are unable to pass on those charges to our customers.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Regulatory, Global and Other External Risks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Establishing and protecting our intellectual property is critical to our business.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ability to remain competitive is dependent upon our continued ability to secure and protect trademarks, patents and other intellectual property rights in the U.S. and internationally for all of our businesses. We rely on a combination of trade secret, patent, trademark, copyright and other laws, license agreements and other contractual provisions and technical measures to protect our intellectual property rights; however, some countries do not protect intellectual property rights to the same extent as the U.S.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business could be significantly harmed if we are not able to protect our intellectual property, or if a court found us to be infringing on others’ intellectual property rights. Any future intellectual property lawsuits or threatened lawsuits in which we are involved, either as a plaintiff or as a defendant, could cost us a significant amount of time and money and distract management’s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attention from operating our business. If we do not prevail on any intellectual property claims, then we may have to change our manufacturing processes, products or trade names, any of which could reduce our profitability.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and results of operations are subject to a broad range of uncertainties arising out of world and domestic events.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and results of operations may experience a material adverse impact due to uncertainties arising out of world and domestic events, which may impact not only consumer demand, but also our ability to obtain the products we sell, most of which are produced outside the countries in which we operate. These uncertainties may include a global economic slowdown, changes in consumer spending or travel, increase in fuel prices, and the economic consequences of pandemics such as the ongoing COVID-19 pandemic, natural disasters, military action or terrorist activities and increased regulatory and compliance burdens related to governmental actions in response to a variety of factors, including but not limited to national security and anti-terrorism concerns and concerns about climate change.</w:t>
      </w:r>
    </w:p>
    <w:p>
      <w:pPr>
        <w:spacing w:after="0" w:line="1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scope of our non-U.S. operations exposes our performance to risks including foreign, political, legal and economic conditions and exchange rate fluctuations.</w:t>
      </w:r>
    </w:p>
    <w:p>
      <w:pPr>
        <w:spacing w:after="0" w:line="13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performance depends in part on general economic conditions affecting all countries in which we do business, including the impact of Brexit. Although the U.K. and the European Union (“E.U.”) entered into the E.U.-U.K. Trade and Cooperation Agreement on December 30, 2020, uncertainty remains about the impact on our business in the U.K. and the ROI, including impact on tariffs, shipping costs, consumer demand and currency fluctuations.</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across all of our markets, we could be adversely impacted by changes in trade policies, labor, tax or other laws and regulations, intellectual property rights and supply chain logistics. We are also dependent on foreign manufacturers for the products we sell, and our inventory is subject to cost and availability of foreign materials and labor. In addition to the other risks disclosed herein, demand for our product offering in our non-U.S. operations is also subject to local market conditions.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we expand our international operations, we also increase our exposure to exchange rate fluctuations. Sales from stores outside the U.S. are denominated in the currency of the country in which these operations or stores are located and changes in foreign exchange rates affect the translation of the sales and earnings of these businesses into U.S. dollars for financial reporting purposes. Additionally, inventory purchase agreements may also be denominated in the currency of the country where the vendor resides.</w:t>
      </w:r>
    </w:p>
    <w:p>
      <w:pPr>
        <w:spacing w:after="0" w:line="16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the U.S. dollar strengthens relative to foreign currencies, our revenues and profits are reduced when converted into U.S. dollars and our margins may be negatively impacted by the increase in product costs. Although we typically have sought to mitigate the negative impacts of foreign currency exchange rate fluctuations through price increases and further actions to reduce costs, we may not be able to fully offset the impact, if at all.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imposition of tariffs on our products could adversely affect our business.</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Tax and trade policies, tariffs and regulations affecting trade between the United States and other countries could have a material adverse effect on our business, results of operations and liquidity. We source a significant portion of our merchandise from manufacturers located outside the U.S., including from China. Existing and potential future tariffs on certain imported products could result in an increase in prices for those products. In addition, tariffs could also increase the costs of our U.S. suppliers, causing those suppliers to also increase the costs of their products. If we are unable to pass along increased costs to our customers, our gross margins could be adversely affected. Alternatively, tariffs may cause us to shift production to other countries, resulting in significant costs and disruption to our business. In addition, further imposition of tariffs by the United States or other countries could have a significant adverse effect on world trade and the world economy.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212121"/>
        </w:rPr>
        <w:t>Our ability to source our merchandise profitably or at all could be hurt if new trade restrictions are imposed, existing trade restrictions become more burdensome or disruptions occur at our suppliers or at the ports.</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12121"/>
        </w:rPr>
        <w:t>Trade restrictions, including increased tariffs, safeguards or quotas, on footwear, apparel and accessories could increase the cost or reduce the supply of merchandise available to us. We source our footwear and accessory products from manufacturers located in Brazil, Canada, China, Hong Kong, India, Italy, Mexico, Pakistan, Portugal, Peru and Vietnam, and our retail operations sell primarily branded products from third-parties who source primarily overseas. The investments we are making to develop our sourcing capabilities may not be successful and may, in turn, have an adverse impact on our financial position and results of operations.</w:t>
      </w:r>
    </w:p>
    <w:p>
      <w:pPr>
        <w:spacing w:after="0" w:line="14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212121"/>
        </w:rPr>
        <w:t xml:space="preserve">There are quotas and trade restrictions on certain categories of goods and apparel from </w:t>
      </w:r>
      <w:r>
        <w:rPr>
          <w:rFonts w:ascii="Arial" w:cs="Arial" w:eastAsia="Arial" w:hAnsi="Arial"/>
          <w:sz w:val="16"/>
          <w:szCs w:val="16"/>
          <w:color w:val="252525"/>
        </w:rPr>
        <w:t>China</w:t>
      </w:r>
      <w:r>
        <w:rPr>
          <w:rFonts w:ascii="Arial" w:cs="Arial" w:eastAsia="Arial" w:hAnsi="Arial"/>
          <w:sz w:val="16"/>
          <w:szCs w:val="16"/>
          <w:color w:val="212121"/>
        </w:rPr>
        <w:t xml:space="preserve"> and countries that are not subject to the World Trade Organization Agreement, which could have a significant impact on our sourcing patterns in the future. In addition, political uncertainty in the United States may result in significant changes to U.S. trade policies, treaties and </w:t>
      </w:r>
      <w:r>
        <w:rPr>
          <w:rFonts w:ascii="Arial" w:cs="Arial" w:eastAsia="Arial" w:hAnsi="Arial"/>
          <w:sz w:val="16"/>
          <w:szCs w:val="16"/>
          <w:color w:val="252525"/>
        </w:rPr>
        <w:t>tariffs</w:t>
      </w:r>
      <w:r>
        <w:rPr>
          <w:rFonts w:ascii="Arial" w:cs="Arial" w:eastAsia="Arial" w:hAnsi="Arial"/>
          <w:sz w:val="16"/>
          <w:szCs w:val="16"/>
          <w:color w:val="212121"/>
        </w:rPr>
        <w:t xml:space="preserve">, including trade policies and </w:t>
      </w:r>
      <w:r>
        <w:rPr>
          <w:rFonts w:ascii="Arial" w:cs="Arial" w:eastAsia="Arial" w:hAnsi="Arial"/>
          <w:sz w:val="16"/>
          <w:szCs w:val="16"/>
          <w:color w:val="252525"/>
        </w:rPr>
        <w:t>tariffs</w:t>
      </w:r>
      <w:r>
        <w:rPr>
          <w:rFonts w:ascii="Arial" w:cs="Arial" w:eastAsia="Arial" w:hAnsi="Arial"/>
          <w:sz w:val="16"/>
          <w:szCs w:val="16"/>
          <w:color w:val="212121"/>
        </w:rPr>
        <w:t xml:space="preserve"> regarding </w:t>
      </w:r>
      <w:r>
        <w:rPr>
          <w:rFonts w:ascii="Arial" w:cs="Arial" w:eastAsia="Arial" w:hAnsi="Arial"/>
          <w:sz w:val="16"/>
          <w:szCs w:val="16"/>
          <w:color w:val="252525"/>
        </w:rPr>
        <w:t>China</w:t>
      </w:r>
      <w:r>
        <w:rPr>
          <w:rFonts w:ascii="Arial" w:cs="Arial" w:eastAsia="Arial" w:hAnsi="Arial"/>
          <w:sz w:val="16"/>
          <w:szCs w:val="16"/>
          <w:color w:val="212121"/>
        </w:rPr>
        <w:t xml:space="preserve">. These developments, or the perception that any of them could occur, may have a material adverse effect on global economic conditions and the stability of global financial markets, and may significantly reduce global trade. Any of these factors could depress economic activity, restrict our sourcing from suppliers and have a material adverse effect on our business, financial condition and results of operations. We cannot predict whether any of the countries in which our merchandise is currently or may be manufactured in the future will be subject to additional trade restrictions imposed by the U.S. and foreign governments, nor can we predict the likelihood, type or effect of any such restrictions. Trade restrictions, including increased </w:t>
      </w:r>
      <w:r>
        <w:rPr>
          <w:rFonts w:ascii="Arial" w:cs="Arial" w:eastAsia="Arial" w:hAnsi="Arial"/>
          <w:sz w:val="16"/>
          <w:szCs w:val="16"/>
          <w:color w:val="252525"/>
        </w:rPr>
        <w:t>tariffs</w:t>
      </w:r>
      <w:r>
        <w:rPr>
          <w:rFonts w:ascii="Arial" w:cs="Arial" w:eastAsia="Arial" w:hAnsi="Arial"/>
          <w:sz w:val="16"/>
          <w:szCs w:val="16"/>
          <w:color w:val="212121"/>
        </w:rPr>
        <w:t xml:space="preserve"> or quotas, embargoes, safeguards and customs restrictions against items we source from foreign manufacturers could increase the cost, delay shipping or reduce the supply of products available to us or may require us to modify our current business practices, any of which could hurt our profitability.</w:t>
      </w:r>
    </w:p>
    <w:p>
      <w:pPr>
        <w:spacing w:after="0" w:line="12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12121"/>
        </w:rPr>
        <w:t>We rely on our suppliers to manufacture and ship the products they produce for us in a timely manner. We also rely on the free flow of goods through open and operational ports worldwide. Labor disputes and other disruptions at various ports or at our suppliers could increase costs for us and delay our receipt of merchandise, particularly if these disputes result in work slowdowns, lockouts, strikes or other disruptions.</w:t>
      </w:r>
    </w:p>
    <w:p>
      <w:pPr>
        <w:spacing w:after="0" w:line="15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subject to regulatory proceedings and litigation and to regulatory changes that could have an adverse effect on our financial condition and results of operations.</w:t>
      </w:r>
    </w:p>
    <w:p>
      <w:pPr>
        <w:spacing w:after="0" w:line="1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party to certain lawsuits, governmental investigations, and regulatory proceedings, including the proceedings arising out of alleged environmental contamination relating to historical operations of the Company and various suits involving current operations as disclosed in Item 3, "Legal Proceedings" and Note 16 to the Consolidated Financial Statements. If these or similar matters are resolved against us, our results of operations, our cash flows, or our financial condition could be adversely affected. The costs of defending such lawsuits and responding to such investigations and regulatory proceedings may be substantial and their potential to distract management from day-to-day business is significant. Moreover, with retail operations in the United States, Puerto Rico, Canada, the United Kingdom, and the ROI, we are subject to federal, state, provincial, territorial, local and foreign regulations, which impose costs and risks on our business. Numerous states and municipalities as well as the federal government of the U.S. are proposing or have implemented changes to minimum wage, overtime, employee leave, employee benefit requirements and other requirements that will increase costs. Changes in regulations could make compliance more difficult and costly, and failure to comply with these requirements, including even a seemingly minor infraction, could result in liability for damages or penalties.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Risks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indebtedness is subject to floating interest rates.</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Borrowings under our credit facility bear interest at varying rates, some of which are based on LIBOR, and expose us to interest rate risk. If interest rates were to increase, our debt service obligations on the variable rate indebtedness referred to above would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increase even if the principal amount borrowed remained the same, and our net income and cash flows will correspondingly decrease.</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on November 30, 2020, the International Exchange (ICE) Benchmark Association, which administrates LIBOR, announced that it intends to begin a phase out of LIBOR at the end of 2021, by ceasing (i) entering into new contracts that use LIBOR as a reference rate by December 31, 2021 and (ii) publication of two LIBOR rates (one-week and two-month) after December 31, 2021, while the remaining LIBOR rates (overnight, one-month, three-month, six-month and 12-month) will be retired on June 30, 2023. It is unclear if LIBOR will cease to exist at that time or if new methods of calculating LIBOR will be established such that it continues to exist after 2023. The expected phase out of LIBOR could cause market volatility or disruption and may adversely affect our access to the capital markets and cost of funding. Furthermore, while our credit facility contains provisions providing for alternative rate calculations in the event LIBOR is unavailable, these provisions may be more expensive.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our effective income tax rate could adversely affect our net earnings.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number of factors influence our effective income tax rate, including changes in tax law, tax treaties, interpretation of existing laws, including the Tax Cuts and Jobs Act of 2017 (the "Act"), and our ability to sustain our reporting positions on examination. Changes in any of those factors could change our effective tax rate, which could adversely affect our net earnings and liquidity. In addition, our operations outside of the United States may cause greater volatility in our effective tax rate.</w:t>
      </w:r>
    </w:p>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continue to expect the United States Treasury and the Internal Revenue Service to issue regulations and other guidance that could have a material impact on our effective tax rate in future periods.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1B, UNRESOLVED STAFF COMMENTS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PROPERTIES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January 30, 2021, we operated 1,460 retail footwear and accessory stores throughout the United States, Puerto Rico, Canada, the United Kingdom and the ROI. New shopping center store leases in the United States, Puerto Rico and Canada typically are for a term of approximately 10 years. New store leases in the United Kingdom and the ROI typically have terms of between 10 and 15 years. We have leases with fixed base rental payments, rental payments based on a percentage of retail sales over contractual amounts and others with predetermined fixed escalations of the minimum rental payments based on a defined consumer price index or percentage.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general location, use and approximate size of our principal properties are set forth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Approximate</w:t>
            </w:r>
          </w:p>
        </w:tc>
        <w:tc>
          <w:tcPr>
            <w:tcW w:w="24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Area</w:t>
            </w:r>
          </w:p>
        </w:tc>
        <w:tc>
          <w:tcPr>
            <w:tcW w:w="24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Owned/</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Square</w:t>
            </w:r>
          </w:p>
        </w:tc>
        <w:tc>
          <w:tcPr>
            <w:tcW w:w="240" w:type="dxa"/>
            <w:vAlign w:val="bottom"/>
          </w:tcPr>
          <w:p>
            <w:pPr>
              <w:spacing w:after="0"/>
              <w:rPr>
                <w:sz w:val="18"/>
                <w:szCs w:val="18"/>
                <w:color w:val="auto"/>
              </w:rPr>
            </w:pPr>
          </w:p>
        </w:tc>
      </w:tr>
      <w:tr>
        <w:trPr>
          <w:trHeight w:val="234"/>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Location</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Leased</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Segment</w:t>
            </w:r>
          </w:p>
        </w:tc>
        <w:tc>
          <w:tcPr>
            <w:tcW w:w="23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4"/>
              </w:rPr>
              <w:t>Use</w:t>
            </w: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Feet</w:t>
            </w:r>
          </w:p>
        </w:tc>
        <w:tc>
          <w:tcPr>
            <w:tcW w:w="240" w:type="dxa"/>
            <w:vAlign w:val="bottom"/>
          </w:tcPr>
          <w:p>
            <w:pPr>
              <w:spacing w:after="0"/>
              <w:rPr>
                <w:sz w:val="20"/>
                <w:szCs w:val="20"/>
                <w:color w:val="auto"/>
              </w:rPr>
            </w:pPr>
          </w:p>
        </w:tc>
      </w:tr>
      <w:tr>
        <w:trPr>
          <w:trHeight w:val="209"/>
        </w:trPr>
        <w:tc>
          <w:tcPr>
            <w:tcW w:w="4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Lebanon, TN</w:t>
            </w:r>
          </w:p>
        </w:tc>
        <w:tc>
          <w:tcPr>
            <w:tcW w:w="12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1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Distribution warehouse and</w:t>
            </w:r>
          </w:p>
        </w:tc>
        <w:tc>
          <w:tcPr>
            <w:tcW w:w="14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r>
      <w:tr>
        <w:trPr>
          <w:trHeight w:val="230"/>
        </w:trPr>
        <w:tc>
          <w:tcPr>
            <w:tcW w:w="4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1"/>
              </w:rPr>
              <w:t>Owned</w:t>
            </w:r>
          </w:p>
        </w:tc>
        <w:tc>
          <w:tcPr>
            <w:tcW w:w="146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8"/>
              </w:rPr>
              <w:t>Journeys Group</w:t>
            </w:r>
          </w:p>
        </w:tc>
        <w:tc>
          <w:tcPr>
            <w:tcW w:w="232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2"/>
              </w:rPr>
              <w:t>administrative offices</w:t>
            </w:r>
          </w:p>
        </w:tc>
        <w:tc>
          <w:tcPr>
            <w:tcW w:w="13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563,000</w:t>
            </w:r>
          </w:p>
        </w:tc>
        <w:tc>
          <w:tcPr>
            <w:tcW w:w="240" w:type="dxa"/>
            <w:vAlign w:val="bottom"/>
            <w:shd w:val="clear" w:color="auto" w:fill="CFF0FC"/>
          </w:tcPr>
          <w:p>
            <w:pPr>
              <w:spacing w:after="0"/>
              <w:rPr>
                <w:sz w:val="20"/>
                <w:szCs w:val="20"/>
                <w:color w:val="auto"/>
              </w:rPr>
            </w:pPr>
          </w:p>
        </w:tc>
      </w:tr>
      <w:tr>
        <w:trPr>
          <w:trHeight w:val="229"/>
        </w:trPr>
        <w:tc>
          <w:tcPr>
            <w:tcW w:w="4440" w:type="dxa"/>
            <w:vAlign w:val="bottom"/>
            <w:gridSpan w:val="2"/>
          </w:tcPr>
          <w:p>
            <w:pPr>
              <w:spacing w:after="0"/>
              <w:rPr>
                <w:sz w:val="20"/>
                <w:szCs w:val="20"/>
                <w:color w:val="auto"/>
              </w:rPr>
            </w:pPr>
            <w:r>
              <w:rPr>
                <w:rFonts w:ascii="Arial" w:cs="Arial" w:eastAsia="Arial" w:hAnsi="Arial"/>
                <w:sz w:val="18"/>
                <w:szCs w:val="18"/>
                <w:color w:val="auto"/>
              </w:rPr>
              <w:t>Nashville, TN</w:t>
            </w: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Leased</w:t>
            </w: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Various</w:t>
            </w:r>
          </w:p>
        </w:tc>
        <w:tc>
          <w:tcPr>
            <w:tcW w:w="232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Corporate headquarters</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306,455</w:t>
            </w:r>
          </w:p>
        </w:tc>
        <w:tc>
          <w:tcPr>
            <w:tcW w:w="240" w:type="dxa"/>
            <w:vAlign w:val="bottom"/>
          </w:tcPr>
          <w:p>
            <w:pPr>
              <w:jc w:val="right"/>
              <w:spacing w:after="0"/>
              <w:rPr>
                <w:sz w:val="20"/>
                <w:szCs w:val="20"/>
                <w:color w:val="auto"/>
              </w:rPr>
            </w:pPr>
            <w:r>
              <w:rPr>
                <w:rFonts w:ascii="Arial" w:cs="Arial" w:eastAsia="Arial" w:hAnsi="Arial"/>
                <w:sz w:val="18"/>
                <w:szCs w:val="18"/>
                <w:color w:val="auto"/>
                <w:w w:val="81"/>
              </w:rPr>
              <w:t>(1)</w:t>
            </w:r>
          </w:p>
        </w:tc>
      </w:tr>
      <w:tr>
        <w:trPr>
          <w:trHeight w:val="230"/>
        </w:trPr>
        <w:tc>
          <w:tcPr>
            <w:tcW w:w="4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Bathgate, Scotland</w:t>
            </w:r>
          </w:p>
        </w:tc>
        <w:tc>
          <w:tcPr>
            <w:tcW w:w="146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1"/>
              </w:rPr>
              <w:t>Owned</w:t>
            </w:r>
          </w:p>
        </w:tc>
        <w:tc>
          <w:tcPr>
            <w:tcW w:w="146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0"/>
              </w:rPr>
              <w:t>Schuh Group</w:t>
            </w:r>
          </w:p>
        </w:tc>
        <w:tc>
          <w:tcPr>
            <w:tcW w:w="232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1"/>
              </w:rPr>
              <w:t>Distribution warehouse</w:t>
            </w:r>
          </w:p>
        </w:tc>
        <w:tc>
          <w:tcPr>
            <w:tcW w:w="13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244,644</w:t>
            </w:r>
          </w:p>
        </w:tc>
        <w:tc>
          <w:tcPr>
            <w:tcW w:w="240" w:type="dxa"/>
            <w:vAlign w:val="bottom"/>
            <w:shd w:val="clear" w:color="auto" w:fill="CFF0FC"/>
          </w:tcPr>
          <w:p>
            <w:pPr>
              <w:spacing w:after="0"/>
              <w:rPr>
                <w:sz w:val="19"/>
                <w:szCs w:val="19"/>
                <w:color w:val="auto"/>
              </w:rPr>
            </w:pPr>
          </w:p>
        </w:tc>
      </w:tr>
      <w:tr>
        <w:trPr>
          <w:trHeight w:val="229"/>
        </w:trPr>
        <w:tc>
          <w:tcPr>
            <w:tcW w:w="4440" w:type="dxa"/>
            <w:vAlign w:val="bottom"/>
            <w:gridSpan w:val="2"/>
          </w:tcPr>
          <w:p>
            <w:pPr>
              <w:spacing w:after="0"/>
              <w:rPr>
                <w:sz w:val="20"/>
                <w:szCs w:val="20"/>
                <w:color w:val="auto"/>
              </w:rPr>
            </w:pPr>
            <w:r>
              <w:rPr>
                <w:rFonts w:ascii="Arial" w:cs="Arial" w:eastAsia="Arial" w:hAnsi="Arial"/>
                <w:sz w:val="18"/>
                <w:szCs w:val="18"/>
                <w:color w:val="auto"/>
              </w:rPr>
              <w:t>Chapel Hill, TN</w:t>
            </w: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Owned</w:t>
            </w: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Licensed Brands</w:t>
            </w:r>
          </w:p>
        </w:tc>
        <w:tc>
          <w:tcPr>
            <w:tcW w:w="232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Distribution warehouse</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182,000</w:t>
            </w:r>
          </w:p>
        </w:tc>
        <w:tc>
          <w:tcPr>
            <w:tcW w:w="240" w:type="dxa"/>
            <w:vAlign w:val="bottom"/>
          </w:tcPr>
          <w:p>
            <w:pPr>
              <w:spacing w:after="0"/>
              <w:rPr>
                <w:sz w:val="19"/>
                <w:szCs w:val="19"/>
                <w:color w:val="auto"/>
              </w:rPr>
            </w:pPr>
          </w:p>
        </w:tc>
      </w:tr>
      <w:tr>
        <w:trPr>
          <w:trHeight w:val="215"/>
        </w:trPr>
        <w:tc>
          <w:tcPr>
            <w:tcW w:w="4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Fayetteville, TN</w:t>
            </w: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3"/>
              </w:rPr>
              <w:t>Johnston &amp;</w:t>
            </w:r>
          </w:p>
        </w:tc>
        <w:tc>
          <w:tcPr>
            <w:tcW w:w="2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30"/>
        </w:trPr>
        <w:tc>
          <w:tcPr>
            <w:tcW w:w="4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1"/>
              </w:rPr>
              <w:t>Owned</w:t>
            </w:r>
          </w:p>
        </w:tc>
        <w:tc>
          <w:tcPr>
            <w:tcW w:w="146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3"/>
              </w:rPr>
              <w:t>Murphy Group</w:t>
            </w:r>
          </w:p>
        </w:tc>
        <w:tc>
          <w:tcPr>
            <w:tcW w:w="232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1"/>
              </w:rPr>
              <w:t>Distribution warehouse</w:t>
            </w:r>
          </w:p>
        </w:tc>
        <w:tc>
          <w:tcPr>
            <w:tcW w:w="13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178,500</w:t>
            </w:r>
          </w:p>
        </w:tc>
        <w:tc>
          <w:tcPr>
            <w:tcW w:w="240" w:type="dxa"/>
            <w:vAlign w:val="bottom"/>
            <w:shd w:val="clear" w:color="auto" w:fill="CFF0FC"/>
          </w:tcPr>
          <w:p>
            <w:pPr>
              <w:spacing w:after="0"/>
              <w:rPr>
                <w:sz w:val="20"/>
                <w:szCs w:val="20"/>
                <w:color w:val="auto"/>
              </w:rPr>
            </w:pPr>
          </w:p>
        </w:tc>
      </w:tr>
      <w:tr>
        <w:trPr>
          <w:trHeight w:val="215"/>
        </w:trPr>
        <w:tc>
          <w:tcPr>
            <w:tcW w:w="4440" w:type="dxa"/>
            <w:vAlign w:val="bottom"/>
            <w:gridSpan w:val="2"/>
          </w:tcPr>
          <w:p>
            <w:pPr>
              <w:spacing w:after="0"/>
              <w:rPr>
                <w:sz w:val="20"/>
                <w:szCs w:val="20"/>
                <w:color w:val="auto"/>
              </w:rPr>
            </w:pPr>
            <w:r>
              <w:rPr>
                <w:rFonts w:ascii="Arial" w:cs="Arial" w:eastAsia="Arial" w:hAnsi="Arial"/>
                <w:sz w:val="18"/>
                <w:szCs w:val="18"/>
                <w:color w:val="auto"/>
              </w:rPr>
              <w:t>Deans Industrial Estate, Livingston, Scotland</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Distribution warehouse and</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0"/>
        </w:trPr>
        <w:tc>
          <w:tcPr>
            <w:tcW w:w="4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Owned</w:t>
            </w: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Schuh Group</w:t>
            </w:r>
          </w:p>
        </w:tc>
        <w:tc>
          <w:tcPr>
            <w:tcW w:w="232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administrative offices</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106,813</w:t>
            </w:r>
          </w:p>
        </w:tc>
        <w:tc>
          <w:tcPr>
            <w:tcW w:w="240" w:type="dxa"/>
            <w:vAlign w:val="bottom"/>
          </w:tcPr>
          <w:p>
            <w:pPr>
              <w:spacing w:after="0"/>
              <w:rPr>
                <w:sz w:val="20"/>
                <w:szCs w:val="20"/>
                <w:color w:val="auto"/>
              </w:rPr>
            </w:pPr>
          </w:p>
        </w:tc>
      </w:tr>
      <w:tr>
        <w:trPr>
          <w:trHeight w:val="230"/>
        </w:trPr>
        <w:tc>
          <w:tcPr>
            <w:tcW w:w="4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Nashville, TN</w:t>
            </w:r>
          </w:p>
        </w:tc>
        <w:tc>
          <w:tcPr>
            <w:tcW w:w="146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1"/>
              </w:rPr>
              <w:t>Owned</w:t>
            </w:r>
          </w:p>
        </w:tc>
        <w:tc>
          <w:tcPr>
            <w:tcW w:w="146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8"/>
              </w:rPr>
              <w:t>Journeys Group</w:t>
            </w:r>
          </w:p>
        </w:tc>
        <w:tc>
          <w:tcPr>
            <w:tcW w:w="232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1"/>
              </w:rPr>
              <w:t>Distribution warehouse</w:t>
            </w:r>
          </w:p>
        </w:tc>
        <w:tc>
          <w:tcPr>
            <w:tcW w:w="13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63,000</w:t>
            </w:r>
          </w:p>
        </w:tc>
        <w:tc>
          <w:tcPr>
            <w:tcW w:w="240" w:type="dxa"/>
            <w:vAlign w:val="bottom"/>
            <w:shd w:val="clear" w:color="auto" w:fill="CFF0FC"/>
          </w:tcPr>
          <w:p>
            <w:pPr>
              <w:spacing w:after="0"/>
              <w:rPr>
                <w:sz w:val="19"/>
                <w:szCs w:val="19"/>
                <w:color w:val="auto"/>
              </w:rPr>
            </w:pPr>
          </w:p>
        </w:tc>
      </w:tr>
    </w:tbl>
    <w:p>
      <w:pPr>
        <w:spacing w:after="0" w:line="148" w:lineRule="exact"/>
        <w:rPr>
          <w:sz w:val="20"/>
          <w:szCs w:val="20"/>
          <w:color w:val="auto"/>
        </w:rPr>
      </w:pPr>
    </w:p>
    <w:p>
      <w:pPr>
        <w:ind w:left="400" w:hanging="392"/>
        <w:spacing w:after="0"/>
        <w:tabs>
          <w:tab w:leader="none" w:pos="400" w:val="left"/>
        </w:tabs>
        <w:numPr>
          <w:ilvl w:val="0"/>
          <w:numId w:val="12"/>
        </w:numPr>
        <w:rPr>
          <w:rFonts w:ascii="Arial" w:cs="Arial" w:eastAsia="Arial" w:hAnsi="Arial"/>
          <w:sz w:val="15"/>
          <w:szCs w:val="15"/>
          <w:color w:val="auto"/>
        </w:rPr>
      </w:pPr>
      <w:r>
        <w:rPr>
          <w:rFonts w:ascii="Arial" w:cs="Arial" w:eastAsia="Arial" w:hAnsi="Arial"/>
          <w:sz w:val="18"/>
          <w:szCs w:val="18"/>
          <w:color w:val="auto"/>
        </w:rPr>
        <w:t>We occupy almost 100% of our corporate headquarters building. The lease on the Nashville office expires in April 2022.</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February 10, 2020, we announced plans for our new corporate headquarters in Nashville, Tennessee. We entered into a lease agreement, which was subsequently amended, for approximately 182,000 square feet of office space which will replace our current corporate headquarters office lease. The term of the lease is 15 years, with two options to extend for an additional period of five years each. We believe that all leases of properties that are material to our operations may be renewed, or that alternative properties are available, on terms not materially less favorable to us than existing leases.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LEGAL PROCEEDINGS</w:t>
      </w:r>
    </w:p>
    <w:p>
      <w:pPr>
        <w:spacing w:after="0" w:line="1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From time to time, we are subject to legal and/or administrative proceedings incidental to our business. It is the opinion of management that the outcome of pending legal and/or administrative proceedings will not have a material effect on our financial position and results of operations.</w:t>
      </w:r>
    </w:p>
    <w:p>
      <w:pPr>
        <w:spacing w:after="0" w:line="10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Further information with respect to this item may be found in Note 16 to the Consolidated Financial Statements included in Item 8, "Financial Statements and Supplementary Data," which is incorporated herein by reference.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4A, INFORMATION ABOUT OUR EXECUTIVE OFFICERS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officers of the Company are generally elected at the first meeting of the Board of Directors following the annual meeting of shareholders and hold office until their successors have been chosen and qualified or until their earlier death, resignation or removal. The name, age and office of each of the Company’s executive officers and certain information relating to the business experience of each are set forth below:</w:t>
      </w:r>
    </w:p>
    <w:p>
      <w:pPr>
        <w:spacing w:after="0" w:line="13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Mimi Eckel Vaughn, </w:t>
      </w:r>
      <w:r>
        <w:rPr>
          <w:rFonts w:ascii="Arial" w:cs="Arial" w:eastAsia="Arial" w:hAnsi="Arial"/>
          <w:sz w:val="16"/>
          <w:szCs w:val="16"/>
          <w:color w:val="auto"/>
        </w:rPr>
        <w:t>54,</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Board Chair, President and Chief Executive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Ms. Vaughn joined the Company in September 2003 as vice president of</w:t>
      </w:r>
      <w:r>
        <w:rPr>
          <w:rFonts w:ascii="Arial" w:cs="Arial" w:eastAsia="Arial" w:hAnsi="Arial"/>
          <w:sz w:val="16"/>
          <w:szCs w:val="16"/>
          <w:b w:val="1"/>
          <w:bCs w:val="1"/>
          <w:color w:val="auto"/>
        </w:rPr>
        <w:t xml:space="preserve"> </w:t>
      </w:r>
      <w:r>
        <w:rPr>
          <w:rFonts w:ascii="Arial" w:cs="Arial" w:eastAsia="Arial" w:hAnsi="Arial"/>
          <w:sz w:val="16"/>
          <w:szCs w:val="16"/>
          <w:color w:val="auto"/>
        </w:rPr>
        <w:t>strategy and business development. She was named senior vice president, strategy and business development in October 2006, senior vice president of strategy and shared services in April 2009 and senior vice president - finance and chief financial officer in February 2015. In May 2019, Ms. Vaughn was named senior vice president and chief operating officer and continued to serve as senior vice president - finance and chief financial officer until her replacement was appointed in June 2019. In October 2019, Ms. Vaughn was appointed to become president and a member of the board of directors. Ms. Vaughn was appointed chief executive officer of the Company on February 2, 2020. In July 2020, Ms. Vaughn was appointed Board chair of the Company. Prior to joining the Company, Ms. Vaughn was executive vice president of business development and marketing, and acting chief financial officer from 2000 to 2001, for Link2Gov Corporation in Nashville. From 1993 to 1999, she was a consultant at McKinsey and Company in Atlanta.</w:t>
      </w:r>
    </w:p>
    <w:p>
      <w:pPr>
        <w:spacing w:after="0" w:line="13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Thomas Allen George, 65, </w:t>
      </w:r>
      <w:r>
        <w:rPr>
          <w:rFonts w:ascii="Arial" w:cs="Arial" w:eastAsia="Arial" w:hAnsi="Arial"/>
          <w:sz w:val="18"/>
          <w:szCs w:val="18"/>
          <w:i w:val="1"/>
          <w:iCs w:val="1"/>
          <w:color w:val="auto"/>
        </w:rPr>
        <w:t>Senior Vice President – Finance and Interim Chief Financial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Mr. George joined the Company in December 2020 as</w:t>
      </w:r>
      <w:r>
        <w:rPr>
          <w:rFonts w:ascii="Arial" w:cs="Arial" w:eastAsia="Arial" w:hAnsi="Arial"/>
          <w:sz w:val="18"/>
          <w:szCs w:val="18"/>
          <w:b w:val="1"/>
          <w:bCs w:val="1"/>
          <w:color w:val="auto"/>
        </w:rPr>
        <w:t xml:space="preserve"> </w:t>
      </w:r>
      <w:r>
        <w:rPr>
          <w:rFonts w:ascii="Arial" w:cs="Arial" w:eastAsia="Arial" w:hAnsi="Arial"/>
          <w:sz w:val="18"/>
          <w:szCs w:val="18"/>
          <w:color w:val="auto"/>
        </w:rPr>
        <w:t>interim senior vice president of finance and chief financial officer. Mr. George has 40 years of experience, including 30 years as chief financial officer of public and private companies. Prior to joining Genesco, he was chief financial officer of Deckers Outdoor Corporation d/b/a Deckers Brands, a global footwear company, for nine years and prior to that was chief financial officer of Oakley, a global eyewear brand. He has served in this same capacity at companies in the technology and medical device industries.</w:t>
      </w:r>
    </w:p>
    <w:p>
      <w:pPr>
        <w:spacing w:after="0" w:line="14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Daniel E. Ewoldsen</w:t>
      </w:r>
      <w:r>
        <w:rPr>
          <w:rFonts w:ascii="Arial" w:cs="Arial" w:eastAsia="Arial" w:hAnsi="Arial"/>
          <w:sz w:val="18"/>
          <w:szCs w:val="18"/>
          <w:color w:val="auto"/>
        </w:rPr>
        <w:t>, 51,</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Senior Vice President</w:t>
      </w:r>
      <w:r>
        <w:rPr>
          <w:rFonts w:ascii="Arial" w:cs="Arial" w:eastAsia="Arial" w:hAnsi="Arial"/>
          <w:sz w:val="18"/>
          <w:szCs w:val="18"/>
          <w:color w:val="auto"/>
        </w:rPr>
        <w:t>. Mr. Ewoldsen is a 17-year Johnston &amp; Murphy veteran. He joined Johnston &amp; Murphy in 2003 as vice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store operations and was later promoted to vice president store and consumer sales in 2006. He was named executive vice president, Johnston &amp; Murphy Retail and E-Commerce in 2013, president of Johnston &amp; Murphy Group in February 2018 and named senior vice president of Genesco in July 2019. Prior to joining Genesco, Mr. Ewoldsen was with Wilsons Leather from 1996 to 2002 serving in roles with increasing responsibilities, including vice president of stores for the El Portal division.</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Mario Gallione</w:t>
      </w:r>
      <w:r>
        <w:rPr>
          <w:rFonts w:ascii="Arial" w:cs="Arial" w:eastAsia="Arial" w:hAnsi="Arial"/>
          <w:sz w:val="17"/>
          <w:szCs w:val="17"/>
          <w:color w:val="auto"/>
        </w:rPr>
        <w:t>, 60,</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Senior Vice President</w:t>
      </w:r>
      <w:r>
        <w:rPr>
          <w:rFonts w:ascii="Arial" w:cs="Arial" w:eastAsia="Arial" w:hAnsi="Arial"/>
          <w:sz w:val="17"/>
          <w:szCs w:val="17"/>
          <w:color w:val="auto"/>
        </w:rPr>
        <w:t>. Mr. Gallione is a 43-year veteran of Genesco. He began his career as a Jarman sales associate in 1977. He</w:t>
      </w:r>
      <w:r>
        <w:rPr>
          <w:rFonts w:ascii="Arial" w:cs="Arial" w:eastAsia="Arial" w:hAnsi="Arial"/>
          <w:sz w:val="17"/>
          <w:szCs w:val="17"/>
          <w:b w:val="1"/>
          <w:bCs w:val="1"/>
          <w:color w:val="auto"/>
        </w:rPr>
        <w:t xml:space="preserve"> </w:t>
      </w:r>
      <w:r>
        <w:rPr>
          <w:rFonts w:ascii="Arial" w:cs="Arial" w:eastAsia="Arial" w:hAnsi="Arial"/>
          <w:sz w:val="17"/>
          <w:szCs w:val="17"/>
          <w:color w:val="auto"/>
        </w:rPr>
        <w:t>was promoted to manager and served in a variety of sales management positions until 1987 when he was promoted as a merchandiser trainee and rose through the ranks to divisional merchandise manager for Journeys in 1994 and vice president in 1998. In October 2006, he was named senior vice president, general merchandise manager of Journeys Group. In 2010, he was named chief merchandising officer of Journeys Group. In September 2017, Mr. Gallione was named president of Journeys and in July 2019, he was named senior vice president of Genesco.</w:t>
      </w:r>
    </w:p>
    <w:p>
      <w:pPr>
        <w:spacing w:after="0" w:line="14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Scott E. Becker</w:t>
      </w:r>
      <w:r>
        <w:rPr>
          <w:rFonts w:ascii="Arial" w:cs="Arial" w:eastAsia="Arial" w:hAnsi="Arial"/>
          <w:sz w:val="18"/>
          <w:szCs w:val="18"/>
          <w:color w:val="auto"/>
        </w:rPr>
        <w:t>, 53,</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Senior Vice President - General Counsel and Corporate Secretary</w:t>
      </w:r>
      <w:r>
        <w:rPr>
          <w:rFonts w:ascii="Arial" w:cs="Arial" w:eastAsia="Arial" w:hAnsi="Arial"/>
          <w:sz w:val="18"/>
          <w:szCs w:val="18"/>
          <w:color w:val="auto"/>
        </w:rPr>
        <w:t>. In October 2019, Mr. Becker joined the Company as senior vice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general counsel, and corporate secretary. Prior to joining the Company, Mr. Becker served in a variety of roles with increasing responsibility for Nissan Group of North America and Latin America since 2006. Since 2009, he was a senior vice president with responsibilities for Nissan’s legal, government affairs, finance, strategy and administration. From 2006 to 2009, he served as Nissan’s general counsel, corporate secretary and vice president, legal and government affairs. Prior to joining Nissan, Mr. Becker served in various legal roles at Sears Holdings Corporation. Mr. Becker began his legal career with several Chicago area law firms.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both"/>
        <w:ind w:right="20"/>
        <w:spacing w:after="0" w:line="289" w:lineRule="auto"/>
        <w:rPr>
          <w:sz w:val="20"/>
          <w:szCs w:val="20"/>
          <w:color w:val="auto"/>
        </w:rPr>
      </w:pPr>
      <w:r>
        <w:rPr>
          <w:rFonts w:ascii="Arial" w:cs="Arial" w:eastAsia="Arial" w:hAnsi="Arial"/>
          <w:sz w:val="17"/>
          <w:szCs w:val="17"/>
          <w:b w:val="1"/>
          <w:bCs w:val="1"/>
          <w:color w:val="auto"/>
        </w:rPr>
        <w:t xml:space="preserve">Parag D. Desai, </w:t>
      </w:r>
      <w:r>
        <w:rPr>
          <w:rFonts w:ascii="Arial" w:cs="Arial" w:eastAsia="Arial" w:hAnsi="Arial"/>
          <w:sz w:val="17"/>
          <w:szCs w:val="17"/>
          <w:color w:val="auto"/>
        </w:rPr>
        <w:t>46,</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Senior Vice President of Strategy and Shared Services.</w:t>
      </w:r>
      <w:r>
        <w:rPr>
          <w:rFonts w:ascii="Arial" w:cs="Arial" w:eastAsia="Arial" w:hAnsi="Arial"/>
          <w:sz w:val="17"/>
          <w:szCs w:val="17"/>
          <w:b w:val="1"/>
          <w:bCs w:val="1"/>
          <w:color w:val="auto"/>
        </w:rPr>
        <w:t xml:space="preserve"> </w:t>
      </w:r>
      <w:r>
        <w:rPr>
          <w:rFonts w:ascii="Arial" w:cs="Arial" w:eastAsia="Arial" w:hAnsi="Arial"/>
          <w:sz w:val="17"/>
          <w:szCs w:val="17"/>
          <w:color w:val="auto"/>
        </w:rPr>
        <w:t>Mr. Desai joined the Company in 2014 as senior vice president of strategy and</w:t>
      </w:r>
      <w:r>
        <w:rPr>
          <w:rFonts w:ascii="Arial" w:cs="Arial" w:eastAsia="Arial" w:hAnsi="Arial"/>
          <w:sz w:val="17"/>
          <w:szCs w:val="17"/>
          <w:b w:val="1"/>
          <w:bCs w:val="1"/>
          <w:color w:val="auto"/>
        </w:rPr>
        <w:t xml:space="preserve"> </w:t>
      </w:r>
      <w:r>
        <w:rPr>
          <w:rFonts w:ascii="Arial" w:cs="Arial" w:eastAsia="Arial" w:hAnsi="Arial"/>
          <w:sz w:val="17"/>
          <w:szCs w:val="17"/>
          <w:color w:val="auto"/>
        </w:rPr>
        <w:t>shared services. Prior to joining the Company, Mr. Desai spent 14 years with McKinsey and Company, including seven years as a partner. Previously, Mr. Desai also held business development and technology positions at Outpace Systems and Booz Allen &amp; Hamilton.</w:t>
      </w:r>
    </w:p>
    <w:p>
      <w:pPr>
        <w:spacing w:after="0" w:line="13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Brently G. Baxter, </w:t>
      </w:r>
      <w:r>
        <w:rPr>
          <w:rFonts w:ascii="Arial" w:cs="Arial" w:eastAsia="Arial" w:hAnsi="Arial"/>
          <w:sz w:val="18"/>
          <w:szCs w:val="18"/>
          <w:color w:val="auto"/>
        </w:rPr>
        <w:t>55,</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Vice President and Chief Accounting Officer</w:t>
      </w:r>
      <w:r>
        <w:rPr>
          <w:rFonts w:ascii="Arial" w:cs="Arial" w:eastAsia="Arial" w:hAnsi="Arial"/>
          <w:sz w:val="18"/>
          <w:szCs w:val="18"/>
          <w:color w:val="auto"/>
        </w:rPr>
        <w:t>. Mr. Baxter joined the Company in September 2019 as vice president and chief</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officer. Mr. Baxter most recently served as group vice president, controller and principal accounting officer for Sally Beauty Holdings, Inc., a position he held since 2017. From 2014 and 2016, he served as senior vice president, controller and chief accounting officer for Stein Mart, Inc. From 2006 to 2014, he served as vice president, accounting, treasury and corporate controller for PetSmart, Inc. From 2003 to 2006, Mr. Baxter served as vice president and controller for Cracker Barrel Old Country Store, Inc.</w:t>
      </w:r>
    </w:p>
    <w:p>
      <w:pPr>
        <w:spacing w:after="0" w:line="14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Matthew N. Johnson, </w:t>
      </w:r>
      <w:r>
        <w:rPr>
          <w:rFonts w:ascii="Arial" w:cs="Arial" w:eastAsia="Arial" w:hAnsi="Arial"/>
          <w:sz w:val="18"/>
          <w:szCs w:val="18"/>
          <w:color w:val="auto"/>
        </w:rPr>
        <w:t>56,</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Vice President and Treasurer</w:t>
      </w:r>
      <w:r>
        <w:rPr>
          <w:rFonts w:ascii="Arial" w:cs="Arial" w:eastAsia="Arial" w:hAnsi="Arial"/>
          <w:sz w:val="18"/>
          <w:szCs w:val="18"/>
          <w:color w:val="auto"/>
        </w:rPr>
        <w:t>. Mr. Johnson joined the Company in 1993 as manager, corporate finance and was elected assistant</w:t>
      </w:r>
      <w:r>
        <w:rPr>
          <w:rFonts w:ascii="Arial" w:cs="Arial" w:eastAsia="Arial" w:hAnsi="Arial"/>
          <w:sz w:val="18"/>
          <w:szCs w:val="18"/>
          <w:b w:val="1"/>
          <w:bCs w:val="1"/>
          <w:color w:val="auto"/>
        </w:rPr>
        <w:t xml:space="preserve"> </w:t>
      </w:r>
      <w:r>
        <w:rPr>
          <w:rFonts w:ascii="Arial" w:cs="Arial" w:eastAsia="Arial" w:hAnsi="Arial"/>
          <w:sz w:val="18"/>
          <w:szCs w:val="18"/>
          <w:color w:val="auto"/>
        </w:rPr>
        <w:t>treasurer in December 1993. He was elected treasurer in June 1996. He was named vice president finance in October 2006 and renamed treasurer in April 2011 after a period of service as chief financial officer of one of the Company's divisions. Prior to joining the Company, Mr. Johnson was a vice president in the corporate and institutional banking division of The First National Bank of Chicago.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u w:val="single" w:color="auto"/>
          <w:color w:val="auto"/>
        </w:rPr>
        <w:t>ITEM 5, MARKET FOR REGISTRANT’S COMMON EQUITY, RELATED STOCKHOLDER MATTERS AND ISSUER PURCHASES OF EQUITY SECURITIES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Our stock is traded on the New York Stock Exchange under the symbol "GCO".</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There were approximately 1,350 common shareholders of record on March 12, 2021.</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not paid cash dividends to our holders of our Common Stock since 1973. Our ability to pay cash dividends to our holders of common stock is subject to various restrictions. See Note 11 to the Consolidated Financial Statements included in Item 8, "Financial Statements and Supplementary Data" for information regarding restrictions on dividends and redemption of capital stock.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8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September 2019, the Board authorized a $100 million share repurchase program, pursuant to which we may repurchase shares of our common stock, par value $1.00 per share, with an aggregate gross purchase price of up to $100 million. We have $89.7 million remaining as of January 30, 2021 under such share repurchase program. During the three and twelve months ended January 30, 2021, we did not make any repurchases under this program.</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0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Refer to Part III, Item 12, "Security Ownership of Certain Beneficial Owners and Management and Related Stockholder Matters" included elsewhere in this report.</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RESERVED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7, MANAGEMENT’S DISCUSSION AND ANALYSIS OF FINANCIAL CONDITION AND RESULTS OF OPERATIONS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Management’s Discussion and Analysis of Financial Condition and Results of Operations should be read in conjunction with our Consolidated Financial Statements and related Notes and other financial information appearing elsewhere in this Annual Report on Form 10-K, and with Part II, Item 7 (“Management’s Discussion and Analysis of Financial Condition and Results of Operations”) of our Annual Report on Form 10-K for the fiscal year ended February 1, 2020, filed with the SEC on April 1, 2020, which provides a discussion of our financial condition and results of operations for Fiscal 2020 compared to our Fiscal 2019.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Results of Operations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net sales decreased 18.7% during Fiscal 2021 compared to Fiscal 2020. The sales decrease was driven by the impact from the COVID-19 pandemic, including as a result of store closures during the year, lower store comparable sales and sales pressure at Johnston &amp; Murphy, partially offset by digital comparable growth of 74%. Stores were open about 76% of possible days. We have not disclosed comparable sales for Fiscal 2021 as we believe that overall sales are a more meaningful metric during this period due to the impact of the COVID-19 pandemic.</w:t>
      </w:r>
    </w:p>
    <w:p>
      <w:pPr>
        <w:spacing w:after="0" w:line="14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Journeys Group sales decreased 16%, Schuh Group sales decreased 18%, Johnston &amp; Murphy Group sales decreased 49%, while Licensed Brands sales increased 61% due to the acquisition of Togast, during Fiscal 2021 compared to Fiscal 2020. Gross margin decreased as a percentage of net sales from 48.4% in Fiscal 2020 to 45.0% in Fiscal 2021, reflecting gross margin decreases as a percentage of net sales in all of our business units, except Journeys Group. The gross margin decrease is primarily due to higher shipping and warehouse expense in all of our retail divisions, increased inventory reserves at Johnston &amp; Murphy Group, increased markdowns at Johnston &amp; Murphy retail and closeouts at Johnston &amp; Murphy wholesale and increased promotional activity at Schuh Group, partially offset by decreased markdowns at Journeys Group. The higher shipping and warehouse expense is a result of the increased penetration of e-commerce sales. In addition, changes in sales mix among our business units had an unfavorable impact on gross margin.</w:t>
      </w:r>
    </w:p>
    <w:p>
      <w:pPr>
        <w:spacing w:after="0" w:line="13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Selling and administrative expenses increased as a percentage of net sales from 44.0% in Fiscal 2020 to 45.6% in Fiscal 2021, reflecting increased expenses as a percentage of net sales in Journeys Group and Johnston &amp; Murphy Group, partially offset by decreased expenses as a percentage of net sales in Schuh Group, Licensed Brands and Corporate. However, on a dollar basis, expenses decreased 15.8% in Fiscal 2021 compared to Fiscal 2020 due primarily to reduced occupancy expense, driven by rent abatements with landlords and government relief programs, as well as reduced selling salaries and bonus and travel expenses, partially offset by increased marketing expenses.</w:t>
      </w:r>
    </w:p>
    <w:p>
      <w:pPr>
        <w:spacing w:after="0" w:line="1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margin decreased as a percentage of net sales from 3.8% in Fiscal 2020 to (6.0)% in Fiscal 2021, reflecting operating losses in all of our business units except Journeys Group due to disruptions related to the COVID-19 pandemic including recognition of non-cash impairment charges of $79.3 million for goodwill, $13.8 million for retail store assets and $5.3 million for trademarks.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w:t>
      </w:r>
    </w:p>
    <w:p>
      <w:pPr>
        <w:spacing w:after="0" w:line="200" w:lineRule="exact"/>
        <w:rPr>
          <w:sz w:val="20"/>
          <w:szCs w:val="20"/>
          <w:color w:val="auto"/>
        </w:rPr>
      </w:pPr>
    </w:p>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22222"/>
        </w:rPr>
        <w:t xml:space="preserve">In March 2020, the World Health Organization categorized the outbreak of COVID-19 as a pandemic. As a result, and in consideration of the health and well-being of our employees, customers and communities, and in support of efforts to contain the spread of the virus, </w:t>
      </w:r>
      <w:r>
        <w:rPr>
          <w:rFonts w:ascii="Arial" w:cs="Arial" w:eastAsia="Arial" w:hAnsi="Arial"/>
          <w:sz w:val="18"/>
          <w:szCs w:val="18"/>
          <w:color w:val="212529"/>
        </w:rPr>
        <w:t>we have taken several precautionary</w:t>
      </w:r>
      <w:r>
        <w:rPr>
          <w:rFonts w:ascii="Arial" w:cs="Arial" w:eastAsia="Arial" w:hAnsi="Arial"/>
          <w:sz w:val="18"/>
          <w:szCs w:val="18"/>
          <w:color w:val="222222"/>
        </w:rPr>
        <w:t xml:space="preserve"> </w:t>
      </w:r>
      <w:r>
        <w:rPr>
          <w:rFonts w:ascii="Arial" w:cs="Arial" w:eastAsia="Arial" w:hAnsi="Arial"/>
          <w:sz w:val="18"/>
          <w:szCs w:val="18"/>
          <w:color w:val="212529"/>
        </w:rPr>
        <w:t>measures throughout the year and adjusted our operational needs, including: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222222"/>
        </w:rPr>
        <w:t>•On March 18, 2020, we temporarily closed our North American retail stores.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color w:val="222222"/>
        </w:rPr>
        <w:t>On March 19, 2020, we initially borrowed $150.0 million under our Credit Facility</w:t>
      </w:r>
      <w:r>
        <w:rPr>
          <w:rFonts w:ascii="Arial" w:cs="Arial" w:eastAsia="Arial" w:hAnsi="Arial"/>
          <w:sz w:val="17"/>
          <w:szCs w:val="17"/>
          <w:color w:val="auto"/>
        </w:rPr>
        <w:t xml:space="preserve"> as a precautionary measure to ensure funds were available to meet our obligations for a substantial period of time in response to the COVID-19 pandemic that caused public health officials to recommend precautions that would mitigate the spread of the virus, including “stay-at-home” orders and similar mandates and warning the public against congregating in heavily populated areas such as malls and shopping centers. We paid down the $150.0 million on September 10, 2020.</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19, 2020, Schuh entered into an Amendment and Restatement Agreement (the “U.K. A&amp;R Agreement”) with Lloyds Bank which amended and restated the Amendment and Restatement Agreement dated April 26, 2017. The U.K. A&amp;R Agreement included only a Facility C revolving credit agreement of £19.0 million, bore interest at LIBOR plus 2.2% per annum and expired in September 2020. In March 2020, we borrowed £19.0 million as a precautionary measure in response to the COVID-19 pandemic. The U.K. A&amp;R Agreement was replaced with the Facility Letter in October 2020 and the outstanding borrowings in the amount of £19.0 million were repaid.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222222"/>
        </w:rPr>
        <w:t>•On March 23, 2020, we temporarily closed our stores in the United Kingdom and the ROI.</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22222"/>
        </w:rPr>
        <w:t>•On March 26, 2020, we temporarily closed our U.K. e-commerce business. Effective April 3, 2020, our U.K.-based Schuh business announced that it had reopened its e-commerce operations in compliance with government health and safety practices.</w:t>
      </w:r>
    </w:p>
    <w:p>
      <w:pPr>
        <w:spacing w:after="0" w:line="14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color w:val="212529"/>
        </w:rPr>
        <w:t>On March 27, 2020, we announced that we were adjusting our operational needs, including a significant reduction of expense, capital and planned</w:t>
      </w:r>
      <w:r>
        <w:rPr>
          <w:rFonts w:ascii="Arial" w:cs="Arial" w:eastAsia="Arial" w:hAnsi="Arial"/>
          <w:sz w:val="17"/>
          <w:szCs w:val="17"/>
          <w:color w:val="auto"/>
        </w:rPr>
        <w:t xml:space="preserve"> </w:t>
      </w:r>
      <w:r>
        <w:rPr>
          <w:rFonts w:ascii="Arial" w:cs="Arial" w:eastAsia="Arial" w:hAnsi="Arial"/>
          <w:sz w:val="17"/>
          <w:szCs w:val="17"/>
          <w:color w:val="212529"/>
        </w:rPr>
        <w:t>inventory receipts. As part of these measures, we made the decision to temporarily reduce compensation for the executive team and select employees and reduced the cash compensation for our Board of Directors. In addition, we furloughed all of our full-time store employees in North America and our store and distribution center employees in the United Kingdom. We also furloughed employees and reduced headcount in our corporate offices, call centers and distribution centers. Across all these actions, this represented a reduction of our workforce by 90%.</w:t>
      </w:r>
    </w:p>
    <w:p>
      <w:pPr>
        <w:spacing w:after="0" w:line="13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•During a portion of the first and second quarters of Fiscal 2021, we extended payment terms with suppliers, managed inventory by reducing future receipts and reduced planned capital expenditures by over 50%. For new receipts as of August 1, 2020, we restored contractual payment terms with suppliers.</w:t>
      </w:r>
    </w:p>
    <w:p>
      <w:pPr>
        <w:spacing w:after="0" w:line="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5, 2020, we entered into a Second Amendment to our Credit Facility to, among other things, increase the Total Commitments (as defined in the Credit Facility) for the revolving loans from $275.0 million to $332.5 million, establish a First-in, Last-out (“FILO”) tranche of indebtedness of $17.5 million, for $350.0 million of total capacity.</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25, 2020, our Board of Directors considered the Company’s financial results to date and that more than 90% of the Company’s stores were expected to be reopened by June 30, 2020, and decided to restore a portion of the compensation of the executive team and select employees whose compensation had been reduced on March 27, 2020. In addition, the cash compensation of our Board of Directors, which had also been reduced on March 27, 2020, was partially restored.</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October 2020, our Board of Directors restored the remaining portion of the compensation of the executive team and select employees whose compensation had been reduced on March 27, 2020 as well as the compensation of the Board of Directors.</w:t>
      </w:r>
    </w:p>
    <w:p>
      <w:pPr>
        <w:spacing w:after="0" w:line="13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October 9, 2020, Schuh entered into the Facility Letter with Lloyds under the U.K.'s Coronavirus Large Business Interruption Loan Scheme pursuant to which Lloyds made available a RCF of £19.0 million for the purpose of refinancing Schuh's existing indebtedness with Lloyds. The RCF expires in October 2023 and bears interest at 2.5% over the Bank of England Base Rate. As of January 30, 2021, we have not borrowed under the Facility Letter.</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fourth quarter of Fiscal 2021, another lockdown in the U.K. and the ROI disrupted the Schuh Group business with stores closed for 36% of possible days in the fourth quarter. As of January 30, 2021, all but two Schuh stores remained closed. These stores are expected to remain closed until shortly after Easter, April 4, 2021.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•In December 2020, the Company returned the compensation to select employees whose compensation had been reduced on March 27, 2020.</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22222"/>
        </w:rPr>
        <w:t>As of March 11, 2021, we were operating in 90% of our locations, including approximately 1,145 Journeys, 160 Johnston &amp; Murphy and two Schuh locations. All store locations are operating under enhanced measures to ensure the health and safety of employees and customers, including requiring employees to wear masks, requiring customers in our stores to wear masks, providing hand sanitizer in multiple locations throughout each store for customer and employee use, enhanced cleaning and sanitation protocols, reconfigured sales floors to promote physical distancing and modified employee and customer interactions to limit contact.</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the economic and business impact of the COVID-19 pandemic, we revised certain accounting estimates and judgments as discussed in Item 8, Note 3, “COVID-19”, to our Consolidated Financial Statements included in this Annual Report on Form 10-K. Given the ongoing and evolving economic and business impact of the COVID-19 pandemic, we may be required to further revise certain accounting estimates and judgments such as, but not limited to, those related to the valuation of inventory, goodwill, long-lived assets and deferred tax assets, which could have a material adverse effect on our financial position and results of operations.</w:t>
      </w:r>
    </w:p>
    <w:p>
      <w:pPr>
        <w:spacing w:after="0" w:line="14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Since the first quarter of Fiscal 2021, we have withheld certain contractual rent payments generally correlating with time periods when our stores were closed and/or correlating with sales declines from Fiscal 2020. We continue to recognize rent expense in accordance with the contractual terms. We have been working with landlords in various markets seeking commercially reasonable lease concessions given the current environment, and while some agreements have been reached, a number of negotiations remain ongoing. During Fiscal 2021, we have recognized approximately $34 million in rent savings which included approximately $28 million of abatements pursuant to rent abatement agreements we have entered into with certain landlords.</w:t>
      </w:r>
    </w:p>
    <w:p>
      <w:pPr>
        <w:spacing w:after="0" w:line="13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March 27, 2020, the U.S. government enacted the Coronavirus Aid, Relief, and Economic Security Act (the “CARES Act”), which among other things, provides employer payroll tax credits for wages paid to employees who are unable to work during the COVID-19 pandemic and options to defer payroll tax payments. Based on our evaluation of the CARES Act, we qualify for certain employer payroll tax credits as well as the deferral of payroll and other tax payments in the future, which will be treated as government subsidies to offset related operating expenses. During Fiscal 2021, qualified payroll tax credits reduced our selling and administrative expenses by approximately $13.8 million on our Consolidated Statements of Operations. We also deferred $9.5 million of qualified payroll taxes in the U.S. that will be repaid in equal installments by December 31, 2021 and December 31, 2022. Savings from the government program in the U.K. has also provided property tax relief of approximately $13.3 million for Fiscal 2021. Additionally, we recorded a tax receivable of $107.2 million in our U.S. federal jurisdiction as a result of a carryback of our Fiscal 2021 federal tax losses to prior tax periods under the CARES Act. Due to a higher tax rate in prior tax periods than the current U.S. federal statutory tax rate of 21%, the carryback claim creates a permanent tax benefit of $46.4 million.</w:t>
      </w:r>
    </w:p>
    <w:p>
      <w:pPr>
        <w:spacing w:after="0" w:line="1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recorded our income tax expense, deferred tax assets and related liabilities based on our best estimates. As part of this process, we assessed the likelihood of realizing the benefits of our deferred tax assets. During Fiscal 2021, based on available evidence, we recorded an additional valuation allowance against previously recorded deferred tax assets in our U.K. jurisdiction of $2.6 million and our Irish jurisdiction of $0.2 million. We will continue to monitor the realizability of our deferred tax assets, particularly in certain foreign jurisdictions where the COVID-19 pandemic has started to create significant net operating losses. Our ability to recover these deferred tax assets depends on several factors, including our results of operations and our ability to project future taxable income in those jurisdictions.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Acquisition of Togast</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Effective January 1, 2020, we completed the acquisition of substantially all the assets and the assumption of certain liabilities of Togast. Togast specializes in the design, sourcing and sale of licensed footwear. We also entered into a new U.S. footwear license agreement with Levi Strauss &amp; Co. for the license of Levi's</w:t>
      </w:r>
      <w:r>
        <w:rPr>
          <w:rFonts w:ascii="Arial" w:cs="Arial" w:eastAsia="Arial" w:hAnsi="Arial"/>
          <w:sz w:val="15"/>
          <w:szCs w:val="15"/>
          <w:color w:val="auto"/>
        </w:rPr>
        <w:t>®</w:t>
      </w:r>
      <w:r>
        <w:rPr>
          <w:rFonts w:ascii="Arial" w:cs="Arial" w:eastAsia="Arial" w:hAnsi="Arial"/>
          <w:sz w:val="18"/>
          <w:szCs w:val="18"/>
          <w:color w:val="auto"/>
        </w:rPr>
        <w:t xml:space="preserve"> footwear for men, women and children in U.S. concurrently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the Togast acquisition. The acquisition expands our portfolio to include footwear licenses for Bass</w:t>
      </w:r>
      <w:r>
        <w:rPr>
          <w:rFonts w:ascii="Arial" w:cs="Arial" w:eastAsia="Arial" w:hAnsi="Arial"/>
          <w:sz w:val="15"/>
          <w:szCs w:val="15"/>
          <w:color w:val="auto"/>
        </w:rPr>
        <w:t>®</w:t>
      </w:r>
      <w:r>
        <w:rPr>
          <w:rFonts w:ascii="Arial" w:cs="Arial" w:eastAsia="Arial" w:hAnsi="Arial"/>
          <w:sz w:val="18"/>
          <w:szCs w:val="18"/>
          <w:color w:val="auto"/>
        </w:rPr>
        <w:t xml:space="preserve"> and FUBU, among others. Togast operates in our Licensed Brands segment.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 and Other Charges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recorded a pretax charge to earnings of $18.7 million in Fiscal 2021, including $13.8 million for retail store asset impairments and $5.3 million for trademark impairment, partially offset by a $(0.4) million gain for the release of an earnout related to the Togast acquisition which is included in asset impairments and other, net on the Consolidated Statements of Operations for Fiscal 2021.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Postretirement Benefit Liability</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March 2019, our board of directors authorized the termination of the defined benefit pension plan. The termination was completed in January 2020 with a pension settlement charge of $11.5 million which is included in asset impairments and other, net on the Consolidated Statements of Operations for Fiscal 2020.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assessing the performance of our business, we consider a variety of performance and financial measures. The key performance indicators we use to evaluate the financial condition and operating performance of our business are comparable sales, net sales, gross margin, operating income (loss) and operating margin. </w:t>
      </w:r>
      <w:r>
        <w:rPr>
          <w:rFonts w:ascii="Arial" w:cs="Arial" w:eastAsia="Arial" w:hAnsi="Arial"/>
          <w:sz w:val="18"/>
          <w:szCs w:val="18"/>
          <w:color w:val="2E2E2E"/>
        </w:rPr>
        <w:t>These key performance indicators should not be considered superior to, as a substitute for or as an alternative to, and should be</w:t>
      </w:r>
      <w:r>
        <w:rPr>
          <w:rFonts w:ascii="Arial" w:cs="Arial" w:eastAsia="Arial" w:hAnsi="Arial"/>
          <w:sz w:val="18"/>
          <w:szCs w:val="18"/>
          <w:color w:val="auto"/>
        </w:rPr>
        <w:t xml:space="preserve"> </w:t>
      </w:r>
      <w:r>
        <w:rPr>
          <w:rFonts w:ascii="Arial" w:cs="Arial" w:eastAsia="Arial" w:hAnsi="Arial"/>
          <w:sz w:val="18"/>
          <w:szCs w:val="18"/>
          <w:color w:val="2E2E2E"/>
        </w:rPr>
        <w:t>considered in conjunction with, the U.S. GAAP financial measures presented herein. These measures may not be comparable to similarly-titled performance indicators used by other companies.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Comparable Sales</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consider comparable sales to be an important indicator of our current performance, and investors may find it useful as such. Comparable sales results are important to achieve leveraging of our costs, including occupancy, selling salaries, depreciation, etc. Comparable sales also have a direct impact on our total net revenue, cash and working capital. We define "comparable sales" as sales from stores open longer than one year, beginning with the first day a store has comparable sales (which we refer to in this report as "same store sales"), and sales from websites operated longer than one year and direct mail catalog sales (which we refer to in this report as "comparable direct sales"). Temporarily closed stores are excluded from the comparable sales calculation if closed for more than seven days. Expanded stores are excluded from the comparable sales calculation until the first day an expanded store has comparable prior year sales. Current year foreign exchange rates are applied to both current year and prior year comparable sales to achieve a consistent basis for comparison. We have not disclosed comparable sales for Fiscal 2021 because we believe that overall sales are a more meaningful metric during this period due to the impact of COVID-19.</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Operations—Fiscal 2021 Compared to Fiscal 2020</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net sales for Fiscal 2021 decreased 18.7% to $1.79 billion from $2.20 billion in Fiscal 2020. The decrease in net sales was driven by the impact from store closures during the year due to the COVID-19 pandemic, lower store comparable sales and sales pressure at Johnston &amp; Murphy, partially offset by digital comparable growth of 74%. Stores were open about 76% of possible days during Fiscal 2021.</w:t>
      </w:r>
    </w:p>
    <w:p>
      <w:pPr>
        <w:spacing w:after="0" w:line="14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Gross margin decreased 24.3% to $804.5 million in Fiscal 2021 from $1.06 billion in Fiscal 2020, and decreased as a percentage of net sales from 48.4% in Fiscal 2020 to 45.0% in Fiscal 2021, reflecting gross margin decreases as a percentage of net sales in all of our business units, except Journeys Group. The gross margin decrease is primarily due to higher shipping and warehouse expense in all of our retail divisions, increased inventory reserves at Johnston &amp; Murphy Group, increased markdowns at Johnston &amp; Murphy retail and closeouts at Johnston &amp; Murphy wholesale and increased promotional activity at Schuh Group, partially offset by decreased markdowns at Journeys Group. The higher shipping and warehouse expense is a result of the increased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penetration of e-commerce sales. In addition, changes in sales mix among our business units had an unfavorable impact on gross margin.</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Selling and administrative expenses increased as a percentage of net sales from 44.0% in Fiscal 2020 to 45.6% in Fiscal 2021, but decreased 15.8% in total dollars due primarily to reduced occupancy expense, driven by rent abatements with landlords and government relief programs, as well as reduced selling salaries and bonus and travel expenses, partially offset by increased marketing expenses. Explanations of the changes in results of operations are provided by business segment in discussions following these introductory paragraphs.</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Earnings (loss) from continuing operations before income taxes (“pretax earnings (loss)”) for Fiscal 2021 was a pretax loss of $(111.7) million, compared to pretax earnings of $82.4 million for Fiscal 2020. The pretax loss for Fiscal 2021 included a goodwill impairment charge of $79.3 million and an asset impairment and other charge of $18.7 million for retail store asset impairments and a trademark impairment, partially offset by a gain for the release of an earnout related to the Togast acquisition. Pretax earnings for Fiscal 2020 included an asset impairment and other charge of $13.4 million for pension settlement expense and retail store asset impairments, partially offset by a gain on the sale of the Lids Sports Group headquarters building, a gain on lease terminations and a gain related to Hurricane Maria.</w:t>
      </w:r>
    </w:p>
    <w:p>
      <w:pPr>
        <w:spacing w:after="0" w:line="1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net loss for Fiscal 2021 was $(56.4) million, or $(3.97) diluted loss per share compared to net earnings of $61.4 million, or $3.92 diluted earnings per share for Fiscal 2020. The effective income tax rate was 49.8% for Fiscal 2021 compared to 25.1% for Fiscal 2020. The effective tax rate for Fiscal 2021 was higher compared to Fiscal 2020 due to initiatives under the CARES Act and taxes accrued for the U.S. jurisdiction, partially offset by the non-deductibility of the goodwill impairment charge and our performance in foreign jurisdictions for which no income tax benefit or expense is recorded for Fiscal 2021. See Item 8, Note 12, "Income Taxes", to our Consolidated Financial Statements included in this Annual Report on Form 10-K for additional information.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40" w:type="dxa"/>
            <w:vAlign w:val="bottom"/>
          </w:tcPr>
          <w:p>
            <w:pPr>
              <w:spacing w:after="0"/>
              <w:rPr>
                <w:sz w:val="20"/>
                <w:szCs w:val="20"/>
                <w:color w:val="auto"/>
              </w:rPr>
            </w:pPr>
            <w:r>
              <w:rPr>
                <w:rFonts w:ascii="Arial" w:cs="Arial" w:eastAsia="Arial" w:hAnsi="Arial"/>
                <w:sz w:val="18"/>
                <w:szCs w:val="18"/>
                <w:i w:val="1"/>
                <w:iCs w:val="1"/>
                <w:color w:val="auto"/>
              </w:rPr>
              <w:t>Journeys Group</w:t>
            </w: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46"/>
        </w:trPr>
        <w:tc>
          <w:tcPr>
            <w:tcW w:w="64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Fiscal Year Ended</w:t>
            </w:r>
          </w:p>
        </w:tc>
        <w:tc>
          <w:tcPr>
            <w:tcW w:w="9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23"/>
        </w:trPr>
        <w:tc>
          <w:tcPr>
            <w:tcW w:w="64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6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9"/>
                <w:szCs w:val="19"/>
                <w:color w:val="auto"/>
              </w:rPr>
            </w:pPr>
          </w:p>
        </w:tc>
        <w:tc>
          <w:tcPr>
            <w:tcW w:w="15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Change</w:t>
            </w:r>
          </w:p>
        </w:tc>
      </w:tr>
      <w:tr>
        <w:trPr>
          <w:trHeight w:val="223"/>
        </w:trPr>
        <w:tc>
          <w:tcPr>
            <w:tcW w:w="6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0" w:type="dxa"/>
            <w:vAlign w:val="bottom"/>
            <w:gridSpan w:val="3"/>
          </w:tcPr>
          <w:p>
            <w:pPr>
              <w:jc w:val="right"/>
              <w:ind w:right="790"/>
              <w:spacing w:after="0"/>
              <w:rPr>
                <w:sz w:val="20"/>
                <w:szCs w:val="20"/>
                <w:color w:val="auto"/>
              </w:rPr>
            </w:pPr>
            <w:r>
              <w:rPr>
                <w:rFonts w:ascii="Arial" w:cs="Arial" w:eastAsia="Arial" w:hAnsi="Arial"/>
                <w:sz w:val="18"/>
                <w:szCs w:val="18"/>
                <w:color w:val="auto"/>
              </w:rPr>
              <w:t>(dollars in thousands)</w:t>
            </w: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1240" w:type="dxa"/>
            <w:vAlign w:val="bottom"/>
            <w:shd w:val="clear" w:color="auto" w:fill="CFF0FC"/>
          </w:tcPr>
          <w:p>
            <w:pPr>
              <w:jc w:val="right"/>
              <w:ind w:right="190"/>
              <w:spacing w:after="0"/>
              <w:rPr>
                <w:sz w:val="20"/>
                <w:szCs w:val="20"/>
                <w:color w:val="auto"/>
              </w:rPr>
            </w:pPr>
            <w:r>
              <w:rPr>
                <w:rFonts w:ascii="Arial" w:cs="Arial" w:eastAsia="Arial" w:hAnsi="Arial"/>
                <w:sz w:val="18"/>
                <w:szCs w:val="18"/>
                <w:b w:val="1"/>
                <w:bCs w:val="1"/>
                <w:color w:val="auto"/>
              </w:rPr>
              <w:t>1,227,954</w:t>
            </w:r>
          </w:p>
        </w:tc>
        <w:tc>
          <w:tcPr>
            <w:tcW w:w="64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89"/>
              </w:rPr>
              <w:t>1,460,253</w:t>
            </w: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w:t>
            </w: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Operating income</w:t>
            </w:r>
          </w:p>
        </w:tc>
        <w:tc>
          <w:tcPr>
            <w:tcW w:w="320" w:type="dxa"/>
            <w:vAlign w:val="bottom"/>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Pr>
          <w:p>
            <w:pPr>
              <w:jc w:val="right"/>
              <w:ind w:right="190"/>
              <w:spacing w:after="0"/>
              <w:rPr>
                <w:sz w:val="20"/>
                <w:szCs w:val="20"/>
                <w:color w:val="auto"/>
              </w:rPr>
            </w:pPr>
            <w:r>
              <w:rPr>
                <w:rFonts w:ascii="Arial" w:cs="Arial" w:eastAsia="Arial" w:hAnsi="Arial"/>
                <w:sz w:val="18"/>
                <w:szCs w:val="18"/>
                <w:b w:val="1"/>
                <w:bCs w:val="1"/>
                <w:color w:val="auto"/>
              </w:rPr>
              <w:t>76,896</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114,945</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(33.1)%</w:t>
            </w:r>
          </w:p>
        </w:tc>
      </w:tr>
      <w:tr>
        <w:trPr>
          <w:trHeight w:val="230"/>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Operating margin</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6.3%</w:t>
            </w:r>
          </w:p>
        </w:tc>
        <w:tc>
          <w:tcPr>
            <w:tcW w:w="6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sales from Journeys Group decreased 15.9% to $1.23 billion for Fiscal 2021 compared to $1.46 billion for Fiscal 2020, primarily due to store closures in response to the COVID-19 pandemic and lower store comparable sales, reflecting decreased store traffic, partially offset by increased digital comparable growth. The store count for Journeys Group was 1,159 stores at the end of Fiscal 2021, including 233 Journeys Kidz stores, 47 Journeys stores in Canada and 38 Little Burgundy stores in Canada, compared to 1,171 stores at the end of Fiscal 2020, including 233 Journeys Kidz stores, 46 Journeys stores in Canada and 39 Little Burgundy stores in Canada.</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Journeys Group operating income for Fiscal 2021 decreased 33.1% to $76.9 million, compared to $114.9 million for Fiscal 2020. The decrease in operating income was primarily due to decreased net sales and increased expenses as a percentage of net sales, reflecting increased occupancy, marketing, depreciation, freight and compensation expenses, partially offset by decreased bonus expenses and selling salaries. Gross margin for Fiscal 2021 increased slightly as a percentage of net sales, primarily reflecting decreased markdowns, partially offset by higher shipping and warehouse expense from higher e-commerce sales.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41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628"/>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i w:val="1"/>
                <w:iCs w:val="1"/>
                <w:color w:val="auto"/>
              </w:rPr>
              <w:t>Schuh Group</w:t>
            </w:r>
          </w:p>
        </w:tc>
        <w:tc>
          <w:tcPr>
            <w:tcW w:w="28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46"/>
        </w:trPr>
        <w:tc>
          <w:tcPr>
            <w:tcW w:w="12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Fiscal Year Ended</w:t>
            </w:r>
          </w:p>
        </w:tc>
        <w:tc>
          <w:tcPr>
            <w:tcW w:w="8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23"/>
        </w:trPr>
        <w:tc>
          <w:tcPr>
            <w:tcW w:w="12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7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9"/>
                <w:szCs w:val="19"/>
                <w:color w:val="auto"/>
              </w:rPr>
            </w:pPr>
          </w:p>
        </w:tc>
        <w:tc>
          <w:tcPr>
            <w:tcW w:w="15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Change</w:t>
            </w:r>
          </w:p>
        </w:tc>
      </w:tr>
      <w:tr>
        <w:trPr>
          <w:trHeight w:val="223"/>
        </w:trPr>
        <w:tc>
          <w:tcPr>
            <w:tcW w:w="12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(dollars in thousands)</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4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sales</w:t>
            </w:r>
          </w:p>
        </w:tc>
        <w:tc>
          <w:tcPr>
            <w:tcW w:w="27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FF0FC"/>
          </w:tcPr>
          <w:p>
            <w:pPr>
              <w:jc w:val="right"/>
              <w:ind w:right="170"/>
              <w:spacing w:after="0"/>
              <w:rPr>
                <w:sz w:val="20"/>
                <w:szCs w:val="20"/>
                <w:color w:val="auto"/>
              </w:rPr>
            </w:pPr>
            <w:r>
              <w:rPr>
                <w:rFonts w:ascii="Arial" w:cs="Arial" w:eastAsia="Arial" w:hAnsi="Arial"/>
                <w:sz w:val="18"/>
                <w:szCs w:val="18"/>
                <w:b w:val="1"/>
                <w:bCs w:val="1"/>
                <w:color w:val="auto"/>
              </w:rPr>
              <w:t>305,941</w:t>
            </w:r>
          </w:p>
        </w:tc>
        <w:tc>
          <w:tcPr>
            <w:tcW w:w="74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5"/>
              </w:rPr>
              <w:t>373,930</w:t>
            </w: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w:t>
            </w:r>
          </w:p>
        </w:tc>
      </w:tr>
      <w:tr>
        <w:trPr>
          <w:trHeight w:val="230"/>
        </w:trPr>
        <w:tc>
          <w:tcPr>
            <w:tcW w:w="410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27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rPr>
              <w:t>(11,602)</w:t>
            </w:r>
          </w:p>
        </w:tc>
        <w:tc>
          <w:tcPr>
            <w:tcW w:w="7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4,659</w:t>
            </w:r>
          </w:p>
        </w:tc>
        <w:tc>
          <w:tcPr>
            <w:tcW w:w="160" w:type="dxa"/>
            <w:vAlign w:val="bottom"/>
          </w:tcPr>
          <w:p>
            <w:pPr>
              <w:spacing w:after="0"/>
              <w:rPr>
                <w:sz w:val="19"/>
                <w:szCs w:val="19"/>
                <w:color w:val="auto"/>
              </w:rPr>
            </w:pP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NM</w:t>
            </w:r>
          </w:p>
        </w:tc>
      </w:tr>
      <w:tr>
        <w:trPr>
          <w:trHeight w:val="229"/>
        </w:trPr>
        <w:tc>
          <w:tcPr>
            <w:tcW w:w="4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margin</w:t>
            </w:r>
          </w:p>
        </w:tc>
        <w:tc>
          <w:tcPr>
            <w:tcW w:w="23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-3.8%</w:t>
            </w:r>
          </w:p>
        </w:tc>
        <w:tc>
          <w:tcPr>
            <w:tcW w:w="7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sales from the Schuh Group decreased 18.2% to $305.9 million for Fiscal 2021, compared to $373.9 million for Fiscal 2020, primarily due to store closures in response to the COVID-19 pandemic and lower store comparable sales, partially offset by increased digital comparable growth and the favorable impact of $4.9 million due to changes in foreign exchange rates. Schuh Group operated 123 stores at the end of Fiscal 2021 compared to 129 stores at the end of Fiscal 2020.</w:t>
      </w:r>
    </w:p>
    <w:p>
      <w:pPr>
        <w:spacing w:after="0" w:line="16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Schuh Group had an operating loss of $(11.6) million in Fiscal 2021 compared to operating income of $4.7 million for Fiscal 2020. The decrease in earnings this year reflects decreased net sales and decreased gross margin as a percentage of net sales, reflecting higher shipping and warehouse expense from higher e-commerce sales and increased promotional activity. Schuh Group’s selling and administrative expenses decreased as a percentage of net sales this year, reflecting decreased occupancy expense, as a result of savings from the government program in the U.K. providing property tax relief and rent abatement agreements with our landlords, and decreased selling salaries, partially offset by increased marketing, compensation and credit card expenses and professional fees. In addition, Schuh Group's operating loss included a favorable impact of $1.1 million for Fiscal 2021 due to changes in foreign exchange rates.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r>
              <w:rPr>
                <w:rFonts w:ascii="Arial" w:cs="Arial" w:eastAsia="Arial" w:hAnsi="Arial"/>
                <w:sz w:val="18"/>
                <w:szCs w:val="18"/>
                <w:i w:val="1"/>
                <w:iCs w:val="1"/>
                <w:color w:val="auto"/>
              </w:rPr>
              <w:t>Johnston &amp; Murphy Group</w:t>
            </w:r>
          </w:p>
        </w:tc>
        <w:tc>
          <w:tcPr>
            <w:tcW w:w="2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45"/>
        </w:trPr>
        <w:tc>
          <w:tcPr>
            <w:tcW w:w="42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Fiscal Year Ended</w:t>
            </w:r>
          </w:p>
        </w:tc>
        <w:tc>
          <w:tcPr>
            <w:tcW w:w="8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23"/>
        </w:trPr>
        <w:tc>
          <w:tcPr>
            <w:tcW w:w="42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7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9"/>
                <w:szCs w:val="19"/>
                <w:color w:val="auto"/>
              </w:rPr>
            </w:pPr>
          </w:p>
        </w:tc>
        <w:tc>
          <w:tcPr>
            <w:tcW w:w="15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Change</w:t>
            </w:r>
          </w:p>
        </w:tc>
      </w:tr>
      <w:tr>
        <w:trPr>
          <w:trHeight w:val="223"/>
        </w:trPr>
        <w:tc>
          <w:tcPr>
            <w:tcW w:w="42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(dollars in thousands)</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FF0FC"/>
          </w:tcPr>
          <w:p>
            <w:pPr>
              <w:jc w:val="right"/>
              <w:ind w:right="170"/>
              <w:spacing w:after="0"/>
              <w:rPr>
                <w:sz w:val="20"/>
                <w:szCs w:val="20"/>
                <w:color w:val="auto"/>
              </w:rPr>
            </w:pPr>
            <w:r>
              <w:rPr>
                <w:rFonts w:ascii="Arial" w:cs="Arial" w:eastAsia="Arial" w:hAnsi="Arial"/>
                <w:sz w:val="18"/>
                <w:szCs w:val="18"/>
                <w:b w:val="1"/>
                <w:bCs w:val="1"/>
                <w:color w:val="auto"/>
              </w:rPr>
              <w:t>152,941</w:t>
            </w:r>
          </w:p>
        </w:tc>
        <w:tc>
          <w:tcPr>
            <w:tcW w:w="74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5"/>
              </w:rPr>
              <w:t>300,850</w:t>
            </w: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w:t>
            </w: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Operating income (loss)</w:t>
            </w:r>
          </w:p>
        </w:tc>
        <w:tc>
          <w:tcPr>
            <w:tcW w:w="26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rPr>
              <w:t>(47,624)</w:t>
            </w:r>
          </w:p>
        </w:tc>
        <w:tc>
          <w:tcPr>
            <w:tcW w:w="7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17,702</w:t>
            </w:r>
          </w:p>
        </w:tc>
        <w:tc>
          <w:tcPr>
            <w:tcW w:w="160" w:type="dxa"/>
            <w:vAlign w:val="bottom"/>
          </w:tcPr>
          <w:p>
            <w:pPr>
              <w:spacing w:after="0"/>
              <w:rPr>
                <w:sz w:val="19"/>
                <w:szCs w:val="19"/>
                <w:color w:val="auto"/>
              </w:rPr>
            </w:pP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NM</w:t>
            </w:r>
          </w:p>
        </w:tc>
      </w:tr>
      <w:tr>
        <w:trPr>
          <w:trHeight w:val="229"/>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Operating margin</w:t>
            </w:r>
          </w:p>
        </w:tc>
        <w:tc>
          <w:tcPr>
            <w:tcW w:w="2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-31.1%</w:t>
            </w:r>
          </w:p>
        </w:tc>
        <w:tc>
          <w:tcPr>
            <w:tcW w:w="7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Johnston &amp; Murphy Group net sales decreased 49.2% to $152.9 million for Fiscal 2021 from $300.9 million for Fiscal 2020 primarily due to lower store comparable sales, store closures in response to the COVID-19 pandemic and lower wholesale sales, partially offset by increased digital comparable growth. Retail operations accounted for 77.6% of Johnston &amp; Murphy Group's sales in Fiscal 2021, up from 75.8% in Fiscal 2020. The store count for Johnston &amp; Murphy retail operations at the end of Fiscal 2021 included 178 Johnston &amp; Murphy shops and factory stores, including eight stores in Canada, compared to 180 Johnston &amp; Murphy shops and factory stores, including eight stores in Canada, at the end of Fiscal 2020.</w:t>
      </w:r>
    </w:p>
    <w:p>
      <w:pPr>
        <w:spacing w:after="0" w:line="13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operating loss for Johnston &amp; Murphy Group for Fiscal 2021 was $(47.6) million compared to operating income of $17.7 million in Fiscal 2020. The decrease was primarily due to (i) decreased net sales (ii) decreased gross margin as a percentage of net sales, reflecting incremental inventory reserves, higher markdowns at retail, closeouts at wholesale and increased shipping and warehouse expense from higher e-commerce sales and (iii) increased selling and administrative expenses as a percentage of net sales, reflecting the inability to leverage expenses on lower sales due to the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64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844"/>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i w:val="1"/>
                <w:iCs w:val="1"/>
                <w:color w:val="auto"/>
                <w:w w:val="93"/>
              </w:rPr>
              <w:t>Licensed Brands</w:t>
            </w:r>
          </w:p>
        </w:tc>
        <w:tc>
          <w:tcPr>
            <w:tcW w:w="5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45"/>
        </w:trPr>
        <w:tc>
          <w:tcPr>
            <w:tcW w:w="128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Fiscal Year Ended</w:t>
            </w:r>
          </w:p>
        </w:tc>
        <w:tc>
          <w:tcPr>
            <w:tcW w:w="7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23"/>
        </w:trPr>
        <w:tc>
          <w:tcPr>
            <w:tcW w:w="128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7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9"/>
                <w:szCs w:val="19"/>
                <w:color w:val="auto"/>
              </w:rPr>
            </w:pPr>
          </w:p>
        </w:tc>
        <w:tc>
          <w:tcPr>
            <w:tcW w:w="14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Change</w:t>
            </w:r>
          </w:p>
        </w:tc>
      </w:tr>
      <w:tr>
        <w:trPr>
          <w:trHeight w:val="223"/>
        </w:trPr>
        <w:tc>
          <w:tcPr>
            <w:tcW w:w="128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(dollars in thousands)</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6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sales</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shd w:val="clear" w:color="auto" w:fill="CFF0FC"/>
          </w:tcPr>
          <w:p>
            <w:pPr>
              <w:jc w:val="right"/>
              <w:ind w:right="170"/>
              <w:spacing w:after="0"/>
              <w:rPr>
                <w:sz w:val="20"/>
                <w:szCs w:val="20"/>
                <w:color w:val="auto"/>
              </w:rPr>
            </w:pPr>
            <w:r>
              <w:rPr>
                <w:rFonts w:ascii="Arial" w:cs="Arial" w:eastAsia="Arial" w:hAnsi="Arial"/>
                <w:sz w:val="18"/>
                <w:szCs w:val="18"/>
                <w:b w:val="1"/>
                <w:bCs w:val="1"/>
                <w:color w:val="auto"/>
              </w:rPr>
              <w:t>99,694</w:t>
            </w:r>
          </w:p>
        </w:tc>
        <w:tc>
          <w:tcPr>
            <w:tcW w:w="78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61,859</w:t>
            </w: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w:t>
            </w:r>
          </w:p>
        </w:tc>
      </w:tr>
      <w:tr>
        <w:trPr>
          <w:trHeight w:val="229"/>
        </w:trPr>
        <w:tc>
          <w:tcPr>
            <w:tcW w:w="648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40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rPr>
              <w:t>(5,430)</w:t>
            </w:r>
          </w:p>
        </w:tc>
        <w:tc>
          <w:tcPr>
            <w:tcW w:w="7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(698)</w:t>
            </w:r>
          </w:p>
        </w:tc>
        <w:tc>
          <w:tcPr>
            <w:tcW w:w="160" w:type="dxa"/>
            <w:vAlign w:val="bottom"/>
          </w:tcPr>
          <w:p>
            <w:pPr>
              <w:spacing w:after="0"/>
              <w:rPr>
                <w:sz w:val="19"/>
                <w:szCs w:val="19"/>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NM</w:t>
            </w:r>
          </w:p>
        </w:tc>
      </w:tr>
      <w:tr>
        <w:trPr>
          <w:trHeight w:val="229"/>
        </w:trPr>
        <w:tc>
          <w:tcPr>
            <w:tcW w:w="6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margin</w:t>
            </w:r>
          </w:p>
        </w:tc>
        <w:tc>
          <w:tcPr>
            <w:tcW w:w="4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-5.4%</w:t>
            </w:r>
          </w:p>
        </w:tc>
        <w:tc>
          <w:tcPr>
            <w:tcW w:w="7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Licensed Brands’ net sales increased 61.2% to $99.7 million for Fiscal 2021 from $61.9 million for Fiscal 2020, reflecting increased sales related to the Togast acquisition, partially offset by decreased sales of Dockers footwear.</w:t>
      </w:r>
    </w:p>
    <w:p>
      <w:pPr>
        <w:spacing w:after="0" w:line="1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Licensed Brands’ operating loss increased from $(0.7) million for Fiscal 2020 to $(5.4) million for Fiscal 2021, primarily due to decreased gross margin as a percentage of net sales as the recently acquired Togast business carried lower margins than the historic business due to the impact of pre-acquisition royalty and commission cost on legacy Togast product sales and the COVID-19 pandemic impact. As the legacy Togast products comprise less of the overall sales mix of Licensed Brands, we expect the gross margin to improve. Licensed Brands’ selling and administrative expenses decreased as a percentage of net sales, reflecting multiple expense category fluctuations as a result of both acquiring the Togast business, which carries lower expenses as a percentage of net sales than the historic business, and the impact of the COVID-19 pandemic, including higher bad debt expense for Fiscal 2021. In addition, we benefitted from actions we took to restructure the Togast business and integrate post acquisition such as the elimination of a potential $34 million earnout in future years.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Interest Expenses and Other Charges</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Corporate and other expense for Fiscal 2021 was $119.5 million compared to $53.3 million for Fiscal 2020. Corporate expense in Fiscal 2021 included non-cash impairment charges of $79.3 million related to goodwill, $13.8 million related to retail store assets and $5.3 million for trademarks, partially offset by a $(0.4) million gain for the release of an earnout related to the Togast acquisition. Fiscal 2020 included a $13.4 million charge in asset impairment and other charges, primarily for pension settlement expense and retail store asset impairments, partially offset by a gain on the sale of the Lids Sports Group headquarters building, a gain on lease terminations and a gain related to Hurricane Maria. Corporate and other expense, excluding asset impairment and other charges, decreased 46% reflecting decreased bonus and compensation expenses and decreased professional fees.</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interest expense increased to $5.1 million in Fiscal 2021 from $1.3 million in Fiscal 2020 primarily due to increased average borrowings and lower interest rates on short-term investments.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impacts of the COVID-19 pandemic have adversely affected our results of operations. In response to the business disruption caused by the COVID-19 pandemic, we have taken actions described above in the “COVID-19 Update” section of Management’s Discussion and Analysis of Financial Condition and Results of Operations.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business is seasonal, with our investment in inventory and accounts receivable normally reaching peaks in the spring and fall of each year. Historically, cash flow from operations has been generated principally in the fourth quarter of each fiscal year.</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tcPr>
          <w:p>
            <w:pPr>
              <w:spacing w:after="0"/>
              <w:rPr>
                <w:sz w:val="20"/>
                <w:szCs w:val="20"/>
                <w:color w:val="auto"/>
              </w:rPr>
            </w:pPr>
            <w:r>
              <w:rPr>
                <w:rFonts w:ascii="Arial" w:cs="Arial" w:eastAsia="Arial" w:hAnsi="Arial"/>
                <w:sz w:val="18"/>
                <w:szCs w:val="18"/>
                <w:color w:val="auto"/>
              </w:rPr>
              <w:t>Cash flow changes:</w:t>
            </w: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94"/>
              </w:rPr>
              <w:t>Fiscal Year Ended</w:t>
            </w:r>
          </w:p>
        </w:tc>
        <w:tc>
          <w:tcPr>
            <w:tcW w:w="4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05"/>
        </w:trPr>
        <w:tc>
          <w:tcPr>
            <w:tcW w:w="6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ind w:right="70"/>
              <w:spacing w:after="0" w:line="205" w:lineRule="exact"/>
              <w:rPr>
                <w:sz w:val="20"/>
                <w:szCs w:val="20"/>
                <w:color w:val="auto"/>
              </w:rPr>
            </w:pPr>
            <w:r>
              <w:rPr>
                <w:rFonts w:ascii="Arial" w:cs="Arial" w:eastAsia="Arial" w:hAnsi="Arial"/>
                <w:sz w:val="18"/>
                <w:szCs w:val="18"/>
                <w:b w:val="1"/>
                <w:bCs w:val="1"/>
                <w:color w:val="auto"/>
              </w:rPr>
              <w:t>January 30,</w:t>
            </w:r>
          </w:p>
        </w:tc>
        <w:tc>
          <w:tcPr>
            <w:tcW w:w="400" w:type="dxa"/>
            <w:vAlign w:val="bottom"/>
          </w:tcPr>
          <w:p>
            <w:pPr>
              <w:spacing w:after="0"/>
              <w:rPr>
                <w:sz w:val="17"/>
                <w:szCs w:val="17"/>
                <w:color w:val="auto"/>
              </w:rPr>
            </w:pPr>
          </w:p>
        </w:tc>
        <w:tc>
          <w:tcPr>
            <w:tcW w:w="1200" w:type="dxa"/>
            <w:vAlign w:val="bottom"/>
          </w:tcPr>
          <w:p>
            <w:pPr>
              <w:jc w:val="right"/>
              <w:ind w:right="90"/>
              <w:spacing w:after="0" w:line="205" w:lineRule="exact"/>
              <w:rPr>
                <w:sz w:val="20"/>
                <w:szCs w:val="20"/>
                <w:color w:val="auto"/>
              </w:rPr>
            </w:pPr>
            <w:r>
              <w:rPr>
                <w:rFonts w:ascii="Arial" w:cs="Arial" w:eastAsia="Arial" w:hAnsi="Arial"/>
                <w:sz w:val="18"/>
                <w:szCs w:val="18"/>
                <w:color w:val="auto"/>
              </w:rPr>
              <w:t>February 1,</w:t>
            </w:r>
          </w:p>
        </w:tc>
        <w:tc>
          <w:tcPr>
            <w:tcW w:w="400" w:type="dxa"/>
            <w:vAlign w:val="bottom"/>
          </w:tcPr>
          <w:p>
            <w:pPr>
              <w:spacing w:after="0"/>
              <w:rPr>
                <w:sz w:val="17"/>
                <w:szCs w:val="17"/>
                <w:color w:val="auto"/>
              </w:rPr>
            </w:pPr>
          </w:p>
        </w:tc>
        <w:tc>
          <w:tcPr>
            <w:tcW w:w="1120" w:type="dxa"/>
            <w:vAlign w:val="bottom"/>
          </w:tcPr>
          <w:p>
            <w:pPr>
              <w:jc w:val="right"/>
              <w:ind w:right="30"/>
              <w:spacing w:after="0" w:line="205" w:lineRule="exact"/>
              <w:rPr>
                <w:sz w:val="20"/>
                <w:szCs w:val="20"/>
                <w:color w:val="auto"/>
              </w:rPr>
            </w:pPr>
            <w:r>
              <w:rPr>
                <w:rFonts w:ascii="Arial" w:cs="Arial" w:eastAsia="Arial" w:hAnsi="Arial"/>
                <w:sz w:val="18"/>
                <w:szCs w:val="18"/>
                <w:color w:val="auto"/>
              </w:rPr>
              <w:t>Increase</w:t>
            </w:r>
          </w:p>
        </w:tc>
      </w:tr>
      <w:tr>
        <w:trPr>
          <w:trHeight w:val="234"/>
        </w:trPr>
        <w:tc>
          <w:tcPr>
            <w:tcW w:w="6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(dollars in millions)</w:t>
            </w: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2020</w:t>
            </w:r>
          </w:p>
        </w:tc>
        <w:tc>
          <w:tcPr>
            <w:tcW w:w="4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(Decrease)</w:t>
            </w:r>
          </w:p>
        </w:tc>
      </w:tr>
      <w:tr>
        <w:trPr>
          <w:trHeight w:val="223"/>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157.8</w:t>
            </w:r>
          </w:p>
        </w:tc>
        <w:tc>
          <w:tcPr>
            <w:tcW w:w="4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117.2</w:t>
            </w:r>
          </w:p>
        </w:tc>
        <w:tc>
          <w:tcPr>
            <w:tcW w:w="4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40.6</w:t>
            </w: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(24.0)</w:t>
            </w:r>
          </w:p>
        </w:tc>
        <w:tc>
          <w:tcPr>
            <w:tcW w:w="40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53.3</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(77.3)</w:t>
            </w:r>
          </w:p>
        </w:tc>
      </w:tr>
      <w:tr>
        <w:trPr>
          <w:trHeight w:val="229"/>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w:t>
            </w:r>
          </w:p>
        </w:tc>
        <w:tc>
          <w:tcPr>
            <w:tcW w:w="40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(256.5)</w:t>
            </w:r>
          </w:p>
        </w:tc>
        <w:tc>
          <w:tcPr>
            <w:tcW w:w="4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253.3</w:t>
            </w:r>
          </w:p>
        </w:tc>
      </w:tr>
      <w:tr>
        <w:trPr>
          <w:trHeight w:val="229"/>
        </w:trPr>
        <w:tc>
          <w:tcPr>
            <w:tcW w:w="6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Effect of foreign exchange rate fluctuations on cash</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3.1</w:t>
            </w: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0.1</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w:t>
            </w:r>
          </w:p>
        </w:tc>
      </w:tr>
      <w:tr>
        <w:trPr>
          <w:trHeight w:val="223"/>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Increase (decrease) in cash and cash equivalents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133.7</w:t>
            </w:r>
          </w:p>
        </w:tc>
        <w:tc>
          <w:tcPr>
            <w:tcW w:w="4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(85.9)</w:t>
            </w:r>
          </w:p>
        </w:tc>
        <w:tc>
          <w:tcPr>
            <w:tcW w:w="40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219.6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Reasons for the major variances in cash provided by (used in) the table above are as follows: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Cash provided by operating activities was $40.6 million higher for Fiscal 2021 compared to Fiscal 2020, reflecting primarily the following factors:</w:t>
      </w:r>
    </w:p>
    <w:p>
      <w:pPr>
        <w:spacing w:after="0" w:line="196" w:lineRule="exact"/>
        <w:rPr>
          <w:sz w:val="20"/>
          <w:szCs w:val="20"/>
          <w:color w:val="auto"/>
        </w:rPr>
      </w:pPr>
    </w:p>
    <w:p>
      <w:pPr>
        <w:ind w:left="800" w:hanging="401"/>
        <w:spacing w:after="0" w:line="277"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$63.1 million increase in cash flow from changes in inventory, net of reserves, reflecting decreased inventory in all of our business segments for Fiscal 2021;</w:t>
      </w:r>
    </w:p>
    <w:p>
      <w:pPr>
        <w:spacing w:after="0" w:line="129" w:lineRule="exact"/>
        <w:rPr>
          <w:rFonts w:ascii="Arial" w:cs="Arial" w:eastAsia="Arial" w:hAnsi="Arial"/>
          <w:sz w:val="18"/>
          <w:szCs w:val="18"/>
          <w:color w:val="auto"/>
        </w:rPr>
      </w:pPr>
    </w:p>
    <w:p>
      <w:pPr>
        <w:ind w:left="800" w:hanging="401"/>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$40.0 million increase in cash flow from changes in accounts payable reflecting changes in buying patterns;</w:t>
      </w:r>
    </w:p>
    <w:p>
      <w:pPr>
        <w:spacing w:after="0" w:line="184" w:lineRule="exact"/>
        <w:rPr>
          <w:rFonts w:ascii="Arial" w:cs="Arial" w:eastAsia="Arial" w:hAnsi="Arial"/>
          <w:sz w:val="18"/>
          <w:szCs w:val="18"/>
          <w:color w:val="auto"/>
        </w:rPr>
      </w:pPr>
    </w:p>
    <w:p>
      <w:pPr>
        <w:ind w:left="800" w:hanging="401"/>
        <w:spacing w:after="0" w:line="308" w:lineRule="auto"/>
        <w:tabs>
          <w:tab w:leader="none" w:pos="8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$28.9 million increase in cash flow from changes in other assets and liabilities and a $13.1 million increase in cash flow from changes in other accrued liabilities, both reflecting reduced rent payments since the onset of the COVID-19 pandemic; partially offset by</w:t>
      </w:r>
    </w:p>
    <w:p>
      <w:pPr>
        <w:spacing w:after="0" w:line="105" w:lineRule="exact"/>
        <w:rPr>
          <w:rFonts w:ascii="Arial" w:cs="Arial" w:eastAsia="Arial" w:hAnsi="Arial"/>
          <w:sz w:val="17"/>
          <w:szCs w:val="17"/>
          <w:color w:val="auto"/>
        </w:rPr>
      </w:pPr>
    </w:p>
    <w:p>
      <w:pPr>
        <w:ind w:left="800" w:right="20" w:hanging="401"/>
        <w:spacing w:after="0" w:line="277"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$81.3 million decrease in cash flow from decreased net earnings, net of intangible impairment, discrete income tax benefits and inventory reserve adjustments.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provided by investing activities was $77.3 million lower for Fiscal 2021 reflecting the receipt of proceeds from the sale of Lids Sports Group in the prior year, partially offset by the acquisition of Togast in the fourth quarter of Fiscal Year 2020.</w:t>
      </w:r>
    </w:p>
    <w:p>
      <w:pPr>
        <w:spacing w:after="0" w:line="143" w:lineRule="exact"/>
        <w:rPr>
          <w:sz w:val="20"/>
          <w:szCs w:val="20"/>
          <w:color w:val="auto"/>
        </w:rPr>
      </w:pPr>
    </w:p>
    <w:p>
      <w:pPr>
        <w:ind w:right="1640"/>
        <w:spacing w:after="0" w:line="453" w:lineRule="auto"/>
        <w:rPr>
          <w:sz w:val="20"/>
          <w:szCs w:val="20"/>
          <w:color w:val="auto"/>
        </w:rPr>
      </w:pPr>
      <w:r>
        <w:rPr>
          <w:rFonts w:ascii="Arial" w:cs="Arial" w:eastAsia="Arial" w:hAnsi="Arial"/>
          <w:sz w:val="18"/>
          <w:szCs w:val="18"/>
          <w:color w:val="auto"/>
        </w:rPr>
        <w:t xml:space="preserve">Cash used in financing activities was $253.3 million higher in Fiscal 2021 primarily reflecting share repurchases in Fiscal Year 2020. </w:t>
      </w:r>
      <w:r>
        <w:rPr>
          <w:rFonts w:ascii="Arial" w:cs="Arial" w:eastAsia="Arial" w:hAnsi="Arial"/>
          <w:sz w:val="18"/>
          <w:szCs w:val="18"/>
          <w:i w:val="1"/>
          <w:iCs w:val="1"/>
          <w:color w:val="auto"/>
        </w:rPr>
        <w:t>Sources of Liquidity and Future Capital Needs</w:t>
      </w:r>
    </w:p>
    <w:p>
      <w:pPr>
        <w:spacing w:after="0" w:line="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three principal sources of liquidity: cash flow from operations, cash and cash equivalents on hand and our credit facilities discussed in Item 8, Note 9, "Long-Term Debt", to our Consolidated Financial Statements included in this Annual Report on Form 10-K.</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5, 2020, we entered into a Second Amendment to our Credit Facility to, among other things, increase the Total Commitments for the revolving loans from $275.0 million to $332.5 million, establish a FILO tranche of indebtedness of $17.5 million, for $350.0 million total capacity, increase pricing on the revolving loans, modify certain covenant and reporting terms and pledge additional collateral. As of January 30, 2021, we have borrowed $33.0 million under our Credit Facility.</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October 9, 2020, Schuh entered into a Facility Letter with Lloyds under the U.K.'s Coronavirus Large Business Interruption Loan Scheme pursuant to which Lloyds made available a RCF of £19.0 million for the purpose of refinancing Schuh's existing indebtedness with Lloyds. The RCF expires in October 2023. As of January 30, 2021, we have not borrowed under the Schuh Facility Letter.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we manage through the impacts of the COVID-19 pandemic in Fiscal 2022, we have access to our existing cash, as well as our available credit facilities to meet short-term liquidity needs. We believe that cash on hand, cash provided by operations and borrowings under our amended Credit Facility and the Schuh Facility Letter will be sufficient to support our near-term liquidity. Our year end cash benefitted from both lower inventory levels as well as rent payables that will be paid once remaining COVID-related rent negotiations are fully completed and executed in Fiscal 2022. Additionally, in the fourth quarter of Fiscal 2021, we implemented tax mechanisms allowed under the 5-year carryback provisions in the CARES Act which we expect will generate significant cash inflows in Fiscal 2022. In Fiscal 2022, we will need to rebuild our inventories, especially at Journeys Group, in response to COVID-19.</w:t>
      </w:r>
    </w:p>
    <w:p>
      <w:pPr>
        <w:spacing w:after="0" w:line="137" w:lineRule="exact"/>
        <w:rPr>
          <w:sz w:val="20"/>
          <w:szCs w:val="20"/>
          <w:color w:val="auto"/>
        </w:rPr>
      </w:pPr>
    </w:p>
    <w:p>
      <w:pPr>
        <w:ind w:right="1880"/>
        <w:spacing w:after="0" w:line="453" w:lineRule="auto"/>
        <w:rPr>
          <w:sz w:val="20"/>
          <w:szCs w:val="20"/>
          <w:color w:val="auto"/>
        </w:rPr>
      </w:pPr>
      <w:r>
        <w:rPr>
          <w:rFonts w:ascii="Arial" w:cs="Arial" w:eastAsia="Arial" w:hAnsi="Arial"/>
          <w:sz w:val="18"/>
          <w:szCs w:val="18"/>
          <w:color w:val="auto"/>
        </w:rPr>
        <w:t xml:space="preserve">We were in compliance with all the relevant terms and conditions of the Credit Facility and Facility Letter as of January 30, 2021. </w:t>
      </w:r>
      <w:r>
        <w:rPr>
          <w:rFonts w:ascii="Arial" w:cs="Arial" w:eastAsia="Arial" w:hAnsi="Arial"/>
          <w:sz w:val="18"/>
          <w:szCs w:val="18"/>
          <w:i w:val="1"/>
          <w:iCs w:val="1"/>
          <w:color w:val="auto"/>
        </w:rPr>
        <w:t>Contractual Obligations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aggregate contractual obligations as of January 30,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Contractual Obligations</w:t>
            </w:r>
          </w:p>
        </w:tc>
        <w:tc>
          <w:tcPr>
            <w:tcW w:w="26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Total</w:t>
            </w:r>
          </w:p>
        </w:tc>
        <w:tc>
          <w:tcPr>
            <w:tcW w:w="5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Current</w:t>
            </w:r>
          </w:p>
        </w:tc>
        <w:tc>
          <w:tcPr>
            <w:tcW w:w="4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Long-Term</w:t>
            </w:r>
          </w:p>
        </w:tc>
      </w:tr>
      <w:tr>
        <w:trPr>
          <w:trHeight w:val="223"/>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Long-Term Debt Obligations</w:t>
            </w:r>
          </w:p>
        </w:tc>
        <w:tc>
          <w:tcPr>
            <w:tcW w:w="26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32,986</w:t>
            </w:r>
          </w:p>
        </w:tc>
        <w:tc>
          <w:tcPr>
            <w:tcW w:w="5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32,986</w:t>
            </w: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Operating Lease Obligations</w:t>
            </w:r>
            <w:r>
              <w:rPr>
                <w:rFonts w:ascii="Arial" w:cs="Arial" w:eastAsia="Arial" w:hAnsi="Arial"/>
                <w:sz w:val="15"/>
                <w:szCs w:val="15"/>
                <w:color w:val="auto"/>
              </w:rPr>
              <w:t>(1)</w:t>
            </w:r>
          </w:p>
        </w:tc>
        <w:tc>
          <w:tcPr>
            <w:tcW w:w="260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800,962</w:t>
            </w:r>
          </w:p>
        </w:tc>
        <w:tc>
          <w:tcPr>
            <w:tcW w:w="54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204,457</w:t>
            </w:r>
          </w:p>
        </w:tc>
        <w:tc>
          <w:tcPr>
            <w:tcW w:w="42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596,505</w:t>
            </w:r>
          </w:p>
        </w:tc>
      </w:tr>
      <w:tr>
        <w:trPr>
          <w:trHeight w:val="229"/>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15"/>
                <w:szCs w:val="15"/>
                <w:color w:val="auto"/>
              </w:rPr>
              <w:t>(2)</w:t>
            </w:r>
          </w:p>
        </w:tc>
        <w:tc>
          <w:tcPr>
            <w:tcW w:w="26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22,753</w:t>
            </w: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22,753</w:t>
            </w: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Long-Term Liabilities</w:t>
            </w:r>
          </w:p>
        </w:tc>
        <w:tc>
          <w:tcPr>
            <w:tcW w:w="2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855</w:t>
            </w: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172</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683</w:t>
            </w:r>
          </w:p>
        </w:tc>
      </w:tr>
      <w:tr>
        <w:trPr>
          <w:trHeight w:val="223"/>
        </w:trPr>
        <w:tc>
          <w:tcPr>
            <w:tcW w:w="44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Total Contractual Obligations</w:t>
            </w:r>
          </w:p>
        </w:tc>
        <w:tc>
          <w:tcPr>
            <w:tcW w:w="26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857,556</w:t>
            </w:r>
          </w:p>
        </w:tc>
        <w:tc>
          <w:tcPr>
            <w:tcW w:w="54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227,382</w:t>
            </w:r>
          </w:p>
        </w:tc>
        <w:tc>
          <w:tcPr>
            <w:tcW w:w="4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630,174</w:t>
            </w:r>
          </w:p>
        </w:tc>
      </w:tr>
    </w:tbl>
    <w:p>
      <w:pPr>
        <w:spacing w:after="0" w:line="121" w:lineRule="exact"/>
        <w:rPr>
          <w:sz w:val="20"/>
          <w:szCs w:val="20"/>
          <w:color w:val="auto"/>
        </w:rPr>
      </w:pPr>
    </w:p>
    <w:p>
      <w:pPr>
        <w:ind w:left="200" w:hanging="192"/>
        <w:spacing w:after="0"/>
        <w:tabs>
          <w:tab w:leader="none" w:pos="200" w:val="left"/>
        </w:tabs>
        <w:numPr>
          <w:ilvl w:val="0"/>
          <w:numId w:val="14"/>
        </w:numPr>
        <w:rPr>
          <w:rFonts w:ascii="Arial" w:cs="Arial" w:eastAsia="Arial" w:hAnsi="Arial"/>
          <w:sz w:val="23"/>
          <w:szCs w:val="23"/>
          <w:color w:val="auto"/>
          <w:vertAlign w:val="superscript"/>
        </w:rPr>
      </w:pPr>
      <w:r>
        <w:rPr>
          <w:rFonts w:ascii="Arial" w:cs="Arial" w:eastAsia="Arial" w:hAnsi="Arial"/>
          <w:sz w:val="14"/>
          <w:szCs w:val="14"/>
          <w:color w:val="auto"/>
        </w:rPr>
        <w:t>Operating lease obligations excludes $68.8 million for leases signed but not yet commenced.</w:t>
      </w:r>
    </w:p>
    <w:p>
      <w:pPr>
        <w:spacing w:after="0" w:line="10" w:lineRule="exact"/>
        <w:rPr>
          <w:rFonts w:ascii="Arial" w:cs="Arial" w:eastAsia="Arial" w:hAnsi="Arial"/>
          <w:sz w:val="23"/>
          <w:szCs w:val="23"/>
          <w:color w:val="auto"/>
          <w:vertAlign w:val="superscript"/>
        </w:rPr>
      </w:pPr>
    </w:p>
    <w:p>
      <w:pPr>
        <w:ind w:firstLine="8"/>
        <w:spacing w:after="0" w:line="206" w:lineRule="auto"/>
        <w:tabs>
          <w:tab w:leader="none" w:pos="219" w:val="left"/>
        </w:tabs>
        <w:numPr>
          <w:ilvl w:val="0"/>
          <w:numId w:val="14"/>
        </w:numPr>
        <w:rPr>
          <w:rFonts w:ascii="Arial" w:cs="Arial" w:eastAsia="Arial" w:hAnsi="Arial"/>
          <w:sz w:val="25"/>
          <w:szCs w:val="25"/>
          <w:color w:val="auto"/>
          <w:vertAlign w:val="superscript"/>
        </w:rPr>
      </w:pPr>
      <w:r>
        <w:rPr>
          <w:rFonts w:ascii="Arial" w:cs="Arial" w:eastAsia="Arial" w:hAnsi="Arial"/>
          <w:sz w:val="15"/>
          <w:szCs w:val="15"/>
          <w:color w:val="auto"/>
        </w:rPr>
        <w:t>As a result of the Togast acquisition, we also have a commitment to Samsung C&amp;T America, Inc. (“Samsung”) related to the ultimate sale and valuation of related inventories owned by Samsung. If the product is sold below Samsung’s cost, we are committed to Samsung for the difference between the sales price and its cost.</w:t>
      </w:r>
    </w:p>
    <w:p>
      <w:pPr>
        <w:spacing w:after="0" w:line="199"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We issue inventory purchase orders in the ordinary course of business, which represent authorizations to purchase that are cancelable by their terms. We do not consider purchase orders to be firm inventory commitments. If we choose to cancel a purchase order, we may be obligated to reimburse the vendor for unrecoverable outlays incurred prior to cancellation.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Capital expenditures were $24.1 million and $29.8 million for Fiscal 2021 and 2020, respectively. The $5.7 million decrease in Fiscal 2021 capital expenditures as compared to Fiscal 2020 is primarily due to decreased store renovations in Fiscal 2021 as well as decreased capital expenditures as a result of the COVID-19 pandemic.</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expect total capital expenditures for Fiscal 2022 to be approximately $35 million to $40 million of which approximately 74% is for computer hardware, software and warehouse enhancements for initiatives to drive traffic and omni-channel capabilities. Planned capital expenditures excludes approximately $16 million, net of tenant allowance, for the new Corporate Headquarters building which is still in the planning stage. We do not currently have any longer term capital expenditures or other cash requirements other than as set forth in the contractual obligations table. We also do not currently have any off-balance sheet arrangements.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Repurchases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did not repurchase any shares during Fiscal 2021. We have $89.7 million remaining as of January 30, 2021 under our current $100.0 million share repurchase authorization. We repurchased 4,570,015 shares at a cost of $189.4 million during Fiscal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Other Contingencies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subject to certain loss contingencies related to environmental proceedings and other legal matters, including those disclosed in Item 8, Note 16, "Legal Proceedings and Other Matters", to our Consolidated Financial Statements included in this Annual Report on Form 10-K.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Market Risk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discusses our exposure to financial market risk.</w:t>
      </w:r>
    </w:p>
    <w:p>
      <w:pPr>
        <w:spacing w:after="0" w:line="19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Outstanding Debt – We have $33.0 million of outstanding U.S. revolver borrowings at a weighted average interest rate of 4.05% as of January 30, 2021. A 100 basis point increase in interest rates would increase annual interest expense by $0.3 million on the $33.0 million revolver borrowings.</w:t>
      </w:r>
    </w:p>
    <w:p>
      <w:pPr>
        <w:spacing w:after="0" w:line="1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and Cash Equivalents – Our cash and cash equivalent balances are held in our bank accounts and not invested at this time. We did not have significant exposure to changing interest rates on invested cash at January 30, 2021. As a result, we consider the interest rate market risk implicit in these investments at January 30, 2021 to be low.</w:t>
      </w:r>
    </w:p>
    <w:p>
      <w:pPr>
        <w:spacing w:after="0" w:line="14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Summary – Based on our overall market interest rate exposure at January 30, 2021, we believe that the effect, if any, of reasonably possible near-term changes in interest rates on our consolidated financial position, results of operations or cash flows for Fiscal 2022 would not be material.</w:t>
      </w:r>
    </w:p>
    <w:p>
      <w:pPr>
        <w:spacing w:after="0" w:line="11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Accounts Receivable – Our accounts receivable balance at January 30, 2021 is concentrated in our wholesale businesses, which sell primarily to department stores and independent retailers across the United States. In the wholesale businesses, one customer accounted for 16%, one customer accounted for 13% and two customers each accounted for 10% of our total trade receivables balance, while no other customer accounted for more than 7% of our total trade receivables balance as of January 30, 2021. We monitor the credit quality of our customers and establish an allowance for doubtful accounts based upon factors surrounding credit risk of specific customers, historical trends and other information, as well as customer specific factors; however, credit risk is affected by conditions or occurrences within the economy and the retail industry, as well as company-specific information.</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Foreign Currency Exchange Risk – We are exposed to translation risk because certain of our foreign operations utilize the local currency as their functional currency and those financial results must be translated into United States dollars. As currency exchange rates fluctuate, translation of our financial statements of foreign businesses into United States dollars affects the comparability of financial results between years. Schuh Group's net sales and operating loss for Fiscal 2021 were positively impacted by $4.9 million and positively impacted by $1.1 million, respectively, due to the change in foreign exchange rates.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Principles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Descriptions of recently issued accounting pronouncements, if any, and the accounting pronouncements adopted by us during Fiscal 2021 are included in Note 2 to the Consolidated Financial Statements included in Item 8, "Financial Statements and Supplementary Data".</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result of the economic and business impact of COVID-19, we may be required to revise certain accounting estimates and judgments such as, but not limited to, those related to the valuation of inventory, goodwill, long-lived assets and deferred tax assets, which could have a material adverse effect on our financial position and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Valuation</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our footwear wholesale operations and our Schuh Group segment, cost for inventory that we own is determined using the first-in, first-out ("FIFO") method. Net realizable value is determined using a system of analysis which evaluates inventory at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stock number level based on factors such as inventory turn, average selling price, inventory level, and selling prices reflected in future orders for footwear wholesale. We provide a valuation allowance when the inventory has not been marked down to net realizable value based on current selling prices or when the inventory is not turning and is not expected to turn at satisfactory levels.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our retail operations, other than the Schuh Group segment, we employ the retail inventory method, applying average cost-to-retail ratios to the retail value of inventories. Under the retail inventory method, valuing inventory at the lower of cost or market is achieved as markdowns are taken or accrued as a reduction of the retail value of inventories.</w:t>
      </w:r>
    </w:p>
    <w:p>
      <w:pPr>
        <w:spacing w:after="0" w:line="1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Inherent in the retail inventory method are subjective judgments and estimates, including merchandise mark-on, markups, markdowns and shrinkage. These judgments and estimates, coupled with the fact that the retail inventory method is an averaging process, could produce a range of cost figures. To reduce the risk of inaccuracy and to ensure consistent presentation, we employ the retail inventory method in multiple subclasses of inventory with similar gross margins, and analyze markdown requirements at the stock number level based on factors such as inventory turn, average selling price and inventory age. In addition, we accrue markdowns as necessary. These additional markdown accruals reflect all of the above factors as well as current agreements to return products to vendors and vendor agreements to provide markdown support. In addition to markdown allowances, we maintain reserves for shrinkage and damaged goods based on historical rates.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Inherent in the analysis of both wholesale and retail inventory valuation are subjective judgments about current market conditions, fashion trends and overall economic conditions. Failure to make appropriate conclusions regarding these factors may result in an overstatement or understatement of inventory value. A change of 10% from the recorded amounts for markdowns, shrinkage and damaged goods would have changed inventory by $1.6 million at January 30, 2021.</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periodically assess the realizability of our long-lived assets, other than goodwill, and evaluate such assets for impairment whenever events or changes in circumstances indicate that the carrying amount of an asset may not be recoverable. Asset impairment is determined to exist if estimated future cash flows, undiscounted and without interest charges, are less than the carrying amount. Inherent in the analysis of impairment are subjective judgments about future cash flows. Failure to make appropriate conclusions regarding these judgments may result in an overstatement or understatement of the value of long-lived assets.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annually assess our goodwill and indefinite lived trademarks for impairment and on an interim basis if indicators of impairment are present. Our annual assessment date of goodwill and indefinite lived trade names is the first day of the fourth quarter.</w:t>
      </w:r>
    </w:p>
    <w:p>
      <w:pPr>
        <w:spacing w:after="0" w:line="14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accordance with ASC 350, we have the option first to assess qualitative factors to determine whether events and circumstances indicate that it is more likely than not that goodwill is impaired. If, after such assessment, we conclude that the asset is not impaired, no further action is required. However, if we conclude otherwise, we are required to determine the fair value of the asset using a quantitative impairment test. The quantitative impairment test for goodwill compares the fair value of each reporting unit with the carrying value of the reporting unit with which the goodwill is associated. If the fair value of the reporting unit is less than the carrying value of the reporting unit, an impairment charge would be recorded for the amount, if any, in which the carrying value exceeds the reporting unit's fair value. We estimate fair value using the best information available, and compute the fair value derived by a combination of the market and income approach. The market approach is based on observed market data of comparable companies to determine fair value. The income approach utilizes a projection of a reporting unit’s estimated operating results and cash flows that are discounted using a weighted-average cost of capital that reflects current market conditions. A key assumption in our fair value estimate is the weighted average cost of capital utilized for discounting our cash flow projections in our income approach. The projection uses our best estimates of economic and market conditions over the projected period including growth rates in sales, costs, estimates of future expected changes in operating margins and cash expenditures. Other significant estimates and assumptions include terminal value growth rates, future estimates of capital</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expenditures and changes in future working capital requirements. For additional information regarding impairment of long-lived assets, see Item 8, Note 4, "Goodwill and Other Intangible Assets" and Note 5,"Asset Impairments and Other Charges" to our Consolidated Financial Statements included in this Annual Report on Form 10-K.</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accordance with ASU 2014-09, "Revenue from Contracts with Customers (Topic 606)" ("ASC 606"), revenue shall be recognized upon satisfaction of all contractual performance obligations and transfer of control to the customer. Revenue is measured as the amount of consideration we expect to be entitled to in exchange for corresponding goods. The majority of our sales are single performance obligation arrangements for retail sale transactions for which the transaction price is equivalent to the stated price of the product, net of any stated discounts applicable at a point in time. Each sales transaction results in an implicit contract with the customer to deliver a product at the point of sale. Revenue from retail sales is recognized at the point of sale, is net of estimated returns, and excludes sales and value added taxes. Revenue from catalog and internet sales is recognized at estimated time of delivery to the customer, is net of estimated returns, and excludes sales and value added taxes. Wholesale revenue is recorded net of estimated returns and allowances for markdowns, damages and miscellaneous claims when the related goods have been shipped and legal title has passed to the customer. Actual amounts of markdowns have not differed materially from estimates. Shipping and handling costs charged to customers are included in net sales. We elected the practical expedient within ASC 606 related to taxes that are assessed by a governmental authority, which allows for the exclusion of sales and value added tax from transaction price.</w:t>
      </w:r>
    </w:p>
    <w:p>
      <w:pPr>
        <w:spacing w:after="0" w:line="14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 provision for estimated returns is provided through a reduction of sales and cost of goods sold in the period that the related sales are recorded. Estimated returns are based on historical returns and claims. Actual returns and claims in any future period may differ from historical experience. Revenue from gift cards is deferred and recognized upon the redemption of the cards. These cards have no expiration date. Income from unredeemed cards is recognized in our Consolidated Statements of Operations within net sales in proportion to the pattern of rights exercised by the customer in future periods. We perform an evaluation of historical redemption patterns from the date of original issuance to estimate future period redemption activity.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part of the process of preparing our Consolidated Financial Statements, we are required to estimate our income taxes in each of the tax jurisdictions in which we operate. This process involves estimating actual current tax obligations together with assessing temporary differences resulting from differing treatment of certain items for tax and accounting purposes, such as depreciation of property and equipment and valuation of inventories. These temporary differences result in deferred tax assets and liabilities, which are included within our Consolidated Balance Sheets. We then assess the likelihood that our deferred tax assets will be recovered from future taxable income. Actual results could differ from this assessment if adequate taxable income is not generated in future periods. To the extent we believe that recovery of an asset is at risk, valuation allowances are established. To the extent valuation allowances are established or increased in a period, we include an expense within the tax provision in our Consolidated Statements of Operations. These deferred tax valuation allowances may be released in future years when we consider that it is more likely than not that some portion or all of the deferred tax assets will be realized. In making such a determination, we will need to periodically evaluate whether or not all available evidence, such as future taxable income and reversal of temporary differences, tax planning strategies, and recent results of operations, provides sufficient positive evidence to offset any other potential negative evidence that may exist at such time. In the event the deferred tax valuation allowance is released, we would record an income tax benefit for a portion or all of the deferred tax valuation allowance released. At January 30, 2021, we had a deferred tax valuation allowance of $36.6 million.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Income tax reserves for uncertain tax positions are determined using the methodology required by the Income Tax Topic of the Accounting Standards Codification (“Codification”). This methodology requires companies to assess each income tax position taken using a two-step process. A determination is first made as to whether it is more likely than not that the position will be sustained, based upon the technical merits, upon examination by the taxing authorities. If the tax position is expected to meet the more likely than not criteria, the benefit recorded for the tax position equals the largest amount that is greater than 50% likely to be realized upon ultimate settlement of the respective tax position. Uncertain tax positions require determinations and estimated liabilities to be made based on provisions of the tax law which may be subject to change or varying interpretation. If our determinations and estimates prove to be inaccurate, the resulting adjustments could be material to our future financial results. See Item 8, Note 12, "Income Taxes", to our Consolidated Financial Statements included in this Annual Report on Form 10-K for additional information related to income taxes.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recognize lease assets and corresponding lease liabilities for all operating leases on the Consolidated Balance Sheets as described under ASU No. 2016-02, “Leases (Topic 842).” We evaluate renewal options and break options at lease inception and on an ongoing basis, and include renewal options and break options that we are reasonably certain to exercise in our expected lease terms for calculations of the right-of-use assets and liabilities. Approximately 2% of our leases contain renewal options. To determine the present value of lease payments not yet paid, we estimate incremental borrowing rates corresponding to the reasonably certain lease term. As most of our leases do not provide a determinable implicit rate, we estimate our collateralized incremental borrowing rate based upon a synthetic credit rating and yield curve analysis at the lease commencement or modification date in determining the present value of lease payments. For lease payments in foreign currencies, the incremental borrowing rate is adjusted to be reflective of the risk associated with the respective currency. See Item 8, Note 10, "Leases", to our Consolidated Financial Statements included in this Annual Report on Form 10-K for additional information related to leases.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7A, QUANTITATIVE AND QUALITATIVE DISCLOSURES ABOUT MARKET RISK</w:t>
      </w:r>
    </w:p>
    <w:p>
      <w:pPr>
        <w:spacing w:after="0" w:line="20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incorporate by reference the information regarding market risk appearing under the heading “Financial Market Risk” in Item 7, "Management’s Discussion and Analysis of Financial Condition and Results of Operations."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8, FINANCIAL STATEMENTS AND SUPPLEMENTARY DATA</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 TO FINANCIAL STATEMENTS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0" w:type="dxa"/>
            <w:vAlign w:val="bottom"/>
          </w:tcPr>
          <w:p>
            <w:pPr>
              <w:spacing w:after="0"/>
              <w:rPr>
                <w:sz w:val="14"/>
                <w:szCs w:val="14"/>
                <w:color w:val="auto"/>
              </w:rPr>
            </w:pPr>
          </w:p>
        </w:tc>
        <w:tc>
          <w:tcPr>
            <w:tcW w:w="9760" w:type="dxa"/>
            <w:vAlign w:val="bottom"/>
            <w:gridSpan w:val="9"/>
            <w:vMerge w:val="restart"/>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Report of Independent Registered Public Accounting Firm on Internal Control over Financial Reporting</w:t>
              </w:r>
            </w:hyperlink>
          </w:p>
        </w:tc>
        <w:tc>
          <w:tcPr>
            <w:tcW w:w="14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i w:val="1"/>
                <w:iCs w:val="1"/>
                <w:color w:val="auto"/>
              </w:rPr>
              <w:t>Page</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9760" w:type="dxa"/>
            <w:vAlign w:val="bottom"/>
            <w:gridSpan w:val="9"/>
            <w:vMerge w:val="continue"/>
          </w:tcPr>
          <w:p>
            <w:pPr>
              <w:spacing w:after="0"/>
              <w:rPr>
                <w:sz w:val="14"/>
                <w:szCs w:val="14"/>
                <w:color w:val="auto"/>
              </w:rPr>
            </w:pPr>
          </w:p>
        </w:tc>
        <w:tc>
          <w:tcPr>
            <w:tcW w:w="1420" w:type="dxa"/>
            <w:vAlign w:val="bottom"/>
          </w:tcPr>
          <w:p>
            <w:pPr>
              <w:jc w:val="right"/>
              <w:spacing w:after="0" w:line="169"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2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43">
              <w:r>
                <w:rPr>
                  <w:rFonts w:ascii="Arial" w:cs="Arial" w:eastAsia="Arial" w:hAnsi="Arial"/>
                  <w:sz w:val="18"/>
                  <w:szCs w:val="18"/>
                  <w:color w:val="0000EE"/>
                  <w:w w:val="91"/>
                </w:rPr>
                <w:t>Report of Independent Registered Public Accounting Firm</w:t>
              </w:r>
            </w:hyperlink>
          </w:p>
        </w:tc>
        <w:tc>
          <w:tcPr>
            <w:tcW w:w="3260" w:type="dxa"/>
            <w:vAlign w:val="bottom"/>
            <w:tcBorders>
              <w:top w:val="single" w:sz="8" w:color="0000EE"/>
            </w:tcBorders>
            <w:gridSpan w:val="5"/>
          </w:tcPr>
          <w:p>
            <w:pPr>
              <w:spacing w:after="0"/>
              <w:rPr>
                <w:sz w:val="17"/>
                <w:szCs w:val="17"/>
                <w:color w:val="auto"/>
              </w:rPr>
            </w:pPr>
          </w:p>
        </w:tc>
        <w:tc>
          <w:tcPr>
            <w:tcW w:w="2280" w:type="dxa"/>
            <w:vAlign w:val="bottom"/>
            <w:gridSpan w:val="2"/>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45">
              <w:r>
                <w:rPr>
                  <w:rFonts w:ascii="Arial" w:cs="Arial" w:eastAsia="Arial" w:hAnsi="Arial"/>
                  <w:sz w:val="18"/>
                  <w:szCs w:val="18"/>
                  <w:color w:val="0000EE"/>
                  <w:w w:val="88"/>
                </w:rPr>
                <w:t>Consolidated Balance Sheets, January 30, 2021 and February 1, 2020</w:t>
              </w:r>
            </w:hyperlink>
          </w:p>
        </w:tc>
        <w:tc>
          <w:tcPr>
            <w:tcW w:w="4760" w:type="dxa"/>
            <w:vAlign w:val="bottom"/>
            <w:gridSpan w:val="6"/>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700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46">
              <w:r>
                <w:rPr>
                  <w:rFonts w:ascii="Arial" w:cs="Arial" w:eastAsia="Arial" w:hAnsi="Arial"/>
                  <w:sz w:val="18"/>
                  <w:szCs w:val="18"/>
                  <w:color w:val="0000EE"/>
                  <w:w w:val="88"/>
                </w:rPr>
                <w:t>Consolidated Statements of Operations, each of the three fiscal years ended 2021, 2020 and 2019</w:t>
              </w:r>
            </w:hyperlink>
          </w:p>
        </w:tc>
        <w:tc>
          <w:tcPr>
            <w:tcW w:w="2760" w:type="dxa"/>
            <w:vAlign w:val="bottom"/>
            <w:gridSpan w:val="4"/>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9760" w:type="dxa"/>
            <w:vAlign w:val="bottom"/>
            <w:gridSpan w:val="9"/>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Consolidated Statements of Comprehensive Income, each of the three fiscal years ended 2021, 2020 and 2019</w:t>
              </w:r>
            </w:hyperlink>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70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Consolidated Statements of Cash Flows, each of the three fiscal years ended 2021, 2020 and 2019</w:t>
              </w:r>
            </w:hyperlink>
          </w:p>
        </w:tc>
        <w:tc>
          <w:tcPr>
            <w:tcW w:w="860" w:type="dxa"/>
            <w:vAlign w:val="bottom"/>
            <w:tcBorders>
              <w:top w:val="single" w:sz="8" w:color="0000EE"/>
            </w:tcBorders>
            <w:gridSpan w:val="2"/>
          </w:tcPr>
          <w:p>
            <w:pPr>
              <w:spacing w:after="0"/>
              <w:rPr>
                <w:sz w:val="17"/>
                <w:szCs w:val="17"/>
                <w:color w:val="auto"/>
              </w:rPr>
            </w:pPr>
          </w:p>
        </w:tc>
        <w:tc>
          <w:tcPr>
            <w:tcW w:w="1840" w:type="dxa"/>
            <w:vAlign w:val="bottom"/>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68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Consolidated Statements of Equity, each of the three fiscal years ended 2021, 2020 and 2019</w:t>
              </w:r>
            </w:hyperlink>
          </w:p>
        </w:tc>
        <w:tc>
          <w:tcPr>
            <w:tcW w:w="3080" w:type="dxa"/>
            <w:vAlign w:val="bottom"/>
            <w:gridSpan w:val="5"/>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16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Notes to Consolidated Financial Statements</w:t>
              </w:r>
            </w:hyperlink>
          </w:p>
        </w:tc>
        <w:tc>
          <w:tcPr>
            <w:tcW w:w="6600" w:type="dxa"/>
            <w:vAlign w:val="bottom"/>
            <w:gridSpan w:val="8"/>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669"/>
        </w:trPr>
        <w:tc>
          <w:tcPr>
            <w:tcW w:w="6740" w:type="dxa"/>
            <w:vAlign w:val="bottom"/>
            <w:gridSpan w:val="5"/>
          </w:tcPr>
          <w:p>
            <w:pPr>
              <w:jc w:val="right"/>
              <w:ind w:right="1020"/>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Shareholders and the Board of Directors of Genesco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Genesco Inc. and Subsidiaries’ internal control over financial reporting as of January 30, 2021, based on criteria established in Internal Control—Integrated Framework issued by the Committee of Sponsoring Organizations of the Treadway Commission (2013 framework) (the COSO criteria). In our opinion, Genesco Inc. and Subsidiaries (the Company) maintained, in all material respects, effective internal control over financial reporting as of January 30, 2021, based on the COSO criteria.</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Genesco Inc. and Subsidiaries as of January 30, 2021 and February 1, 2020, the related consolidated statements of operations, comprehensive income, cash flows, and equity for each of the three fiscal years in the period ended January 30, 2021, and the related notes and financial statement schedule listed in the Index at Item 15, and our report dated March 31, 2021 expressed an unqualified opinion thereon.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2021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3360" w:firstLine="3364"/>
        <w:spacing w:after="0" w:line="461" w:lineRule="auto"/>
        <w:rPr>
          <w:sz w:val="20"/>
          <w:szCs w:val="20"/>
          <w:color w:val="auto"/>
        </w:rPr>
      </w:pPr>
      <w:r>
        <w:rPr>
          <w:rFonts w:ascii="Arial" w:cs="Arial" w:eastAsia="Arial" w:hAnsi="Arial"/>
          <w:sz w:val="18"/>
          <w:szCs w:val="18"/>
          <w:b w:val="1"/>
          <w:bCs w:val="1"/>
          <w:color w:val="auto"/>
        </w:rPr>
        <w:t>Report of Independent Registered Public Accounting Firm To the Shareholders and the Board of Directors of Genesco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Genesco Inc. (the Company) as of January 30, 2021 and February 1, 2020, the related consolidated statements of operations, comprehensive income, cash flows and equity for each of the three fiscal years in the period ended January 30, 2021, and the related notes and financial statement schedule listed in the Index at Item 15 (collectively referred to as the "consolidated financial statements"). In our opinion, the consolidated financial statements present fairly, in all material respects, the financial position of the Company at January 30, 2021 and February 1, 2020, and the results of its operations and its cash flows for each of the three fiscal years in the period ended January 30, 2021, in conformity with U.S. generally accepted accounting principles.</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January 30, 2021, based on criteria established in Internal Control – Integrated Framework issued by the Committee of Sponsoring Organizations of the Treadway Commission (2013 framework) and our report dated March 31, 2021 expressed an unqualified opinion thereon.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8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separate opinions on the critical audit matter or on the account or disclosures to which they relate.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2160"/>
        <w:spacing w:after="0"/>
        <w:rPr>
          <w:sz w:val="20"/>
          <w:szCs w:val="20"/>
          <w:color w:val="auto"/>
        </w:rPr>
      </w:pPr>
      <w:r>
        <w:rPr>
          <w:rFonts w:ascii="Arial" w:cs="Arial" w:eastAsia="Arial" w:hAnsi="Arial"/>
          <w:sz w:val="18"/>
          <w:szCs w:val="18"/>
          <w:b w:val="1"/>
          <w:bCs w:val="1"/>
          <w:i w:val="1"/>
          <w:iCs w:val="1"/>
          <w:color w:val="auto"/>
        </w:rPr>
        <w:t>Valuation of Schuh Group Indefinite Lived Trademark</w:t>
      </w:r>
    </w:p>
    <w:p>
      <w:pPr>
        <w:spacing w:after="0" w:line="50" w:lineRule="exact"/>
        <w:rPr>
          <w:sz w:val="20"/>
          <w:szCs w:val="20"/>
          <w:color w:val="auto"/>
        </w:rPr>
      </w:pPr>
    </w:p>
    <w:p>
      <w:pPr>
        <w:jc w:val="both"/>
        <w:ind w:left="2160" w:hanging="2145"/>
        <w:spacing w:after="0" w:line="257" w:lineRule="auto"/>
        <w:tabs>
          <w:tab w:leader="none" w:pos="2140" w:val="left"/>
        </w:tabs>
        <w:rPr>
          <w:sz w:val="20"/>
          <w:szCs w:val="20"/>
          <w:color w:val="auto"/>
        </w:rPr>
      </w:pPr>
      <w:r>
        <w:rPr>
          <w:rFonts w:ascii="Arial" w:cs="Arial" w:eastAsia="Arial" w:hAnsi="Arial"/>
          <w:sz w:val="18"/>
          <w:szCs w:val="18"/>
          <w:i w:val="1"/>
          <w:iCs w:val="1"/>
          <w:color w:val="auto"/>
        </w:rPr>
        <w:t>Description of the Matter</w:t>
      </w:r>
      <w:r>
        <w:rPr>
          <w:sz w:val="20"/>
          <w:szCs w:val="20"/>
          <w:color w:val="auto"/>
        </w:rPr>
        <w:tab/>
      </w:r>
      <w:r>
        <w:rPr>
          <w:rFonts w:ascii="Arial" w:cs="Arial" w:eastAsia="Arial" w:hAnsi="Arial"/>
          <w:sz w:val="18"/>
          <w:szCs w:val="18"/>
          <w:color w:val="auto"/>
        </w:rPr>
        <w:t>At January 30, 2021 the Company had $23.1 million recorded for the indefinite lived trademark associated with the Schuh Group reporting unit. As discussed in Notes 1, 3, and 4 to the consolidated financial statements, the Company assesses indefinite lived trademarks for impairment on an annual basis, or on an interim basis if indicators of impairment are present. If the carrying amount exceeds the estimated fair value, an impairment loss would be recorded in the amount equal to the excess.</w:t>
      </w:r>
    </w:p>
    <w:p>
      <w:pPr>
        <w:spacing w:after="0" w:line="228" w:lineRule="exact"/>
        <w:rPr>
          <w:sz w:val="20"/>
          <w:szCs w:val="20"/>
          <w:color w:val="auto"/>
        </w:rPr>
      </w:pPr>
    </w:p>
    <w:p>
      <w:pPr>
        <w:jc w:val="both"/>
        <w:ind w:left="2160"/>
        <w:spacing w:after="0" w:line="257" w:lineRule="auto"/>
        <w:rPr>
          <w:sz w:val="20"/>
          <w:szCs w:val="20"/>
          <w:color w:val="auto"/>
        </w:rPr>
      </w:pPr>
      <w:r>
        <w:rPr>
          <w:rFonts w:ascii="Arial" w:cs="Arial" w:eastAsia="Arial" w:hAnsi="Arial"/>
          <w:sz w:val="18"/>
          <w:szCs w:val="18"/>
          <w:color w:val="auto"/>
        </w:rPr>
        <w:t>Auditing the Company’s quantitative indefinite lived trademark impairment test was complex and highly judgmental due to the subjective nature of the significant assumptions used in the determination of estimated fair value for the Schuh Group trademark. For example, the fair value estimate was sensitive to significant assumptions, including revenue projections, royalty rate, and discount rate, which are affected by expected future market or economic conditions and industry and company-specific qualitative factors.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How We Addressed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obtained an understanding, evaluated the design, and tested the operating effectiveness of controls over the Company’s trademark impairment evaluation process. For example, we tested controls over the Company’s review of the significant assumptions used in the trademark valuation as well as the Company’s review of the reasonableness of the data used in this valuation.</w:t>
      </w:r>
    </w:p>
    <w:p>
      <w:pPr>
        <w:spacing w:after="0" w:line="200" w:lineRule="exact"/>
        <w:rPr>
          <w:sz w:val="20"/>
          <w:szCs w:val="20"/>
          <w:color w:val="auto"/>
        </w:rPr>
      </w:pPr>
    </w:p>
    <w:p>
      <w:pPr>
        <w:sectPr>
          <w:pgSz w:w="11900" w:h="16838" w:orient="portrait"/>
          <w:cols w:equalWidth="0" w:num="3">
            <w:col w:w="1640" w:space="160"/>
            <w:col w:w="220" w:space="140"/>
            <w:col w:w="9080"/>
          </w:cols>
          <w:pgMar w:left="320" w:top="125" w:right="339" w:bottom="1440" w:gutter="0" w:footer="0" w:header="0"/>
          <w:type w:val="continuous"/>
        </w:sectPr>
      </w:pPr>
    </w:p>
    <w:p>
      <w:pPr>
        <w:spacing w:after="0" w:line="54" w:lineRule="exact"/>
        <w:rPr>
          <w:sz w:val="20"/>
          <w:szCs w:val="20"/>
          <w:color w:val="auto"/>
        </w:rPr>
      </w:pPr>
    </w:p>
    <w:p>
      <w:pPr>
        <w:jc w:val="both"/>
        <w:ind w:left="2160"/>
        <w:spacing w:after="0" w:line="269" w:lineRule="auto"/>
        <w:rPr>
          <w:sz w:val="20"/>
          <w:szCs w:val="20"/>
          <w:color w:val="auto"/>
        </w:rPr>
      </w:pPr>
      <w:r>
        <w:rPr>
          <w:rFonts w:ascii="Arial" w:cs="Arial" w:eastAsia="Arial" w:hAnsi="Arial"/>
          <w:sz w:val="17"/>
          <w:szCs w:val="17"/>
          <w:color w:val="auto"/>
        </w:rPr>
        <w:t>To test the estimated fair value of the Schuh Group trademark, we performed audit procedures that included, among others, testing the significant assumptions discussed above, testing the underlying data used by the Company in its analyses by comparing to historical and other industry data, as well as validating certain assertions with data internal to the Company and from other sources. We compared the significant assumptions used by the Company to current industry and economic trends while also considering changes to the Company’s business model, customer base and product mix. We assessed the historical accuracy of the Company’s revenue projections by comparing the Company’s past projections to actual performance. We also performed sensitivity analyses to evaluate the impact that changes in the significant assumptions would have on the fair value of the Schuh Group trademark. Finally, we involved a valuation specialist to assist in our evaluation of the Company's model, valuation methodology and significant assumptions, including assisting in evaluating the Company’s discount rate and royalty rate.</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2021</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8580"/>
        <w:spacing w:after="0"/>
        <w:rPr>
          <w:sz w:val="20"/>
          <w:szCs w:val="20"/>
          <w:color w:val="auto"/>
        </w:rPr>
      </w:pPr>
      <w:r>
        <w:rPr>
          <w:rFonts w:ascii="Arial" w:cs="Arial" w:eastAsia="Arial" w:hAnsi="Arial"/>
          <w:sz w:val="18"/>
          <w:szCs w:val="18"/>
          <w:b w:val="1"/>
          <w:bCs w:val="1"/>
          <w:color w:val="auto"/>
        </w:rPr>
        <w:t>As of Fiscal Year End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8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Assets</w:t>
            </w:r>
          </w:p>
        </w:tc>
        <w:tc>
          <w:tcPr>
            <w:tcW w:w="100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January 30, 2021</w:t>
            </w:r>
          </w:p>
        </w:tc>
        <w:tc>
          <w:tcPr>
            <w:tcW w:w="30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6"/>
              </w:rPr>
              <w:t>February 1, 2020</w:t>
            </w:r>
          </w:p>
        </w:tc>
        <w:tc>
          <w:tcPr>
            <w:tcW w:w="0" w:type="dxa"/>
            <w:vAlign w:val="bottom"/>
          </w:tcPr>
          <w:p>
            <w:pPr>
              <w:spacing w:after="0"/>
              <w:rPr>
                <w:sz w:val="1"/>
                <w:szCs w:val="1"/>
                <w:color w:val="auto"/>
              </w:rPr>
            </w:pPr>
          </w:p>
        </w:tc>
      </w:tr>
      <w:tr>
        <w:trPr>
          <w:trHeight w:val="223"/>
        </w:trPr>
        <w:tc>
          <w:tcPr>
            <w:tcW w:w="688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Current Assets:</w:t>
            </w:r>
          </w:p>
        </w:tc>
        <w:tc>
          <w:tcPr>
            <w:tcW w:w="100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80" w:type="dxa"/>
            <w:vAlign w:val="bottom"/>
          </w:tcPr>
          <w:p>
            <w:pPr>
              <w:jc w:val="right"/>
              <w:ind w:right="110"/>
              <w:spacing w:after="0"/>
              <w:rPr>
                <w:sz w:val="20"/>
                <w:szCs w:val="20"/>
                <w:color w:val="auto"/>
              </w:rPr>
            </w:pPr>
            <w:r>
              <w:rPr>
                <w:rFonts w:ascii="Arial" w:cs="Arial" w:eastAsia="Arial" w:hAnsi="Arial"/>
                <w:sz w:val="18"/>
                <w:szCs w:val="18"/>
                <w:b w:val="1"/>
                <w:bCs w:val="1"/>
                <w:color w:val="auto"/>
              </w:rPr>
              <w:t>215,091</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81,418</w:t>
            </w:r>
          </w:p>
        </w:tc>
        <w:tc>
          <w:tcPr>
            <w:tcW w:w="0" w:type="dxa"/>
            <w:vAlign w:val="bottom"/>
          </w:tcPr>
          <w:p>
            <w:pPr>
              <w:spacing w:after="0"/>
              <w:rPr>
                <w:sz w:val="1"/>
                <w:szCs w:val="1"/>
                <w:color w:val="auto"/>
              </w:rPr>
            </w:pPr>
          </w:p>
        </w:tc>
      </w:tr>
      <w:tr>
        <w:trPr>
          <w:trHeight w:val="215"/>
        </w:trPr>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net of allowances of $5,015 at January 30, 2021 and $2,940 at</w:t>
            </w:r>
          </w:p>
        </w:tc>
        <w:tc>
          <w:tcPr>
            <w:tcW w:w="1000" w:type="dxa"/>
            <w:vAlign w:val="bottom"/>
            <w:shd w:val="clear" w:color="auto" w:fill="CFF0FC"/>
          </w:tcPr>
          <w:p>
            <w:pPr>
              <w:spacing w:after="0"/>
              <w:rPr>
                <w:sz w:val="18"/>
                <w:szCs w:val="18"/>
                <w:color w:val="auto"/>
              </w:rPr>
            </w:pPr>
          </w:p>
        </w:tc>
        <w:tc>
          <w:tcPr>
            <w:tcW w:w="158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b w:val="1"/>
                <w:bCs w:val="1"/>
                <w:color w:val="auto"/>
              </w:rPr>
              <w:t>31,410</w:t>
            </w:r>
          </w:p>
        </w:tc>
        <w:tc>
          <w:tcPr>
            <w:tcW w:w="3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February 1, 2020</w:t>
            </w:r>
          </w:p>
        </w:tc>
        <w:tc>
          <w:tcPr>
            <w:tcW w:w="1000" w:type="dxa"/>
            <w:vAlign w:val="bottom"/>
            <w:shd w:val="clear" w:color="auto" w:fill="CFF0FC"/>
          </w:tcPr>
          <w:p>
            <w:pPr>
              <w:spacing w:after="0"/>
              <w:rPr>
                <w:sz w:val="20"/>
                <w:szCs w:val="20"/>
                <w:color w:val="auto"/>
              </w:rPr>
            </w:pPr>
          </w:p>
        </w:tc>
        <w:tc>
          <w:tcPr>
            <w:tcW w:w="1580" w:type="dxa"/>
            <w:vAlign w:val="bottom"/>
            <w:vMerge w:val="continue"/>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29,195</w:t>
            </w:r>
          </w:p>
        </w:tc>
        <w:tc>
          <w:tcPr>
            <w:tcW w:w="0" w:type="dxa"/>
            <w:vAlign w:val="bottom"/>
          </w:tcPr>
          <w:p>
            <w:pPr>
              <w:spacing w:after="0"/>
              <w:rPr>
                <w:sz w:val="1"/>
                <w:szCs w:val="1"/>
                <w:color w:val="auto"/>
              </w:rPr>
            </w:pPr>
          </w:p>
        </w:tc>
      </w:tr>
      <w:tr>
        <w:trPr>
          <w:trHeight w:val="230"/>
        </w:trPr>
        <w:tc>
          <w:tcPr>
            <w:tcW w:w="6880" w:type="dxa"/>
            <w:vAlign w:val="bottom"/>
          </w:tcPr>
          <w:p>
            <w:pPr>
              <w:spacing w:after="0"/>
              <w:rPr>
                <w:sz w:val="20"/>
                <w:szCs w:val="20"/>
                <w:color w:val="auto"/>
              </w:rPr>
            </w:pPr>
            <w:r>
              <w:rPr>
                <w:rFonts w:ascii="Arial" w:cs="Arial" w:eastAsia="Arial" w:hAnsi="Arial"/>
                <w:sz w:val="18"/>
                <w:szCs w:val="18"/>
                <w:color w:val="auto"/>
              </w:rPr>
              <w:t>Inventories</w:t>
            </w:r>
          </w:p>
        </w:tc>
        <w:tc>
          <w:tcPr>
            <w:tcW w:w="1000" w:type="dxa"/>
            <w:vAlign w:val="bottom"/>
          </w:tcPr>
          <w:p>
            <w:pPr>
              <w:spacing w:after="0"/>
              <w:rPr>
                <w:sz w:val="19"/>
                <w:szCs w:val="19"/>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b w:val="1"/>
                <w:bCs w:val="1"/>
                <w:color w:val="auto"/>
              </w:rPr>
              <w:t>290,966</w:t>
            </w:r>
          </w:p>
        </w:tc>
        <w:tc>
          <w:tcPr>
            <w:tcW w:w="300" w:type="dxa"/>
            <w:vAlign w:val="bottom"/>
          </w:tcPr>
          <w:p>
            <w:pPr>
              <w:spacing w:after="0"/>
              <w:rPr>
                <w:sz w:val="19"/>
                <w:szCs w:val="19"/>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365,269</w:t>
            </w:r>
          </w:p>
        </w:tc>
        <w:tc>
          <w:tcPr>
            <w:tcW w:w="0" w:type="dxa"/>
            <w:vAlign w:val="bottom"/>
          </w:tcPr>
          <w:p>
            <w:pPr>
              <w:spacing w:after="0"/>
              <w:rPr>
                <w:sz w:val="1"/>
                <w:szCs w:val="1"/>
                <w:color w:val="auto"/>
              </w:rPr>
            </w:pPr>
          </w:p>
        </w:tc>
      </w:tr>
      <w:tr>
        <w:trPr>
          <w:trHeight w:val="229"/>
        </w:trPr>
        <w:tc>
          <w:tcPr>
            <w:tcW w:w="68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Prepaids and other current assets</w:t>
            </w:r>
          </w:p>
        </w:tc>
        <w:tc>
          <w:tcPr>
            <w:tcW w:w="100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auto"/>
              </w:rPr>
              <w:t>130,128</w:t>
            </w:r>
          </w:p>
        </w:tc>
        <w:tc>
          <w:tcPr>
            <w:tcW w:w="3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32,301</w:t>
            </w:r>
          </w:p>
        </w:tc>
        <w:tc>
          <w:tcPr>
            <w:tcW w:w="0" w:type="dxa"/>
            <w:vAlign w:val="bottom"/>
          </w:tcPr>
          <w:p>
            <w:pPr>
              <w:spacing w:after="0"/>
              <w:rPr>
                <w:sz w:val="1"/>
                <w:szCs w:val="1"/>
                <w:color w:val="auto"/>
              </w:rPr>
            </w:pPr>
          </w:p>
        </w:tc>
      </w:tr>
      <w:tr>
        <w:trPr>
          <w:trHeight w:val="223"/>
        </w:trPr>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current assets</w:t>
            </w:r>
          </w:p>
        </w:tc>
        <w:tc>
          <w:tcPr>
            <w:tcW w:w="10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667,595</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508,183</w:t>
            </w:r>
          </w:p>
        </w:tc>
        <w:tc>
          <w:tcPr>
            <w:tcW w:w="0" w:type="dxa"/>
            <w:vAlign w:val="bottom"/>
          </w:tcPr>
          <w:p>
            <w:pPr>
              <w:spacing w:after="0"/>
              <w:rPr>
                <w:sz w:val="1"/>
                <w:szCs w:val="1"/>
                <w:color w:val="auto"/>
              </w:rPr>
            </w:pPr>
          </w:p>
        </w:tc>
      </w:tr>
      <w:tr>
        <w:trPr>
          <w:trHeight w:val="223"/>
        </w:trPr>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00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10"/>
              <w:spacing w:after="0"/>
              <w:rPr>
                <w:sz w:val="20"/>
                <w:szCs w:val="20"/>
                <w:color w:val="auto"/>
              </w:rPr>
            </w:pPr>
            <w:r>
              <w:rPr>
                <w:rFonts w:ascii="Arial" w:cs="Arial" w:eastAsia="Arial" w:hAnsi="Arial"/>
                <w:sz w:val="18"/>
                <w:szCs w:val="18"/>
                <w:b w:val="1"/>
                <w:bCs w:val="1"/>
                <w:color w:val="auto"/>
              </w:rPr>
              <w:t>207,842</w:t>
            </w:r>
          </w:p>
        </w:tc>
        <w:tc>
          <w:tcPr>
            <w:tcW w:w="3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238,320</w:t>
            </w:r>
          </w:p>
        </w:tc>
        <w:tc>
          <w:tcPr>
            <w:tcW w:w="0" w:type="dxa"/>
            <w:vAlign w:val="bottom"/>
          </w:tcPr>
          <w:p>
            <w:pPr>
              <w:spacing w:after="0"/>
              <w:rPr>
                <w:sz w:val="1"/>
                <w:szCs w:val="1"/>
                <w:color w:val="auto"/>
              </w:rPr>
            </w:pPr>
          </w:p>
        </w:tc>
      </w:tr>
      <w:tr>
        <w:trPr>
          <w:trHeight w:val="230"/>
        </w:trPr>
        <w:tc>
          <w:tcPr>
            <w:tcW w:w="6880" w:type="dxa"/>
            <w:vAlign w:val="bottom"/>
          </w:tcPr>
          <w:p>
            <w:pPr>
              <w:spacing w:after="0"/>
              <w:rPr>
                <w:sz w:val="20"/>
                <w:szCs w:val="20"/>
                <w:color w:val="auto"/>
              </w:rPr>
            </w:pPr>
            <w:r>
              <w:rPr>
                <w:rFonts w:ascii="Arial" w:cs="Arial" w:eastAsia="Arial" w:hAnsi="Arial"/>
                <w:sz w:val="18"/>
                <w:szCs w:val="18"/>
                <w:color w:val="auto"/>
              </w:rPr>
              <w:t>Operating lease right of use asset</w:t>
            </w:r>
          </w:p>
        </w:tc>
        <w:tc>
          <w:tcPr>
            <w:tcW w:w="1000" w:type="dxa"/>
            <w:vAlign w:val="bottom"/>
          </w:tcPr>
          <w:p>
            <w:pPr>
              <w:spacing w:after="0"/>
              <w:rPr>
                <w:sz w:val="19"/>
                <w:szCs w:val="19"/>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b w:val="1"/>
                <w:bCs w:val="1"/>
                <w:color w:val="auto"/>
              </w:rPr>
              <w:t>621,727</w:t>
            </w:r>
          </w:p>
        </w:tc>
        <w:tc>
          <w:tcPr>
            <w:tcW w:w="300" w:type="dxa"/>
            <w:vAlign w:val="bottom"/>
          </w:tcPr>
          <w:p>
            <w:pPr>
              <w:spacing w:after="0"/>
              <w:rPr>
                <w:sz w:val="19"/>
                <w:szCs w:val="19"/>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735,044</w:t>
            </w:r>
          </w:p>
        </w:tc>
        <w:tc>
          <w:tcPr>
            <w:tcW w:w="0" w:type="dxa"/>
            <w:vAlign w:val="bottom"/>
          </w:tcPr>
          <w:p>
            <w:pPr>
              <w:spacing w:after="0"/>
              <w:rPr>
                <w:sz w:val="1"/>
                <w:szCs w:val="1"/>
                <w:color w:val="auto"/>
              </w:rPr>
            </w:pPr>
          </w:p>
        </w:tc>
      </w:tr>
      <w:tr>
        <w:trPr>
          <w:trHeight w:val="229"/>
        </w:trPr>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100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10"/>
              <w:spacing w:after="0"/>
              <w:rPr>
                <w:sz w:val="20"/>
                <w:szCs w:val="20"/>
                <w:color w:val="auto"/>
              </w:rPr>
            </w:pPr>
            <w:r>
              <w:rPr>
                <w:rFonts w:ascii="Arial" w:cs="Arial" w:eastAsia="Arial" w:hAnsi="Arial"/>
                <w:sz w:val="18"/>
                <w:szCs w:val="18"/>
                <w:b w:val="1"/>
                <w:bCs w:val="1"/>
                <w:color w:val="auto"/>
              </w:rPr>
              <w:t>38,550</w:t>
            </w:r>
          </w:p>
        </w:tc>
        <w:tc>
          <w:tcPr>
            <w:tcW w:w="3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122,184</w:t>
            </w:r>
          </w:p>
        </w:tc>
        <w:tc>
          <w:tcPr>
            <w:tcW w:w="0" w:type="dxa"/>
            <w:vAlign w:val="bottom"/>
          </w:tcPr>
          <w:p>
            <w:pPr>
              <w:spacing w:after="0"/>
              <w:rPr>
                <w:sz w:val="1"/>
                <w:szCs w:val="1"/>
                <w:color w:val="auto"/>
              </w:rPr>
            </w:pPr>
          </w:p>
        </w:tc>
      </w:tr>
      <w:tr>
        <w:trPr>
          <w:trHeight w:val="229"/>
        </w:trPr>
        <w:tc>
          <w:tcPr>
            <w:tcW w:w="6880" w:type="dxa"/>
            <w:vAlign w:val="bottom"/>
          </w:tcPr>
          <w:p>
            <w:pPr>
              <w:spacing w:after="0"/>
              <w:rPr>
                <w:sz w:val="20"/>
                <w:szCs w:val="20"/>
                <w:color w:val="auto"/>
              </w:rPr>
            </w:pPr>
            <w:r>
              <w:rPr>
                <w:rFonts w:ascii="Arial" w:cs="Arial" w:eastAsia="Arial" w:hAnsi="Arial"/>
                <w:sz w:val="18"/>
                <w:szCs w:val="18"/>
                <w:color w:val="auto"/>
              </w:rPr>
              <w:t>Other intangibles</w:t>
            </w:r>
          </w:p>
        </w:tc>
        <w:tc>
          <w:tcPr>
            <w:tcW w:w="1000" w:type="dxa"/>
            <w:vAlign w:val="bottom"/>
          </w:tcPr>
          <w:p>
            <w:pPr>
              <w:spacing w:after="0"/>
              <w:rPr>
                <w:sz w:val="19"/>
                <w:szCs w:val="19"/>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b w:val="1"/>
                <w:bCs w:val="1"/>
                <w:color w:val="auto"/>
              </w:rPr>
              <w:t>30,929</w:t>
            </w:r>
          </w:p>
        </w:tc>
        <w:tc>
          <w:tcPr>
            <w:tcW w:w="300" w:type="dxa"/>
            <w:vAlign w:val="bottom"/>
          </w:tcPr>
          <w:p>
            <w:pPr>
              <w:spacing w:after="0"/>
              <w:rPr>
                <w:sz w:val="19"/>
                <w:szCs w:val="19"/>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36,364</w:t>
            </w:r>
          </w:p>
        </w:tc>
        <w:tc>
          <w:tcPr>
            <w:tcW w:w="0" w:type="dxa"/>
            <w:vAlign w:val="bottom"/>
          </w:tcPr>
          <w:p>
            <w:pPr>
              <w:spacing w:after="0"/>
              <w:rPr>
                <w:sz w:val="1"/>
                <w:szCs w:val="1"/>
                <w:color w:val="auto"/>
              </w:rPr>
            </w:pPr>
          </w:p>
        </w:tc>
      </w:tr>
      <w:tr>
        <w:trPr>
          <w:trHeight w:val="230"/>
        </w:trPr>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100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1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19,475</w:t>
            </w:r>
          </w:p>
        </w:tc>
        <w:tc>
          <w:tcPr>
            <w:tcW w:w="0" w:type="dxa"/>
            <w:vAlign w:val="bottom"/>
          </w:tcPr>
          <w:p>
            <w:pPr>
              <w:spacing w:after="0"/>
              <w:rPr>
                <w:sz w:val="1"/>
                <w:szCs w:val="1"/>
                <w:color w:val="auto"/>
              </w:rPr>
            </w:pPr>
          </w:p>
        </w:tc>
      </w:tr>
      <w:tr>
        <w:trPr>
          <w:trHeight w:val="229"/>
        </w:trPr>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noncurrent assets</w:t>
            </w:r>
          </w:p>
        </w:tc>
        <w:tc>
          <w:tcPr>
            <w:tcW w:w="10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20,725</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20,908</w:t>
            </w:r>
          </w:p>
        </w:tc>
        <w:tc>
          <w:tcPr>
            <w:tcW w:w="0" w:type="dxa"/>
            <w:vAlign w:val="bottom"/>
          </w:tcPr>
          <w:p>
            <w:pPr>
              <w:spacing w:after="0"/>
              <w:rPr>
                <w:sz w:val="1"/>
                <w:szCs w:val="1"/>
                <w:color w:val="auto"/>
              </w:rPr>
            </w:pPr>
          </w:p>
        </w:tc>
      </w:tr>
      <w:tr>
        <w:trPr>
          <w:trHeight w:val="223"/>
        </w:trPr>
        <w:tc>
          <w:tcPr>
            <w:tcW w:w="68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58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auto"/>
              </w:rPr>
              <w:t>1,587,368</w:t>
            </w:r>
          </w:p>
        </w:tc>
        <w:tc>
          <w:tcPr>
            <w:tcW w:w="3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1,680,478</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20"/>
                <w:szCs w:val="20"/>
                <w:color w:val="auto"/>
              </w:rPr>
            </w:pPr>
            <w:r>
              <w:rPr>
                <w:rFonts w:ascii="Arial" w:cs="Arial" w:eastAsia="Arial" w:hAnsi="Arial"/>
                <w:sz w:val="18"/>
                <w:szCs w:val="18"/>
                <w:b w:val="1"/>
                <w:bCs w:val="1"/>
                <w:color w:val="auto"/>
              </w:rPr>
              <w:t>Liabilities and Equity</w:t>
            </w:r>
          </w:p>
        </w:tc>
        <w:tc>
          <w:tcPr>
            <w:tcW w:w="10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Current Liabilities:</w:t>
            </w:r>
          </w:p>
        </w:tc>
        <w:tc>
          <w:tcPr>
            <w:tcW w:w="100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80" w:type="dxa"/>
            <w:vAlign w:val="bottom"/>
          </w:tcPr>
          <w:p>
            <w:pPr>
              <w:spacing w:after="0"/>
              <w:rPr>
                <w:sz w:val="20"/>
                <w:szCs w:val="20"/>
                <w:color w:val="auto"/>
              </w:rPr>
            </w:pPr>
            <w:r>
              <w:rPr>
                <w:rFonts w:ascii="Arial" w:cs="Arial" w:eastAsia="Arial" w:hAnsi="Arial"/>
                <w:sz w:val="18"/>
                <w:szCs w:val="18"/>
                <w:color w:val="auto"/>
              </w:rPr>
              <w:t>Accounts payable</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80" w:type="dxa"/>
            <w:vAlign w:val="bottom"/>
          </w:tcPr>
          <w:p>
            <w:pPr>
              <w:jc w:val="right"/>
              <w:ind w:right="110"/>
              <w:spacing w:after="0"/>
              <w:rPr>
                <w:sz w:val="20"/>
                <w:szCs w:val="20"/>
                <w:color w:val="auto"/>
              </w:rPr>
            </w:pPr>
            <w:r>
              <w:rPr>
                <w:rFonts w:ascii="Arial" w:cs="Arial" w:eastAsia="Arial" w:hAnsi="Arial"/>
                <w:sz w:val="18"/>
                <w:szCs w:val="18"/>
                <w:b w:val="1"/>
                <w:bCs w:val="1"/>
                <w:color w:val="auto"/>
              </w:rPr>
              <w:t>150,437</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135,784</w:t>
            </w:r>
          </w:p>
        </w:tc>
        <w:tc>
          <w:tcPr>
            <w:tcW w:w="0" w:type="dxa"/>
            <w:vAlign w:val="bottom"/>
          </w:tcPr>
          <w:p>
            <w:pPr>
              <w:spacing w:after="0"/>
              <w:rPr>
                <w:sz w:val="1"/>
                <w:szCs w:val="1"/>
                <w:color w:val="auto"/>
              </w:rPr>
            </w:pPr>
          </w:p>
        </w:tc>
      </w:tr>
      <w:tr>
        <w:trPr>
          <w:trHeight w:val="229"/>
        </w:trPr>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Current portion - operating lease liability</w:t>
            </w:r>
          </w:p>
        </w:tc>
        <w:tc>
          <w:tcPr>
            <w:tcW w:w="100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10"/>
              <w:spacing w:after="0"/>
              <w:rPr>
                <w:sz w:val="20"/>
                <w:szCs w:val="20"/>
                <w:color w:val="auto"/>
              </w:rPr>
            </w:pPr>
            <w:r>
              <w:rPr>
                <w:rFonts w:ascii="Arial" w:cs="Arial" w:eastAsia="Arial" w:hAnsi="Arial"/>
                <w:sz w:val="18"/>
                <w:szCs w:val="18"/>
                <w:b w:val="1"/>
                <w:bCs w:val="1"/>
                <w:color w:val="auto"/>
              </w:rPr>
              <w:t>173,505</w:t>
            </w:r>
          </w:p>
        </w:tc>
        <w:tc>
          <w:tcPr>
            <w:tcW w:w="3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142,695</w:t>
            </w:r>
          </w:p>
        </w:tc>
        <w:tc>
          <w:tcPr>
            <w:tcW w:w="0" w:type="dxa"/>
            <w:vAlign w:val="bottom"/>
          </w:tcPr>
          <w:p>
            <w:pPr>
              <w:spacing w:after="0"/>
              <w:rPr>
                <w:sz w:val="1"/>
                <w:szCs w:val="1"/>
                <w:color w:val="auto"/>
              </w:rPr>
            </w:pPr>
          </w:p>
        </w:tc>
      </w:tr>
      <w:tr>
        <w:trPr>
          <w:trHeight w:val="230"/>
        </w:trPr>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accrued liabilities</w:t>
            </w:r>
          </w:p>
        </w:tc>
        <w:tc>
          <w:tcPr>
            <w:tcW w:w="10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78,991</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83,456</w:t>
            </w:r>
          </w:p>
        </w:tc>
        <w:tc>
          <w:tcPr>
            <w:tcW w:w="0" w:type="dxa"/>
            <w:vAlign w:val="bottom"/>
          </w:tcPr>
          <w:p>
            <w:pPr>
              <w:spacing w:after="0"/>
              <w:rPr>
                <w:sz w:val="1"/>
                <w:szCs w:val="1"/>
                <w:color w:val="auto"/>
              </w:rPr>
            </w:pPr>
          </w:p>
        </w:tc>
      </w:tr>
      <w:tr>
        <w:trPr>
          <w:trHeight w:val="223"/>
        </w:trPr>
        <w:tc>
          <w:tcPr>
            <w:tcW w:w="68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100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auto"/>
              </w:rPr>
              <w:t>402,933</w:t>
            </w:r>
          </w:p>
        </w:tc>
        <w:tc>
          <w:tcPr>
            <w:tcW w:w="3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361,935</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20"/>
                <w:szCs w:val="20"/>
                <w:color w:val="auto"/>
              </w:rPr>
            </w:pPr>
            <w:r>
              <w:rPr>
                <w:rFonts w:ascii="Arial" w:cs="Arial" w:eastAsia="Arial" w:hAnsi="Arial"/>
                <w:sz w:val="18"/>
                <w:szCs w:val="18"/>
                <w:color w:val="auto"/>
              </w:rPr>
              <w:t>Long-term debt</w:t>
            </w:r>
          </w:p>
        </w:tc>
        <w:tc>
          <w:tcPr>
            <w:tcW w:w="1000" w:type="dxa"/>
            <w:vAlign w:val="bottom"/>
          </w:tcPr>
          <w:p>
            <w:pPr>
              <w:spacing w:after="0"/>
              <w:rPr>
                <w:sz w:val="19"/>
                <w:szCs w:val="19"/>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b w:val="1"/>
                <w:bCs w:val="1"/>
                <w:color w:val="auto"/>
              </w:rPr>
              <w:t>32,986</w:t>
            </w:r>
          </w:p>
        </w:tc>
        <w:tc>
          <w:tcPr>
            <w:tcW w:w="300" w:type="dxa"/>
            <w:vAlign w:val="bottom"/>
          </w:tcPr>
          <w:p>
            <w:pPr>
              <w:spacing w:after="0"/>
              <w:rPr>
                <w:sz w:val="19"/>
                <w:szCs w:val="19"/>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14,393</w:t>
            </w:r>
          </w:p>
        </w:tc>
        <w:tc>
          <w:tcPr>
            <w:tcW w:w="0" w:type="dxa"/>
            <w:vAlign w:val="bottom"/>
          </w:tcPr>
          <w:p>
            <w:pPr>
              <w:spacing w:after="0"/>
              <w:rPr>
                <w:sz w:val="1"/>
                <w:szCs w:val="1"/>
                <w:color w:val="auto"/>
              </w:rPr>
            </w:pPr>
          </w:p>
        </w:tc>
      </w:tr>
      <w:tr>
        <w:trPr>
          <w:trHeight w:val="230"/>
        </w:trPr>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Long-term operating lease liability</w:t>
            </w:r>
          </w:p>
        </w:tc>
        <w:tc>
          <w:tcPr>
            <w:tcW w:w="100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10"/>
              <w:spacing w:after="0"/>
              <w:rPr>
                <w:sz w:val="20"/>
                <w:szCs w:val="20"/>
                <w:color w:val="auto"/>
              </w:rPr>
            </w:pPr>
            <w:r>
              <w:rPr>
                <w:rFonts w:ascii="Arial" w:cs="Arial" w:eastAsia="Arial" w:hAnsi="Arial"/>
                <w:sz w:val="18"/>
                <w:szCs w:val="18"/>
                <w:b w:val="1"/>
                <w:bCs w:val="1"/>
                <w:color w:val="auto"/>
              </w:rPr>
              <w:t>527,549</w:t>
            </w:r>
          </w:p>
        </w:tc>
        <w:tc>
          <w:tcPr>
            <w:tcW w:w="3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647,949</w:t>
            </w:r>
          </w:p>
        </w:tc>
        <w:tc>
          <w:tcPr>
            <w:tcW w:w="0" w:type="dxa"/>
            <w:vAlign w:val="bottom"/>
          </w:tcPr>
          <w:p>
            <w:pPr>
              <w:spacing w:after="0"/>
              <w:rPr>
                <w:sz w:val="1"/>
                <w:szCs w:val="1"/>
                <w:color w:val="auto"/>
              </w:rPr>
            </w:pPr>
          </w:p>
        </w:tc>
      </w:tr>
      <w:tr>
        <w:trPr>
          <w:trHeight w:val="229"/>
        </w:trPr>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long-term liabilities</w:t>
            </w:r>
          </w:p>
        </w:tc>
        <w:tc>
          <w:tcPr>
            <w:tcW w:w="10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57,141</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36,858</w:t>
            </w:r>
          </w:p>
        </w:tc>
        <w:tc>
          <w:tcPr>
            <w:tcW w:w="0" w:type="dxa"/>
            <w:vAlign w:val="bottom"/>
          </w:tcPr>
          <w:p>
            <w:pPr>
              <w:spacing w:after="0"/>
              <w:rPr>
                <w:sz w:val="1"/>
                <w:szCs w:val="1"/>
                <w:color w:val="auto"/>
              </w:rPr>
            </w:pPr>
          </w:p>
        </w:tc>
      </w:tr>
      <w:tr>
        <w:trPr>
          <w:trHeight w:val="223"/>
        </w:trPr>
        <w:tc>
          <w:tcPr>
            <w:tcW w:w="68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100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auto"/>
              </w:rPr>
              <w:t>1,020,609</w:t>
            </w:r>
          </w:p>
        </w:tc>
        <w:tc>
          <w:tcPr>
            <w:tcW w:w="3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1,061,135</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20"/>
                <w:szCs w:val="20"/>
                <w:color w:val="auto"/>
              </w:rPr>
            </w:pPr>
            <w:r>
              <w:rPr>
                <w:rFonts w:ascii="Arial" w:cs="Arial" w:eastAsia="Arial" w:hAnsi="Arial"/>
                <w:sz w:val="18"/>
                <w:szCs w:val="18"/>
                <w:color w:val="auto"/>
              </w:rPr>
              <w:t>Commitments and contingent liabilities</w:t>
            </w:r>
          </w:p>
        </w:tc>
        <w:tc>
          <w:tcPr>
            <w:tcW w:w="10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Equity</w:t>
            </w:r>
          </w:p>
        </w:tc>
        <w:tc>
          <w:tcPr>
            <w:tcW w:w="100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tcPr>
          <w:p>
            <w:pPr>
              <w:ind w:left="260"/>
              <w:spacing w:after="0"/>
              <w:rPr>
                <w:sz w:val="20"/>
                <w:szCs w:val="20"/>
                <w:color w:val="auto"/>
              </w:rPr>
            </w:pPr>
            <w:r>
              <w:rPr>
                <w:rFonts w:ascii="Arial" w:cs="Arial" w:eastAsia="Arial" w:hAnsi="Arial"/>
                <w:sz w:val="18"/>
                <w:szCs w:val="18"/>
                <w:color w:val="auto"/>
              </w:rPr>
              <w:t>Non-redeemable preferred stock</w:t>
            </w:r>
          </w:p>
        </w:tc>
        <w:tc>
          <w:tcPr>
            <w:tcW w:w="1000" w:type="dxa"/>
            <w:vAlign w:val="bottom"/>
          </w:tcPr>
          <w:p>
            <w:pPr>
              <w:spacing w:after="0"/>
              <w:rPr>
                <w:sz w:val="19"/>
                <w:szCs w:val="19"/>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b w:val="1"/>
                <w:bCs w:val="1"/>
                <w:color w:val="auto"/>
              </w:rPr>
              <w:t>1,009</w:t>
            </w:r>
          </w:p>
        </w:tc>
        <w:tc>
          <w:tcPr>
            <w:tcW w:w="300" w:type="dxa"/>
            <w:vAlign w:val="bottom"/>
          </w:tcPr>
          <w:p>
            <w:pPr>
              <w:spacing w:after="0"/>
              <w:rPr>
                <w:sz w:val="19"/>
                <w:szCs w:val="19"/>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30"/>
        </w:trPr>
        <w:tc>
          <w:tcPr>
            <w:tcW w:w="6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equity:</w:t>
            </w:r>
          </w:p>
        </w:tc>
        <w:tc>
          <w:tcPr>
            <w:tcW w:w="100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tcPr>
          <w:p>
            <w:pPr>
              <w:ind w:left="500"/>
              <w:spacing w:after="0"/>
              <w:rPr>
                <w:sz w:val="20"/>
                <w:szCs w:val="20"/>
                <w:color w:val="auto"/>
              </w:rPr>
            </w:pPr>
            <w:r>
              <w:rPr>
                <w:rFonts w:ascii="Arial" w:cs="Arial" w:eastAsia="Arial" w:hAnsi="Arial"/>
                <w:sz w:val="18"/>
                <w:szCs w:val="18"/>
                <w:color w:val="auto"/>
              </w:rPr>
              <w:t>Common stock, $1 par value:</w:t>
            </w:r>
          </w:p>
        </w:tc>
        <w:tc>
          <w:tcPr>
            <w:tcW w:w="10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Authorized: 80,000,000 shares</w:t>
            </w:r>
          </w:p>
        </w:tc>
        <w:tc>
          <w:tcPr>
            <w:tcW w:w="100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tcPr>
          <w:p>
            <w:pPr>
              <w:ind w:left="740"/>
              <w:spacing w:after="0"/>
              <w:rPr>
                <w:sz w:val="20"/>
                <w:szCs w:val="20"/>
                <w:color w:val="auto"/>
              </w:rPr>
            </w:pPr>
            <w:r>
              <w:rPr>
                <w:rFonts w:ascii="Arial" w:cs="Arial" w:eastAsia="Arial" w:hAnsi="Arial"/>
                <w:sz w:val="18"/>
                <w:szCs w:val="18"/>
                <w:color w:val="auto"/>
              </w:rPr>
              <w:t>Issued common stock</w:t>
            </w:r>
          </w:p>
        </w:tc>
        <w:tc>
          <w:tcPr>
            <w:tcW w:w="1000" w:type="dxa"/>
            <w:vAlign w:val="bottom"/>
          </w:tcPr>
          <w:p>
            <w:pPr>
              <w:spacing w:after="0"/>
              <w:rPr>
                <w:sz w:val="19"/>
                <w:szCs w:val="19"/>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b w:val="1"/>
                <w:bCs w:val="1"/>
                <w:color w:val="auto"/>
              </w:rPr>
              <w:t>15,438</w:t>
            </w:r>
          </w:p>
        </w:tc>
        <w:tc>
          <w:tcPr>
            <w:tcW w:w="300" w:type="dxa"/>
            <w:vAlign w:val="bottom"/>
          </w:tcPr>
          <w:p>
            <w:pPr>
              <w:spacing w:after="0"/>
              <w:rPr>
                <w:sz w:val="19"/>
                <w:szCs w:val="19"/>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15,186</w:t>
            </w:r>
          </w:p>
        </w:tc>
        <w:tc>
          <w:tcPr>
            <w:tcW w:w="0" w:type="dxa"/>
            <w:vAlign w:val="bottom"/>
          </w:tcPr>
          <w:p>
            <w:pPr>
              <w:spacing w:after="0"/>
              <w:rPr>
                <w:sz w:val="1"/>
                <w:szCs w:val="1"/>
                <w:color w:val="auto"/>
              </w:rPr>
            </w:pPr>
          </w:p>
        </w:tc>
      </w:tr>
      <w:tr>
        <w:trPr>
          <w:trHeight w:val="230"/>
        </w:trPr>
        <w:tc>
          <w:tcPr>
            <w:tcW w:w="6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Additional paid-in capital</w:t>
            </w:r>
          </w:p>
        </w:tc>
        <w:tc>
          <w:tcPr>
            <w:tcW w:w="100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10"/>
              <w:spacing w:after="0"/>
              <w:rPr>
                <w:sz w:val="20"/>
                <w:szCs w:val="20"/>
                <w:color w:val="auto"/>
              </w:rPr>
            </w:pPr>
            <w:r>
              <w:rPr>
                <w:rFonts w:ascii="Arial" w:cs="Arial" w:eastAsia="Arial" w:hAnsi="Arial"/>
                <w:sz w:val="18"/>
                <w:szCs w:val="18"/>
                <w:b w:val="1"/>
                <w:bCs w:val="1"/>
                <w:color w:val="auto"/>
              </w:rPr>
              <w:t>282,308</w:t>
            </w:r>
          </w:p>
        </w:tc>
        <w:tc>
          <w:tcPr>
            <w:tcW w:w="3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274,101</w:t>
            </w:r>
          </w:p>
        </w:tc>
        <w:tc>
          <w:tcPr>
            <w:tcW w:w="0" w:type="dxa"/>
            <w:vAlign w:val="bottom"/>
          </w:tcPr>
          <w:p>
            <w:pPr>
              <w:spacing w:after="0"/>
              <w:rPr>
                <w:sz w:val="1"/>
                <w:szCs w:val="1"/>
                <w:color w:val="auto"/>
              </w:rPr>
            </w:pPr>
          </w:p>
        </w:tc>
      </w:tr>
      <w:tr>
        <w:trPr>
          <w:trHeight w:val="230"/>
        </w:trPr>
        <w:tc>
          <w:tcPr>
            <w:tcW w:w="6880" w:type="dxa"/>
            <w:vAlign w:val="bottom"/>
          </w:tcPr>
          <w:p>
            <w:pPr>
              <w:ind w:left="500"/>
              <w:spacing w:after="0"/>
              <w:rPr>
                <w:sz w:val="20"/>
                <w:szCs w:val="20"/>
                <w:color w:val="auto"/>
              </w:rPr>
            </w:pPr>
            <w:r>
              <w:rPr>
                <w:rFonts w:ascii="Arial" w:cs="Arial" w:eastAsia="Arial" w:hAnsi="Arial"/>
                <w:sz w:val="18"/>
                <w:szCs w:val="18"/>
                <w:color w:val="auto"/>
              </w:rPr>
              <w:t>Retained earnings</w:t>
            </w:r>
          </w:p>
        </w:tc>
        <w:tc>
          <w:tcPr>
            <w:tcW w:w="1000" w:type="dxa"/>
            <w:vAlign w:val="bottom"/>
          </w:tcPr>
          <w:p>
            <w:pPr>
              <w:spacing w:after="0"/>
              <w:rPr>
                <w:sz w:val="19"/>
                <w:szCs w:val="19"/>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b w:val="1"/>
                <w:bCs w:val="1"/>
                <w:color w:val="auto"/>
              </w:rPr>
              <w:t>320,920</w:t>
            </w:r>
          </w:p>
        </w:tc>
        <w:tc>
          <w:tcPr>
            <w:tcW w:w="300" w:type="dxa"/>
            <w:vAlign w:val="bottom"/>
          </w:tcPr>
          <w:p>
            <w:pPr>
              <w:spacing w:after="0"/>
              <w:rPr>
                <w:sz w:val="19"/>
                <w:szCs w:val="19"/>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378,572</w:t>
            </w:r>
          </w:p>
        </w:tc>
        <w:tc>
          <w:tcPr>
            <w:tcW w:w="0" w:type="dxa"/>
            <w:vAlign w:val="bottom"/>
          </w:tcPr>
          <w:p>
            <w:pPr>
              <w:spacing w:after="0"/>
              <w:rPr>
                <w:sz w:val="1"/>
                <w:szCs w:val="1"/>
                <w:color w:val="auto"/>
              </w:rPr>
            </w:pPr>
          </w:p>
        </w:tc>
      </w:tr>
      <w:tr>
        <w:trPr>
          <w:trHeight w:val="229"/>
        </w:trPr>
        <w:tc>
          <w:tcPr>
            <w:tcW w:w="6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Accumulated other comprehensive loss</w:t>
            </w:r>
          </w:p>
        </w:tc>
        <w:tc>
          <w:tcPr>
            <w:tcW w:w="100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(35,059)</w:t>
            </w:r>
          </w:p>
        </w:tc>
        <w:tc>
          <w:tcPr>
            <w:tcW w:w="3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(31,668)</w:t>
            </w:r>
          </w:p>
        </w:tc>
        <w:tc>
          <w:tcPr>
            <w:tcW w:w="0" w:type="dxa"/>
            <w:vAlign w:val="bottom"/>
          </w:tcPr>
          <w:p>
            <w:pPr>
              <w:spacing w:after="0"/>
              <w:rPr>
                <w:sz w:val="1"/>
                <w:szCs w:val="1"/>
                <w:color w:val="auto"/>
              </w:rPr>
            </w:pPr>
          </w:p>
        </w:tc>
      </w:tr>
      <w:tr>
        <w:trPr>
          <w:trHeight w:val="230"/>
        </w:trPr>
        <w:tc>
          <w:tcPr>
            <w:tcW w:w="68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Treasury shares, at cost (488,464 shares)</w:t>
            </w:r>
          </w:p>
        </w:tc>
        <w:tc>
          <w:tcPr>
            <w:tcW w:w="10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(17,857)</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(17,857)</w:t>
            </w:r>
          </w:p>
        </w:tc>
        <w:tc>
          <w:tcPr>
            <w:tcW w:w="0" w:type="dxa"/>
            <w:vAlign w:val="bottom"/>
          </w:tcPr>
          <w:p>
            <w:pPr>
              <w:spacing w:after="0"/>
              <w:rPr>
                <w:sz w:val="1"/>
                <w:szCs w:val="1"/>
                <w:color w:val="auto"/>
              </w:rPr>
            </w:pPr>
          </w:p>
        </w:tc>
      </w:tr>
      <w:tr>
        <w:trPr>
          <w:trHeight w:val="223"/>
        </w:trPr>
        <w:tc>
          <w:tcPr>
            <w:tcW w:w="68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Total equity</w:t>
            </w:r>
          </w:p>
        </w:tc>
        <w:tc>
          <w:tcPr>
            <w:tcW w:w="100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auto"/>
              </w:rPr>
              <w:t>566,759</w:t>
            </w:r>
          </w:p>
        </w:tc>
        <w:tc>
          <w:tcPr>
            <w:tcW w:w="3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619,343</w:t>
            </w:r>
          </w:p>
        </w:tc>
        <w:tc>
          <w:tcPr>
            <w:tcW w:w="0" w:type="dxa"/>
            <w:vAlign w:val="bottom"/>
          </w:tcPr>
          <w:p>
            <w:pPr>
              <w:spacing w:after="0"/>
              <w:rPr>
                <w:sz w:val="1"/>
                <w:szCs w:val="1"/>
                <w:color w:val="auto"/>
              </w:rPr>
            </w:pPr>
          </w:p>
        </w:tc>
      </w:tr>
      <w:tr>
        <w:trPr>
          <w:trHeight w:val="223"/>
        </w:trPr>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1,587,368</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1,680,478</w:t>
            </w:r>
          </w:p>
        </w:tc>
        <w:tc>
          <w:tcPr>
            <w:tcW w:w="0" w:type="dxa"/>
            <w:vAlign w:val="bottom"/>
          </w:tcPr>
          <w:p>
            <w:pPr>
              <w:spacing w:after="0"/>
              <w:rPr>
                <w:sz w:val="1"/>
                <w:szCs w:val="1"/>
                <w:color w:val="auto"/>
              </w:rPr>
            </w:pPr>
          </w:p>
        </w:tc>
      </w:tr>
      <w:tr>
        <w:trPr>
          <w:trHeight w:val="20"/>
        </w:trPr>
        <w:tc>
          <w:tcPr>
            <w:tcW w:w="68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540" w:type="dxa"/>
            <w:vAlign w:val="bottom"/>
            <w:tcBorders>
              <w:top w:val="single" w:sz="8" w:color="auto"/>
              <w:bottom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Fiscal Year</w:t>
            </w:r>
          </w:p>
        </w:tc>
        <w:tc>
          <w:tcPr>
            <w:tcW w:w="42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5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2020</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460" w:type="dxa"/>
            <w:vAlign w:val="bottom"/>
            <w:shd w:val="clear" w:color="auto" w:fill="CFF0FC"/>
          </w:tcPr>
          <w:p>
            <w:pPr>
              <w:jc w:val="right"/>
              <w:ind w:right="15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FF0FC"/>
          </w:tcPr>
          <w:p>
            <w:pPr>
              <w:jc w:val="right"/>
              <w:ind w:right="90"/>
              <w:spacing w:after="0"/>
              <w:rPr>
                <w:sz w:val="20"/>
                <w:szCs w:val="20"/>
                <w:color w:val="auto"/>
              </w:rPr>
            </w:pPr>
            <w:r>
              <w:rPr>
                <w:rFonts w:ascii="Arial" w:cs="Arial" w:eastAsia="Arial" w:hAnsi="Arial"/>
                <w:sz w:val="18"/>
                <w:szCs w:val="18"/>
                <w:b w:val="1"/>
                <w:bCs w:val="1"/>
                <w:color w:val="auto"/>
              </w:rPr>
              <w:t>1,786,530</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2,197,066</w:t>
            </w:r>
          </w:p>
        </w:tc>
        <w:tc>
          <w:tcPr>
            <w:tcW w:w="4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2,188,553</w:t>
            </w:r>
          </w:p>
        </w:tc>
        <w:tc>
          <w:tcPr>
            <w:tcW w:w="0" w:type="dxa"/>
            <w:vAlign w:val="bottom"/>
          </w:tcPr>
          <w:p>
            <w:pPr>
              <w:spacing w:after="0"/>
              <w:rPr>
                <w:sz w:val="1"/>
                <w:szCs w:val="1"/>
                <w:color w:val="auto"/>
              </w:rPr>
            </w:pPr>
          </w:p>
        </w:tc>
      </w:tr>
      <w:tr>
        <w:trPr>
          <w:trHeight w:val="229"/>
        </w:trPr>
        <w:tc>
          <w:tcPr>
            <w:tcW w:w="6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Cost of sales</w:t>
            </w: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982,063</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1,133,951</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1,141,497</w:t>
            </w:r>
          </w:p>
        </w:tc>
        <w:tc>
          <w:tcPr>
            <w:tcW w:w="0" w:type="dxa"/>
            <w:vAlign w:val="bottom"/>
          </w:tcPr>
          <w:p>
            <w:pPr>
              <w:spacing w:after="0"/>
              <w:rPr>
                <w:sz w:val="1"/>
                <w:szCs w:val="1"/>
                <w:color w:val="auto"/>
              </w:rPr>
            </w:pPr>
          </w:p>
        </w:tc>
      </w:tr>
      <w:tr>
        <w:trPr>
          <w:trHeight w:val="223"/>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4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90"/>
              <w:spacing w:after="0"/>
              <w:rPr>
                <w:sz w:val="20"/>
                <w:szCs w:val="20"/>
                <w:color w:val="auto"/>
              </w:rPr>
            </w:pPr>
            <w:r>
              <w:rPr>
                <w:rFonts w:ascii="Arial" w:cs="Arial" w:eastAsia="Arial" w:hAnsi="Arial"/>
                <w:sz w:val="18"/>
                <w:szCs w:val="18"/>
                <w:b w:val="1"/>
                <w:bCs w:val="1"/>
                <w:color w:val="auto"/>
              </w:rPr>
              <w:t>804,467</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1,063,115</w:t>
            </w:r>
          </w:p>
        </w:tc>
        <w:tc>
          <w:tcPr>
            <w:tcW w:w="4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1,047,056</w:t>
            </w: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46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b w:val="1"/>
                <w:bCs w:val="1"/>
                <w:color w:val="auto"/>
              </w:rPr>
              <w:t>813,775</w:t>
            </w:r>
          </w:p>
        </w:tc>
        <w:tc>
          <w:tcPr>
            <w:tcW w:w="260" w:type="dxa"/>
            <w:vAlign w:val="bottom"/>
          </w:tcPr>
          <w:p>
            <w:pPr>
              <w:spacing w:after="0"/>
              <w:rPr>
                <w:sz w:val="19"/>
                <w:szCs w:val="19"/>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966,423</w:t>
            </w:r>
          </w:p>
        </w:tc>
        <w:tc>
          <w:tcPr>
            <w:tcW w:w="4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962,076</w:t>
            </w:r>
          </w:p>
        </w:tc>
        <w:tc>
          <w:tcPr>
            <w:tcW w:w="0" w:type="dxa"/>
            <w:vAlign w:val="bottom"/>
          </w:tcPr>
          <w:p>
            <w:pPr>
              <w:spacing w:after="0"/>
              <w:rPr>
                <w:sz w:val="1"/>
                <w:szCs w:val="1"/>
                <w:color w:val="auto"/>
              </w:rPr>
            </w:pPr>
          </w:p>
        </w:tc>
      </w:tr>
      <w:tr>
        <w:trPr>
          <w:trHeight w:val="229"/>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Goodwill impairment</w:t>
            </w:r>
          </w:p>
        </w:tc>
        <w:tc>
          <w:tcPr>
            <w:tcW w:w="4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90"/>
              <w:spacing w:after="0"/>
              <w:rPr>
                <w:sz w:val="20"/>
                <w:szCs w:val="20"/>
                <w:color w:val="auto"/>
              </w:rPr>
            </w:pPr>
            <w:r>
              <w:rPr>
                <w:rFonts w:ascii="Arial" w:cs="Arial" w:eastAsia="Arial" w:hAnsi="Arial"/>
                <w:sz w:val="18"/>
                <w:szCs w:val="18"/>
                <w:b w:val="1"/>
                <w:bCs w:val="1"/>
                <w:color w:val="auto"/>
              </w:rPr>
              <w:t>79,259</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Asset impairments and other, net</w:t>
            </w: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18,682</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13,374</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3,163</w:t>
            </w:r>
          </w:p>
        </w:tc>
        <w:tc>
          <w:tcPr>
            <w:tcW w:w="0" w:type="dxa"/>
            <w:vAlign w:val="bottom"/>
          </w:tcPr>
          <w:p>
            <w:pPr>
              <w:spacing w:after="0"/>
              <w:rPr>
                <w:sz w:val="1"/>
                <w:szCs w:val="1"/>
                <w:color w:val="auto"/>
              </w:rPr>
            </w:pPr>
          </w:p>
        </w:tc>
      </w:tr>
      <w:tr>
        <w:trPr>
          <w:trHeight w:val="223"/>
        </w:trPr>
        <w:tc>
          <w:tcPr>
            <w:tcW w:w="65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4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(107,249)</w:t>
            </w: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83,318</w:t>
            </w:r>
          </w:p>
        </w:tc>
        <w:tc>
          <w:tcPr>
            <w:tcW w:w="4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81,817</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Loss on early retirement of debt</w:t>
            </w:r>
          </w:p>
        </w:tc>
        <w:tc>
          <w:tcPr>
            <w:tcW w:w="46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29"/>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Other components of net periodic benefit income</w:t>
            </w:r>
          </w:p>
        </w:tc>
        <w:tc>
          <w:tcPr>
            <w:tcW w:w="4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(670)</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(395)</w:t>
            </w:r>
          </w:p>
        </w:tc>
        <w:tc>
          <w:tcPr>
            <w:tcW w:w="4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5"/>
        </w:trPr>
        <w:tc>
          <w:tcPr>
            <w:tcW w:w="6540" w:type="dxa"/>
            <w:vAlign w:val="bottom"/>
          </w:tcPr>
          <w:p>
            <w:pPr>
              <w:spacing w:after="0"/>
              <w:rPr>
                <w:sz w:val="20"/>
                <w:szCs w:val="20"/>
                <w:color w:val="auto"/>
              </w:rPr>
            </w:pPr>
            <w:r>
              <w:rPr>
                <w:rFonts w:ascii="Arial" w:cs="Arial" w:eastAsia="Arial" w:hAnsi="Arial"/>
                <w:sz w:val="18"/>
                <w:szCs w:val="18"/>
                <w:color w:val="auto"/>
                <w:w w:val="94"/>
              </w:rPr>
              <w:t>Interest expense (net of interest income of $0.3 million, $2.1 million and $0.8 million for</w:t>
            </w:r>
          </w:p>
        </w:tc>
        <w:tc>
          <w:tcPr>
            <w:tcW w:w="460" w:type="dxa"/>
            <w:vAlign w:val="bottom"/>
          </w:tcPr>
          <w:p>
            <w:pPr>
              <w:spacing w:after="0"/>
              <w:rPr>
                <w:sz w:val="18"/>
                <w:szCs w:val="18"/>
                <w:color w:val="auto"/>
              </w:rPr>
            </w:pPr>
          </w:p>
        </w:tc>
        <w:tc>
          <w:tcPr>
            <w:tcW w:w="114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5,090</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Fiscal 2021, 2020 and 2019, respectively)</w:t>
            </w:r>
          </w:p>
        </w:tc>
        <w:tc>
          <w:tcPr>
            <w:tcW w:w="4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1,278</w:t>
            </w: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3,341</w:t>
            </w:r>
          </w:p>
        </w:tc>
        <w:tc>
          <w:tcPr>
            <w:tcW w:w="0" w:type="dxa"/>
            <w:vAlign w:val="bottom"/>
          </w:tcPr>
          <w:p>
            <w:pPr>
              <w:spacing w:after="0"/>
              <w:rPr>
                <w:sz w:val="1"/>
                <w:szCs w:val="1"/>
                <w:color w:val="auto"/>
              </w:rPr>
            </w:pPr>
          </w:p>
        </w:tc>
      </w:tr>
      <w:tr>
        <w:trPr>
          <w:trHeight w:val="223"/>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Earnings (loss) from continuing operations before income taxes</w:t>
            </w:r>
          </w:p>
        </w:tc>
        <w:tc>
          <w:tcPr>
            <w:tcW w:w="4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(111,669)</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82,435</w:t>
            </w:r>
          </w:p>
        </w:tc>
        <w:tc>
          <w:tcPr>
            <w:tcW w:w="4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78,259</w:t>
            </w:r>
          </w:p>
        </w:tc>
        <w:tc>
          <w:tcPr>
            <w:tcW w:w="0" w:type="dxa"/>
            <w:vAlign w:val="bottom"/>
          </w:tcPr>
          <w:p>
            <w:pPr>
              <w:spacing w:after="0"/>
              <w:rPr>
                <w:sz w:val="1"/>
                <w:szCs w:val="1"/>
                <w:color w:val="auto"/>
              </w:rPr>
            </w:pPr>
          </w:p>
        </w:tc>
      </w:tr>
      <w:tr>
        <w:trPr>
          <w:trHeight w:val="230"/>
        </w:trPr>
        <w:tc>
          <w:tcPr>
            <w:tcW w:w="6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 (benefit)</w:t>
            </w: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(55,641)</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20,678</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27,035</w:t>
            </w:r>
          </w:p>
        </w:tc>
        <w:tc>
          <w:tcPr>
            <w:tcW w:w="0" w:type="dxa"/>
            <w:vAlign w:val="bottom"/>
          </w:tcPr>
          <w:p>
            <w:pPr>
              <w:spacing w:after="0"/>
              <w:rPr>
                <w:sz w:val="1"/>
                <w:szCs w:val="1"/>
                <w:color w:val="auto"/>
              </w:rPr>
            </w:pPr>
          </w:p>
        </w:tc>
      </w:tr>
      <w:tr>
        <w:trPr>
          <w:trHeight w:val="223"/>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Earnings (loss) from continuing operations</w:t>
            </w:r>
          </w:p>
        </w:tc>
        <w:tc>
          <w:tcPr>
            <w:tcW w:w="4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(56,028)</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61,757</w:t>
            </w:r>
          </w:p>
        </w:tc>
        <w:tc>
          <w:tcPr>
            <w:tcW w:w="4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51,224</w:t>
            </w:r>
          </w:p>
        </w:tc>
        <w:tc>
          <w:tcPr>
            <w:tcW w:w="0" w:type="dxa"/>
            <w:vAlign w:val="bottom"/>
          </w:tcPr>
          <w:p>
            <w:pPr>
              <w:spacing w:after="0"/>
              <w:rPr>
                <w:sz w:val="1"/>
                <w:szCs w:val="1"/>
                <w:color w:val="auto"/>
              </w:rPr>
            </w:pPr>
          </w:p>
        </w:tc>
      </w:tr>
      <w:tr>
        <w:trPr>
          <w:trHeight w:val="215"/>
        </w:trPr>
        <w:tc>
          <w:tcPr>
            <w:tcW w:w="6540" w:type="dxa"/>
            <w:vAlign w:val="bottom"/>
          </w:tcPr>
          <w:p>
            <w:pPr>
              <w:spacing w:after="0"/>
              <w:rPr>
                <w:sz w:val="20"/>
                <w:szCs w:val="20"/>
                <w:color w:val="auto"/>
              </w:rPr>
            </w:pPr>
            <w:r>
              <w:rPr>
                <w:rFonts w:ascii="Arial" w:cs="Arial" w:eastAsia="Arial" w:hAnsi="Arial"/>
                <w:sz w:val="18"/>
                <w:szCs w:val="18"/>
                <w:color w:val="auto"/>
                <w:w w:val="98"/>
              </w:rPr>
              <w:t>Loss from discontinued operations, net of tax of $0.2 million, $0.1 million and $27.5</w:t>
            </w:r>
          </w:p>
        </w:tc>
        <w:tc>
          <w:tcPr>
            <w:tcW w:w="460" w:type="dxa"/>
            <w:vAlign w:val="bottom"/>
          </w:tcPr>
          <w:p>
            <w:pPr>
              <w:spacing w:after="0"/>
              <w:rPr>
                <w:sz w:val="18"/>
                <w:szCs w:val="18"/>
                <w:color w:val="auto"/>
              </w:rPr>
            </w:pPr>
          </w:p>
        </w:tc>
        <w:tc>
          <w:tcPr>
            <w:tcW w:w="11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(401)</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million for Fiscal 2021, 2020 and 2019, respectively</w:t>
            </w:r>
          </w:p>
        </w:tc>
        <w:tc>
          <w:tcPr>
            <w:tcW w:w="4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(373)</w:t>
            </w: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(103,154)</w:t>
            </w:r>
          </w:p>
        </w:tc>
        <w:tc>
          <w:tcPr>
            <w:tcW w:w="0" w:type="dxa"/>
            <w:vAlign w:val="bottom"/>
          </w:tcPr>
          <w:p>
            <w:pPr>
              <w:spacing w:after="0"/>
              <w:rPr>
                <w:sz w:val="1"/>
                <w:szCs w:val="1"/>
                <w:color w:val="auto"/>
              </w:rPr>
            </w:pPr>
          </w:p>
        </w:tc>
      </w:tr>
      <w:tr>
        <w:trPr>
          <w:trHeight w:val="223"/>
        </w:trPr>
        <w:tc>
          <w:tcPr>
            <w:tcW w:w="65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Net Earnings (Loss)</w:t>
            </w:r>
          </w:p>
        </w:tc>
        <w:tc>
          <w:tcPr>
            <w:tcW w:w="4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(56,429)</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61,384</w:t>
            </w:r>
          </w:p>
        </w:tc>
        <w:tc>
          <w:tcPr>
            <w:tcW w:w="42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(51,930)</w:t>
            </w:r>
          </w:p>
        </w:tc>
        <w:tc>
          <w:tcPr>
            <w:tcW w:w="0" w:type="dxa"/>
            <w:vAlign w:val="bottom"/>
          </w:tcPr>
          <w:p>
            <w:pPr>
              <w:spacing w:after="0"/>
              <w:rPr>
                <w:sz w:val="1"/>
                <w:szCs w:val="1"/>
                <w:color w:val="auto"/>
              </w:rPr>
            </w:pPr>
          </w:p>
        </w:tc>
      </w:tr>
      <w:tr>
        <w:trPr>
          <w:trHeight w:val="20"/>
        </w:trPr>
        <w:tc>
          <w:tcPr>
            <w:tcW w:w="65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Basic earnings (loss) per common share:</w:t>
            </w:r>
          </w:p>
        </w:tc>
        <w:tc>
          <w:tcPr>
            <w:tcW w:w="4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260"/>
              <w:spacing w:after="0"/>
              <w:rPr>
                <w:sz w:val="20"/>
                <w:szCs w:val="20"/>
                <w:color w:val="auto"/>
              </w:rPr>
            </w:pPr>
            <w:r>
              <w:rPr>
                <w:rFonts w:ascii="Arial" w:cs="Arial" w:eastAsia="Arial" w:hAnsi="Arial"/>
                <w:sz w:val="18"/>
                <w:szCs w:val="18"/>
                <w:color w:val="auto"/>
              </w:rPr>
              <w:t>Continuing operations</w:t>
            </w:r>
          </w:p>
        </w:tc>
        <w:tc>
          <w:tcPr>
            <w:tcW w:w="46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(3.94)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3.97</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30"/>
        </w:trPr>
        <w:tc>
          <w:tcPr>
            <w:tcW w:w="654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Discontinued operations</w:t>
            </w:r>
          </w:p>
        </w:tc>
        <w:tc>
          <w:tcPr>
            <w:tcW w:w="4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(0.03)</w:t>
            </w: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(0.02)</w:t>
            </w:r>
          </w:p>
        </w:tc>
        <w:tc>
          <w:tcPr>
            <w:tcW w:w="4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23"/>
        </w:trPr>
        <w:tc>
          <w:tcPr>
            <w:tcW w:w="65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Net earnings (loss)</w:t>
            </w:r>
          </w:p>
        </w:tc>
        <w:tc>
          <w:tcPr>
            <w:tcW w:w="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(3.97)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3.95</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0"/>
        </w:trPr>
        <w:tc>
          <w:tcPr>
            <w:tcW w:w="65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Diluted earnings (loss) per common share:</w:t>
            </w:r>
          </w:p>
        </w:tc>
        <w:tc>
          <w:tcPr>
            <w:tcW w:w="4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260"/>
              <w:spacing w:after="0"/>
              <w:rPr>
                <w:sz w:val="20"/>
                <w:szCs w:val="20"/>
                <w:color w:val="auto"/>
              </w:rPr>
            </w:pPr>
            <w:r>
              <w:rPr>
                <w:rFonts w:ascii="Arial" w:cs="Arial" w:eastAsia="Arial" w:hAnsi="Arial"/>
                <w:sz w:val="18"/>
                <w:szCs w:val="18"/>
                <w:color w:val="auto"/>
              </w:rPr>
              <w:t>Continuing operations</w:t>
            </w:r>
          </w:p>
        </w:tc>
        <w:tc>
          <w:tcPr>
            <w:tcW w:w="46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(3.94)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3.94</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29"/>
        </w:trPr>
        <w:tc>
          <w:tcPr>
            <w:tcW w:w="654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Discontinued operations</w:t>
            </w:r>
          </w:p>
        </w:tc>
        <w:tc>
          <w:tcPr>
            <w:tcW w:w="4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(0.03)</w:t>
            </w: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(0.02)</w:t>
            </w:r>
          </w:p>
        </w:tc>
        <w:tc>
          <w:tcPr>
            <w:tcW w:w="4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23"/>
        </w:trPr>
        <w:tc>
          <w:tcPr>
            <w:tcW w:w="65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Net earnings (loss)</w:t>
            </w:r>
          </w:p>
        </w:tc>
        <w:tc>
          <w:tcPr>
            <w:tcW w:w="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(3.97)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3.92</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0"/>
        </w:trPr>
        <w:tc>
          <w:tcPr>
            <w:tcW w:w="65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 outstanding:</w:t>
            </w:r>
          </w:p>
        </w:tc>
        <w:tc>
          <w:tcPr>
            <w:tcW w:w="4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260"/>
              <w:spacing w:after="0"/>
              <w:rPr>
                <w:sz w:val="20"/>
                <w:szCs w:val="20"/>
                <w:color w:val="auto"/>
              </w:rPr>
            </w:pPr>
            <w:r>
              <w:rPr>
                <w:rFonts w:ascii="Arial" w:cs="Arial" w:eastAsia="Arial" w:hAnsi="Arial"/>
                <w:sz w:val="18"/>
                <w:szCs w:val="18"/>
                <w:color w:val="auto"/>
              </w:rPr>
              <w:t>Basic</w:t>
            </w:r>
          </w:p>
        </w:tc>
        <w:tc>
          <w:tcPr>
            <w:tcW w:w="46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b w:val="1"/>
                <w:bCs w:val="1"/>
                <w:color w:val="auto"/>
              </w:rPr>
              <w:t>14,216</w:t>
            </w:r>
          </w:p>
        </w:tc>
        <w:tc>
          <w:tcPr>
            <w:tcW w:w="260" w:type="dxa"/>
            <w:vAlign w:val="bottom"/>
          </w:tcPr>
          <w:p>
            <w:pPr>
              <w:spacing w:after="0"/>
              <w:rPr>
                <w:sz w:val="19"/>
                <w:szCs w:val="19"/>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15,544</w:t>
            </w:r>
          </w:p>
        </w:tc>
        <w:tc>
          <w:tcPr>
            <w:tcW w:w="4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19,351</w:t>
            </w: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4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90"/>
              <w:spacing w:after="0"/>
              <w:rPr>
                <w:sz w:val="20"/>
                <w:szCs w:val="20"/>
                <w:color w:val="auto"/>
              </w:rPr>
            </w:pPr>
            <w:r>
              <w:rPr>
                <w:rFonts w:ascii="Arial" w:cs="Arial" w:eastAsia="Arial" w:hAnsi="Arial"/>
                <w:sz w:val="18"/>
                <w:szCs w:val="18"/>
                <w:b w:val="1"/>
                <w:bCs w:val="1"/>
                <w:color w:val="auto"/>
              </w:rPr>
              <w:t>14,216</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15,671</w:t>
            </w:r>
          </w:p>
        </w:tc>
        <w:tc>
          <w:tcPr>
            <w:tcW w:w="4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19,495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as noted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4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Fiscal Year</w:t>
            </w:r>
          </w:p>
        </w:tc>
        <w:tc>
          <w:tcPr>
            <w:tcW w:w="5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4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2020</w:t>
            </w: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Net earnings (loss)</w:t>
            </w:r>
          </w:p>
        </w:tc>
        <w:tc>
          <w:tcPr>
            <w:tcW w:w="6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(56,429)</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61,384</w:t>
            </w:r>
          </w:p>
        </w:tc>
        <w:tc>
          <w:tcPr>
            <w:tcW w:w="52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(51,930)</w:t>
            </w:r>
          </w:p>
        </w:tc>
        <w:tc>
          <w:tcPr>
            <w:tcW w:w="0" w:type="dxa"/>
            <w:vAlign w:val="bottom"/>
          </w:tcPr>
          <w:p>
            <w:pPr>
              <w:spacing w:after="0"/>
              <w:rPr>
                <w:sz w:val="1"/>
                <w:szCs w:val="1"/>
                <w:color w:val="auto"/>
              </w:rPr>
            </w:pPr>
          </w:p>
        </w:tc>
      </w:tr>
      <w:tr>
        <w:trPr>
          <w:trHeight w:val="229"/>
        </w:trPr>
        <w:tc>
          <w:tcPr>
            <w:tcW w:w="64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5"/>
              </w:rPr>
              <w:t>Pension liability adjustment net of tax of $2.1 million and $0.0 million for 2020 and</w:t>
            </w:r>
          </w:p>
        </w:tc>
        <w:tc>
          <w:tcPr>
            <w:tcW w:w="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60" w:type="dxa"/>
            <w:vAlign w:val="bottom"/>
            <w:vMerge w:val="restart"/>
            <w:shd w:val="clear" w:color="auto" w:fill="CFF0FC"/>
          </w:tcPr>
          <w:p>
            <w:pPr>
              <w:jc w:val="right"/>
              <w:ind w:right="9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2019, respectively</w:t>
            </w:r>
          </w:p>
        </w:tc>
        <w:tc>
          <w:tcPr>
            <w:tcW w:w="1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060" w:type="dxa"/>
            <w:vAlign w:val="bottom"/>
            <w:vMerge w:val="continue"/>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6,035</w:t>
            </w:r>
          </w:p>
        </w:tc>
        <w:tc>
          <w:tcPr>
            <w:tcW w:w="52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5"/>
        </w:trPr>
        <w:tc>
          <w:tcPr>
            <w:tcW w:w="6480" w:type="dxa"/>
            <w:vAlign w:val="bottom"/>
          </w:tcPr>
          <w:p>
            <w:pPr>
              <w:ind w:left="260"/>
              <w:spacing w:after="0"/>
              <w:rPr>
                <w:sz w:val="20"/>
                <w:szCs w:val="20"/>
                <w:color w:val="auto"/>
              </w:rPr>
            </w:pPr>
            <w:r>
              <w:rPr>
                <w:rFonts w:ascii="Arial" w:cs="Arial" w:eastAsia="Arial" w:hAnsi="Arial"/>
                <w:sz w:val="18"/>
                <w:szCs w:val="18"/>
                <w:color w:val="auto"/>
                <w:w w:val="96"/>
              </w:rPr>
              <w:t>Postretirement liability adjustment net of tax of $0.1 million, $1.0 million and $1.6</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314</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60"/>
              <w:spacing w:after="0"/>
              <w:rPr>
                <w:sz w:val="20"/>
                <w:szCs w:val="20"/>
                <w:color w:val="auto"/>
              </w:rPr>
            </w:pPr>
            <w:r>
              <w:rPr>
                <w:rFonts w:ascii="Arial" w:cs="Arial" w:eastAsia="Arial" w:hAnsi="Arial"/>
                <w:sz w:val="18"/>
                <w:szCs w:val="18"/>
                <w:color w:val="auto"/>
              </w:rPr>
              <w:t>million for 2021, 2020 and 2019, respectively</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(2,697)</w:t>
            </w:r>
          </w:p>
        </w:tc>
        <w:tc>
          <w:tcPr>
            <w:tcW w:w="5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4,077</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(3,705)</w:t>
            </w: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2,930</w:t>
            </w:r>
          </w:p>
        </w:tc>
        <w:tc>
          <w:tcPr>
            <w:tcW w:w="5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(12,944)</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Total other comprehensive income (loss)</w:t>
            </w:r>
          </w:p>
        </w:tc>
        <w:tc>
          <w:tcPr>
            <w:tcW w:w="1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(3,391)</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6,268</w:t>
            </w: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(8,744)</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Comprehensive Income (Loss)</w:t>
            </w:r>
          </w:p>
        </w:tc>
        <w:tc>
          <w:tcPr>
            <w:tcW w:w="600" w:type="dxa"/>
            <w:vAlign w:val="bottom"/>
            <w:tcBorders>
              <w:bottom w:val="single" w:sz="8" w:color="auto"/>
            </w:tcBorders>
            <w:gridSpan w:val="2"/>
            <w:shd w:val="clear" w:color="auto" w:fill="CFF0FC"/>
          </w:tcPr>
          <w:p>
            <w:pPr>
              <w:jc w:val="right"/>
              <w:ind w:right="32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(59,820)</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67,652</w:t>
            </w:r>
          </w:p>
        </w:tc>
        <w:tc>
          <w:tcPr>
            <w:tcW w:w="52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(60,674)</w:t>
            </w:r>
          </w:p>
        </w:tc>
        <w:tc>
          <w:tcPr>
            <w:tcW w:w="0" w:type="dxa"/>
            <w:vAlign w:val="bottom"/>
          </w:tcPr>
          <w:p>
            <w:pPr>
              <w:spacing w:after="0"/>
              <w:rPr>
                <w:sz w:val="1"/>
                <w:szCs w:val="1"/>
                <w:color w:val="auto"/>
              </w:rPr>
            </w:pPr>
          </w:p>
        </w:tc>
      </w:tr>
      <w:tr>
        <w:trPr>
          <w:trHeight w:val="20"/>
        </w:trPr>
        <w:tc>
          <w:tcPr>
            <w:tcW w:w="6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4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437"/>
              <w:spacing w:after="0"/>
              <w:rPr>
                <w:sz w:val="20"/>
                <w:szCs w:val="20"/>
                <w:color w:val="auto"/>
              </w:rPr>
            </w:pPr>
            <w:r>
              <w:rPr>
                <w:rFonts w:ascii="Arial" w:cs="Arial" w:eastAsia="Arial" w:hAnsi="Arial"/>
                <w:sz w:val="13"/>
                <w:szCs w:val="13"/>
                <w:b w:val="1"/>
                <w:bCs w:val="1"/>
                <w:color w:val="auto"/>
              </w:rPr>
              <w:t>Fiscal Year</w:t>
            </w:r>
          </w:p>
        </w:tc>
        <w:tc>
          <w:tcPr>
            <w:tcW w:w="5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r>
      <w:tr>
        <w:trPr>
          <w:trHeight w:val="142"/>
        </w:trPr>
        <w:tc>
          <w:tcPr>
            <w:tcW w:w="5460" w:type="dxa"/>
            <w:vAlign w:val="bottom"/>
            <w:tcBorders>
              <w:bottom w:val="single" w:sz="8" w:color="CFF0FC"/>
            </w:tcBorders>
          </w:tcPr>
          <w:p>
            <w:pPr>
              <w:spacing w:after="0"/>
              <w:rPr>
                <w:sz w:val="12"/>
                <w:szCs w:val="12"/>
                <w:color w:val="auto"/>
              </w:rPr>
            </w:pPr>
          </w:p>
        </w:tc>
        <w:tc>
          <w:tcPr>
            <w:tcW w:w="1200" w:type="dxa"/>
            <w:vAlign w:val="bottom"/>
            <w:tcBorders>
              <w:bottom w:val="single" w:sz="8" w:color="CFF0FC"/>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3"/>
                <w:szCs w:val="13"/>
                <w:b w:val="1"/>
                <w:bCs w:val="1"/>
                <w:color w:val="auto"/>
              </w:rPr>
              <w:t>2021</w:t>
            </w:r>
          </w:p>
        </w:tc>
        <w:tc>
          <w:tcPr>
            <w:tcW w:w="3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3"/>
                <w:szCs w:val="13"/>
                <w:color w:val="auto"/>
              </w:rPr>
              <w:t>2020</w:t>
            </w:r>
          </w:p>
        </w:tc>
        <w:tc>
          <w:tcPr>
            <w:tcW w:w="5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color w:val="auto"/>
              </w:rPr>
              <w:t>2019</w:t>
            </w:r>
          </w:p>
        </w:tc>
      </w:tr>
      <w:tr>
        <w:trPr>
          <w:trHeight w:val="142"/>
        </w:trPr>
        <w:tc>
          <w:tcPr>
            <w:tcW w:w="5460" w:type="dxa"/>
            <w:vAlign w:val="bottom"/>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CASH FLOWS FROM OPERATING ACTIVITIES:</w:t>
            </w:r>
          </w:p>
        </w:tc>
        <w:tc>
          <w:tcPr>
            <w:tcW w:w="12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r>
      <w:tr>
        <w:trPr>
          <w:trHeight w:val="148"/>
        </w:trPr>
        <w:tc>
          <w:tcPr>
            <w:tcW w:w="5460" w:type="dxa"/>
            <w:vAlign w:val="bottom"/>
          </w:tcPr>
          <w:p>
            <w:pPr>
              <w:spacing w:after="0"/>
              <w:rPr>
                <w:sz w:val="20"/>
                <w:szCs w:val="20"/>
                <w:color w:val="auto"/>
              </w:rPr>
            </w:pPr>
            <w:r>
              <w:rPr>
                <w:rFonts w:ascii="Arial" w:cs="Arial" w:eastAsia="Arial" w:hAnsi="Arial"/>
                <w:sz w:val="13"/>
                <w:szCs w:val="13"/>
                <w:color w:val="auto"/>
              </w:rPr>
              <w:t>Net earnings (loss)</w:t>
            </w:r>
          </w:p>
        </w:tc>
        <w:tc>
          <w:tcPr>
            <w:tcW w:w="166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w:t>
            </w:r>
          </w:p>
        </w:tc>
        <w:tc>
          <w:tcPr>
            <w:tcW w:w="1000" w:type="dxa"/>
            <w:vAlign w:val="bottom"/>
          </w:tcPr>
          <w:p>
            <w:pPr>
              <w:jc w:val="right"/>
              <w:ind w:right="37"/>
              <w:spacing w:after="0"/>
              <w:rPr>
                <w:sz w:val="20"/>
                <w:szCs w:val="20"/>
                <w:color w:val="auto"/>
              </w:rPr>
            </w:pPr>
            <w:r>
              <w:rPr>
                <w:rFonts w:ascii="Arial" w:cs="Arial" w:eastAsia="Arial" w:hAnsi="Arial"/>
                <w:sz w:val="13"/>
                <w:szCs w:val="13"/>
                <w:b w:val="1"/>
                <w:bCs w:val="1"/>
                <w:color w:val="auto"/>
              </w:rPr>
              <w:t>(56,429)</w:t>
            </w:r>
          </w:p>
        </w:tc>
        <w:tc>
          <w:tcPr>
            <w:tcW w:w="3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97"/>
              <w:spacing w:after="0"/>
              <w:rPr>
                <w:sz w:val="20"/>
                <w:szCs w:val="20"/>
                <w:color w:val="auto"/>
              </w:rPr>
            </w:pPr>
            <w:r>
              <w:rPr>
                <w:rFonts w:ascii="Arial" w:cs="Arial" w:eastAsia="Arial" w:hAnsi="Arial"/>
                <w:sz w:val="13"/>
                <w:szCs w:val="13"/>
                <w:color w:val="auto"/>
              </w:rPr>
              <w:t>61,384</w:t>
            </w:r>
          </w:p>
        </w:tc>
        <w:tc>
          <w:tcPr>
            <w:tcW w:w="560" w:type="dxa"/>
            <w:vAlign w:val="bottom"/>
          </w:tcPr>
          <w:p>
            <w:pPr>
              <w:jc w:val="right"/>
              <w:ind w:right="317"/>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(51,930)</w:t>
            </w:r>
          </w:p>
        </w:tc>
      </w:tr>
      <w:tr>
        <w:trPr>
          <w:trHeight w:val="134"/>
        </w:trPr>
        <w:tc>
          <w:tcPr>
            <w:tcW w:w="54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Adjustments to reconcile net earnings (loss) to net cash provided by operating</w:t>
            </w:r>
          </w:p>
        </w:tc>
        <w:tc>
          <w:tcPr>
            <w:tcW w:w="12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r>
      <w:tr>
        <w:trPr>
          <w:trHeight w:val="149"/>
        </w:trPr>
        <w:tc>
          <w:tcPr>
            <w:tcW w:w="5460" w:type="dxa"/>
            <w:vAlign w:val="bottom"/>
            <w:shd w:val="clear" w:color="auto" w:fill="CFF0FC"/>
          </w:tcPr>
          <w:p>
            <w:pPr>
              <w:ind w:left="100"/>
              <w:spacing w:after="0"/>
              <w:rPr>
                <w:sz w:val="20"/>
                <w:szCs w:val="20"/>
                <w:color w:val="auto"/>
              </w:rPr>
            </w:pPr>
            <w:r>
              <w:rPr>
                <w:rFonts w:ascii="Arial" w:cs="Arial" w:eastAsia="Arial" w:hAnsi="Arial"/>
                <w:sz w:val="13"/>
                <w:szCs w:val="13"/>
                <w:color w:val="auto"/>
              </w:rPr>
              <w:t>activities:</w:t>
            </w:r>
          </w:p>
        </w:tc>
        <w:tc>
          <w:tcPr>
            <w:tcW w:w="12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r>
      <w:tr>
        <w:trPr>
          <w:trHeight w:val="148"/>
        </w:trPr>
        <w:tc>
          <w:tcPr>
            <w:tcW w:w="5460" w:type="dxa"/>
            <w:vAlign w:val="bottom"/>
          </w:tcPr>
          <w:p>
            <w:pPr>
              <w:ind w:left="260"/>
              <w:spacing w:after="0"/>
              <w:rPr>
                <w:sz w:val="20"/>
                <w:szCs w:val="20"/>
                <w:color w:val="auto"/>
              </w:rPr>
            </w:pPr>
            <w:r>
              <w:rPr>
                <w:rFonts w:ascii="Arial" w:cs="Arial" w:eastAsia="Arial" w:hAnsi="Arial"/>
                <w:sz w:val="13"/>
                <w:szCs w:val="13"/>
                <w:color w:val="auto"/>
              </w:rPr>
              <w:t>Depreciation and amortization</w:t>
            </w:r>
          </w:p>
        </w:tc>
        <w:tc>
          <w:tcPr>
            <w:tcW w:w="1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jc w:val="right"/>
              <w:ind w:right="97"/>
              <w:spacing w:after="0"/>
              <w:rPr>
                <w:sz w:val="20"/>
                <w:szCs w:val="20"/>
                <w:color w:val="auto"/>
              </w:rPr>
            </w:pPr>
            <w:r>
              <w:rPr>
                <w:rFonts w:ascii="Arial" w:cs="Arial" w:eastAsia="Arial" w:hAnsi="Arial"/>
                <w:sz w:val="13"/>
                <w:szCs w:val="13"/>
                <w:b w:val="1"/>
                <w:bCs w:val="1"/>
                <w:color w:val="auto"/>
              </w:rPr>
              <w:t>46,499</w:t>
            </w:r>
          </w:p>
        </w:tc>
        <w:tc>
          <w:tcPr>
            <w:tcW w:w="320" w:type="dxa"/>
            <w:vAlign w:val="bottom"/>
          </w:tcPr>
          <w:p>
            <w:pPr>
              <w:spacing w:after="0"/>
              <w:rPr>
                <w:sz w:val="12"/>
                <w:szCs w:val="12"/>
                <w:color w:val="auto"/>
              </w:rPr>
            </w:pPr>
          </w:p>
        </w:tc>
        <w:tc>
          <w:tcPr>
            <w:tcW w:w="1260" w:type="dxa"/>
            <w:vAlign w:val="bottom"/>
          </w:tcPr>
          <w:p>
            <w:pPr>
              <w:jc w:val="right"/>
              <w:ind w:right="97"/>
              <w:spacing w:after="0"/>
              <w:rPr>
                <w:sz w:val="20"/>
                <w:szCs w:val="20"/>
                <w:color w:val="auto"/>
              </w:rPr>
            </w:pPr>
            <w:r>
              <w:rPr>
                <w:rFonts w:ascii="Arial" w:cs="Arial" w:eastAsia="Arial" w:hAnsi="Arial"/>
                <w:sz w:val="13"/>
                <w:szCs w:val="13"/>
                <w:color w:val="auto"/>
              </w:rPr>
              <w:t>49,574</w:t>
            </w:r>
          </w:p>
        </w:tc>
        <w:tc>
          <w:tcPr>
            <w:tcW w:w="560" w:type="dxa"/>
            <w:vAlign w:val="bottom"/>
          </w:tcPr>
          <w:p>
            <w:pPr>
              <w:spacing w:after="0"/>
              <w:rPr>
                <w:sz w:val="12"/>
                <w:szCs w:val="1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76,939</w:t>
            </w:r>
          </w:p>
        </w:tc>
      </w:tr>
      <w:tr>
        <w:trPr>
          <w:trHeight w:val="148"/>
        </w:trPr>
        <w:tc>
          <w:tcPr>
            <w:tcW w:w="54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Deferred income taxes</w:t>
            </w:r>
          </w:p>
        </w:tc>
        <w:tc>
          <w:tcPr>
            <w:tcW w:w="12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97"/>
              <w:spacing w:after="0"/>
              <w:rPr>
                <w:sz w:val="20"/>
                <w:szCs w:val="20"/>
                <w:color w:val="auto"/>
              </w:rPr>
            </w:pPr>
            <w:r>
              <w:rPr>
                <w:rFonts w:ascii="Arial" w:cs="Arial" w:eastAsia="Arial" w:hAnsi="Arial"/>
                <w:sz w:val="13"/>
                <w:szCs w:val="13"/>
                <w:b w:val="1"/>
                <w:bCs w:val="1"/>
                <w:color w:val="auto"/>
              </w:rPr>
              <w:t>39,142</w:t>
            </w: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rPr>
              <w:t>660</w:t>
            </w:r>
          </w:p>
        </w:tc>
        <w:tc>
          <w:tcPr>
            <w:tcW w:w="56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272</w:t>
            </w:r>
          </w:p>
        </w:tc>
      </w:tr>
      <w:tr>
        <w:trPr>
          <w:trHeight w:val="148"/>
        </w:trPr>
        <w:tc>
          <w:tcPr>
            <w:tcW w:w="5460" w:type="dxa"/>
            <w:vAlign w:val="bottom"/>
          </w:tcPr>
          <w:p>
            <w:pPr>
              <w:ind w:left="260"/>
              <w:spacing w:after="0"/>
              <w:rPr>
                <w:sz w:val="20"/>
                <w:szCs w:val="20"/>
                <w:color w:val="auto"/>
              </w:rPr>
            </w:pPr>
            <w:r>
              <w:rPr>
                <w:rFonts w:ascii="Arial" w:cs="Arial" w:eastAsia="Arial" w:hAnsi="Arial"/>
                <w:sz w:val="13"/>
                <w:szCs w:val="13"/>
                <w:color w:val="auto"/>
              </w:rPr>
              <w:t>Impairment of intangible assets</w:t>
            </w:r>
          </w:p>
        </w:tc>
        <w:tc>
          <w:tcPr>
            <w:tcW w:w="1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jc w:val="right"/>
              <w:ind w:right="97"/>
              <w:spacing w:after="0"/>
              <w:rPr>
                <w:sz w:val="20"/>
                <w:szCs w:val="20"/>
                <w:color w:val="auto"/>
              </w:rPr>
            </w:pPr>
            <w:r>
              <w:rPr>
                <w:rFonts w:ascii="Arial" w:cs="Arial" w:eastAsia="Arial" w:hAnsi="Arial"/>
                <w:sz w:val="13"/>
                <w:szCs w:val="13"/>
                <w:b w:val="1"/>
                <w:bCs w:val="1"/>
                <w:color w:val="auto"/>
              </w:rPr>
              <w:t>84,519</w:t>
            </w:r>
          </w:p>
        </w:tc>
        <w:tc>
          <w:tcPr>
            <w:tcW w:w="320" w:type="dxa"/>
            <w:vAlign w:val="bottom"/>
          </w:tcPr>
          <w:p>
            <w:pPr>
              <w:spacing w:after="0"/>
              <w:rPr>
                <w:sz w:val="12"/>
                <w:szCs w:val="12"/>
                <w:color w:val="auto"/>
              </w:rPr>
            </w:pPr>
          </w:p>
        </w:tc>
        <w:tc>
          <w:tcPr>
            <w:tcW w:w="1260" w:type="dxa"/>
            <w:vAlign w:val="bottom"/>
          </w:tcPr>
          <w:p>
            <w:pPr>
              <w:jc w:val="right"/>
              <w:ind w:right="97"/>
              <w:spacing w:after="0"/>
              <w:rPr>
                <w:sz w:val="20"/>
                <w:szCs w:val="20"/>
                <w:color w:val="auto"/>
              </w:rPr>
            </w:pPr>
            <w:r>
              <w:rPr>
                <w:rFonts w:ascii="Arial" w:cs="Arial" w:eastAsia="Arial" w:hAnsi="Arial"/>
                <w:sz w:val="13"/>
                <w:szCs w:val="13"/>
                <w:color w:val="auto"/>
              </w:rPr>
              <w:t>269</w:t>
            </w:r>
          </w:p>
        </w:tc>
        <w:tc>
          <w:tcPr>
            <w:tcW w:w="560" w:type="dxa"/>
            <w:vAlign w:val="bottom"/>
          </w:tcPr>
          <w:p>
            <w:pPr>
              <w:spacing w:after="0"/>
              <w:rPr>
                <w:sz w:val="12"/>
                <w:szCs w:val="1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5,736</w:t>
            </w:r>
          </w:p>
        </w:tc>
      </w:tr>
      <w:tr>
        <w:trPr>
          <w:trHeight w:val="148"/>
        </w:trPr>
        <w:tc>
          <w:tcPr>
            <w:tcW w:w="54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Impairment of long-lived assets</w:t>
            </w:r>
          </w:p>
        </w:tc>
        <w:tc>
          <w:tcPr>
            <w:tcW w:w="12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97"/>
              <w:spacing w:after="0"/>
              <w:rPr>
                <w:sz w:val="20"/>
                <w:szCs w:val="20"/>
                <w:color w:val="auto"/>
              </w:rPr>
            </w:pPr>
            <w:r>
              <w:rPr>
                <w:rFonts w:ascii="Arial" w:cs="Arial" w:eastAsia="Arial" w:hAnsi="Arial"/>
                <w:sz w:val="13"/>
                <w:szCs w:val="13"/>
                <w:b w:val="1"/>
                <w:bCs w:val="1"/>
                <w:color w:val="auto"/>
              </w:rPr>
              <w:t>13,871</w:t>
            </w: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rPr>
              <w:t>2,827</w:t>
            </w:r>
          </w:p>
        </w:tc>
        <w:tc>
          <w:tcPr>
            <w:tcW w:w="56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5,823</w:t>
            </w:r>
          </w:p>
        </w:tc>
      </w:tr>
      <w:tr>
        <w:trPr>
          <w:trHeight w:val="149"/>
        </w:trPr>
        <w:tc>
          <w:tcPr>
            <w:tcW w:w="5460" w:type="dxa"/>
            <w:vAlign w:val="bottom"/>
          </w:tcPr>
          <w:p>
            <w:pPr>
              <w:ind w:left="260"/>
              <w:spacing w:after="0"/>
              <w:rPr>
                <w:sz w:val="20"/>
                <w:szCs w:val="20"/>
                <w:color w:val="auto"/>
              </w:rPr>
            </w:pPr>
            <w:r>
              <w:rPr>
                <w:rFonts w:ascii="Arial" w:cs="Arial" w:eastAsia="Arial" w:hAnsi="Arial"/>
                <w:sz w:val="13"/>
                <w:szCs w:val="13"/>
                <w:color w:val="auto"/>
              </w:rPr>
              <w:t>Restricted stock expense</w:t>
            </w:r>
          </w:p>
        </w:tc>
        <w:tc>
          <w:tcPr>
            <w:tcW w:w="1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jc w:val="right"/>
              <w:ind w:right="97"/>
              <w:spacing w:after="0"/>
              <w:rPr>
                <w:sz w:val="20"/>
                <w:szCs w:val="20"/>
                <w:color w:val="auto"/>
              </w:rPr>
            </w:pPr>
            <w:r>
              <w:rPr>
                <w:rFonts w:ascii="Arial" w:cs="Arial" w:eastAsia="Arial" w:hAnsi="Arial"/>
                <w:sz w:val="13"/>
                <w:szCs w:val="13"/>
                <w:b w:val="1"/>
                <w:bCs w:val="1"/>
                <w:color w:val="auto"/>
              </w:rPr>
              <w:t>8,460</w:t>
            </w:r>
          </w:p>
        </w:tc>
        <w:tc>
          <w:tcPr>
            <w:tcW w:w="320" w:type="dxa"/>
            <w:vAlign w:val="bottom"/>
          </w:tcPr>
          <w:p>
            <w:pPr>
              <w:spacing w:after="0"/>
              <w:rPr>
                <w:sz w:val="12"/>
                <w:szCs w:val="12"/>
                <w:color w:val="auto"/>
              </w:rPr>
            </w:pPr>
          </w:p>
        </w:tc>
        <w:tc>
          <w:tcPr>
            <w:tcW w:w="1260" w:type="dxa"/>
            <w:vAlign w:val="bottom"/>
          </w:tcPr>
          <w:p>
            <w:pPr>
              <w:jc w:val="right"/>
              <w:ind w:right="97"/>
              <w:spacing w:after="0"/>
              <w:rPr>
                <w:sz w:val="20"/>
                <w:szCs w:val="20"/>
                <w:color w:val="auto"/>
              </w:rPr>
            </w:pPr>
            <w:r>
              <w:rPr>
                <w:rFonts w:ascii="Arial" w:cs="Arial" w:eastAsia="Arial" w:hAnsi="Arial"/>
                <w:sz w:val="13"/>
                <w:szCs w:val="13"/>
                <w:color w:val="auto"/>
              </w:rPr>
              <w:t>10,077</w:t>
            </w:r>
          </w:p>
        </w:tc>
        <w:tc>
          <w:tcPr>
            <w:tcW w:w="560" w:type="dxa"/>
            <w:vAlign w:val="bottom"/>
          </w:tcPr>
          <w:p>
            <w:pPr>
              <w:spacing w:after="0"/>
              <w:rPr>
                <w:sz w:val="12"/>
                <w:szCs w:val="1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13,437</w:t>
            </w:r>
          </w:p>
        </w:tc>
      </w:tr>
      <w:tr>
        <w:trPr>
          <w:trHeight w:val="148"/>
        </w:trPr>
        <w:tc>
          <w:tcPr>
            <w:tcW w:w="54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Provision for discontinued operations</w:t>
            </w:r>
          </w:p>
        </w:tc>
        <w:tc>
          <w:tcPr>
            <w:tcW w:w="12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97"/>
              <w:spacing w:after="0"/>
              <w:rPr>
                <w:sz w:val="20"/>
                <w:szCs w:val="20"/>
                <w:color w:val="auto"/>
              </w:rPr>
            </w:pPr>
            <w:r>
              <w:rPr>
                <w:rFonts w:ascii="Arial" w:cs="Arial" w:eastAsia="Arial" w:hAnsi="Arial"/>
                <w:sz w:val="13"/>
                <w:szCs w:val="13"/>
                <w:b w:val="1"/>
                <w:bCs w:val="1"/>
                <w:color w:val="auto"/>
              </w:rPr>
              <w:t>345</w:t>
            </w: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rPr>
              <w:t>425</w:t>
            </w:r>
          </w:p>
        </w:tc>
        <w:tc>
          <w:tcPr>
            <w:tcW w:w="56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743</w:t>
            </w:r>
          </w:p>
        </w:tc>
      </w:tr>
      <w:tr>
        <w:trPr>
          <w:trHeight w:val="148"/>
        </w:trPr>
        <w:tc>
          <w:tcPr>
            <w:tcW w:w="5460" w:type="dxa"/>
            <w:vAlign w:val="bottom"/>
          </w:tcPr>
          <w:p>
            <w:pPr>
              <w:ind w:left="260"/>
              <w:spacing w:after="0"/>
              <w:rPr>
                <w:sz w:val="20"/>
                <w:szCs w:val="20"/>
                <w:color w:val="auto"/>
              </w:rPr>
            </w:pPr>
            <w:r>
              <w:rPr>
                <w:rFonts w:ascii="Arial" w:cs="Arial" w:eastAsia="Arial" w:hAnsi="Arial"/>
                <w:sz w:val="13"/>
                <w:szCs w:val="13"/>
                <w:color w:val="auto"/>
              </w:rPr>
              <w:t>Loss on sale of business</w:t>
            </w:r>
          </w:p>
        </w:tc>
        <w:tc>
          <w:tcPr>
            <w:tcW w:w="1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jc w:val="right"/>
              <w:ind w:right="97"/>
              <w:spacing w:after="0"/>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2"/>
                <w:szCs w:val="12"/>
                <w:color w:val="auto"/>
              </w:rPr>
            </w:pPr>
          </w:p>
        </w:tc>
        <w:tc>
          <w:tcPr>
            <w:tcW w:w="1260" w:type="dxa"/>
            <w:vAlign w:val="bottom"/>
          </w:tcPr>
          <w:p>
            <w:pPr>
              <w:jc w:val="right"/>
              <w:ind w:right="97"/>
              <w:spacing w:after="0"/>
              <w:rPr>
                <w:sz w:val="20"/>
                <w:szCs w:val="20"/>
                <w:color w:val="auto"/>
              </w:rPr>
            </w:pPr>
            <w:r>
              <w:rPr>
                <w:rFonts w:ascii="Arial" w:cs="Arial" w:eastAsia="Arial" w:hAnsi="Arial"/>
                <w:sz w:val="13"/>
                <w:szCs w:val="13"/>
                <w:color w:val="auto"/>
              </w:rPr>
              <w:t>86</w:t>
            </w:r>
          </w:p>
        </w:tc>
        <w:tc>
          <w:tcPr>
            <w:tcW w:w="560" w:type="dxa"/>
            <w:vAlign w:val="bottom"/>
          </w:tcPr>
          <w:p>
            <w:pPr>
              <w:spacing w:after="0"/>
              <w:rPr>
                <w:sz w:val="12"/>
                <w:szCs w:val="1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126,321</w:t>
            </w:r>
          </w:p>
        </w:tc>
      </w:tr>
      <w:tr>
        <w:trPr>
          <w:trHeight w:val="148"/>
        </w:trPr>
        <w:tc>
          <w:tcPr>
            <w:tcW w:w="54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Loss on pension plan termination</w:t>
            </w:r>
          </w:p>
        </w:tc>
        <w:tc>
          <w:tcPr>
            <w:tcW w:w="12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97"/>
              <w:spacing w:after="0"/>
              <w:rPr>
                <w:sz w:val="20"/>
                <w:szCs w:val="20"/>
                <w:color w:val="auto"/>
              </w:rPr>
            </w:pPr>
            <w:r>
              <w:rPr>
                <w:rFonts w:ascii="Arial" w:cs="Arial" w:eastAsia="Arial" w:hAnsi="Arial"/>
                <w:sz w:val="13"/>
                <w:szCs w:val="13"/>
                <w:b w:val="1"/>
                <w:bCs w:val="1"/>
                <w:color w:val="auto"/>
              </w:rPr>
              <w:t>—</w:t>
            </w: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rPr>
              <w:t>11,510</w:t>
            </w:r>
          </w:p>
        </w:tc>
        <w:tc>
          <w:tcPr>
            <w:tcW w:w="56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r>
      <w:tr>
        <w:trPr>
          <w:trHeight w:val="148"/>
        </w:trPr>
        <w:tc>
          <w:tcPr>
            <w:tcW w:w="5460" w:type="dxa"/>
            <w:vAlign w:val="bottom"/>
          </w:tcPr>
          <w:p>
            <w:pPr>
              <w:ind w:left="260"/>
              <w:spacing w:after="0"/>
              <w:rPr>
                <w:sz w:val="20"/>
                <w:szCs w:val="20"/>
                <w:color w:val="auto"/>
              </w:rPr>
            </w:pPr>
            <w:r>
              <w:rPr>
                <w:rFonts w:ascii="Arial" w:cs="Arial" w:eastAsia="Arial" w:hAnsi="Arial"/>
                <w:sz w:val="13"/>
                <w:szCs w:val="13"/>
                <w:color w:val="auto"/>
              </w:rPr>
              <w:t>Other</w:t>
            </w:r>
          </w:p>
        </w:tc>
        <w:tc>
          <w:tcPr>
            <w:tcW w:w="1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jc w:val="right"/>
              <w:ind w:right="97"/>
              <w:spacing w:after="0"/>
              <w:rPr>
                <w:sz w:val="20"/>
                <w:szCs w:val="20"/>
                <w:color w:val="auto"/>
              </w:rPr>
            </w:pPr>
            <w:r>
              <w:rPr>
                <w:rFonts w:ascii="Arial" w:cs="Arial" w:eastAsia="Arial" w:hAnsi="Arial"/>
                <w:sz w:val="13"/>
                <w:szCs w:val="13"/>
                <w:b w:val="1"/>
                <w:bCs w:val="1"/>
                <w:color w:val="auto"/>
              </w:rPr>
              <w:t>3,916</w:t>
            </w:r>
          </w:p>
        </w:tc>
        <w:tc>
          <w:tcPr>
            <w:tcW w:w="320" w:type="dxa"/>
            <w:vAlign w:val="bottom"/>
          </w:tcPr>
          <w:p>
            <w:pPr>
              <w:spacing w:after="0"/>
              <w:rPr>
                <w:sz w:val="12"/>
                <w:szCs w:val="12"/>
                <w:color w:val="auto"/>
              </w:rPr>
            </w:pPr>
          </w:p>
        </w:tc>
        <w:tc>
          <w:tcPr>
            <w:tcW w:w="1260" w:type="dxa"/>
            <w:vAlign w:val="bottom"/>
          </w:tcPr>
          <w:p>
            <w:pPr>
              <w:jc w:val="right"/>
              <w:ind w:right="97"/>
              <w:spacing w:after="0"/>
              <w:rPr>
                <w:sz w:val="20"/>
                <w:szCs w:val="20"/>
                <w:color w:val="auto"/>
              </w:rPr>
            </w:pPr>
            <w:r>
              <w:rPr>
                <w:rFonts w:ascii="Arial" w:cs="Arial" w:eastAsia="Arial" w:hAnsi="Arial"/>
                <w:sz w:val="13"/>
                <w:szCs w:val="13"/>
                <w:color w:val="auto"/>
              </w:rPr>
              <w:t>568</w:t>
            </w:r>
          </w:p>
        </w:tc>
        <w:tc>
          <w:tcPr>
            <w:tcW w:w="560" w:type="dxa"/>
            <w:vAlign w:val="bottom"/>
          </w:tcPr>
          <w:p>
            <w:pPr>
              <w:spacing w:after="0"/>
              <w:rPr>
                <w:sz w:val="12"/>
                <w:szCs w:val="1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2,460</w:t>
            </w:r>
          </w:p>
        </w:tc>
      </w:tr>
      <w:tr>
        <w:trPr>
          <w:trHeight w:val="134"/>
        </w:trPr>
        <w:tc>
          <w:tcPr>
            <w:tcW w:w="54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Changes in working capital and other assets and liabilities, net of</w:t>
            </w:r>
          </w:p>
        </w:tc>
        <w:tc>
          <w:tcPr>
            <w:tcW w:w="12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r>
      <w:tr>
        <w:trPr>
          <w:trHeight w:val="149"/>
        </w:trPr>
        <w:tc>
          <w:tcPr>
            <w:tcW w:w="5460" w:type="dxa"/>
            <w:vAlign w:val="bottom"/>
            <w:shd w:val="clear" w:color="auto" w:fill="CFF0FC"/>
          </w:tcPr>
          <w:p>
            <w:pPr>
              <w:ind w:left="100"/>
              <w:spacing w:after="0"/>
              <w:rPr>
                <w:sz w:val="20"/>
                <w:szCs w:val="20"/>
                <w:color w:val="auto"/>
              </w:rPr>
            </w:pPr>
            <w:r>
              <w:rPr>
                <w:rFonts w:ascii="Arial" w:cs="Arial" w:eastAsia="Arial" w:hAnsi="Arial"/>
                <w:sz w:val="13"/>
                <w:szCs w:val="13"/>
                <w:color w:val="auto"/>
              </w:rPr>
              <w:t>acquisitions/dispositions:</w:t>
            </w:r>
          </w:p>
        </w:tc>
        <w:tc>
          <w:tcPr>
            <w:tcW w:w="12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r>
      <w:tr>
        <w:trPr>
          <w:trHeight w:val="149"/>
        </w:trPr>
        <w:tc>
          <w:tcPr>
            <w:tcW w:w="5460" w:type="dxa"/>
            <w:vAlign w:val="bottom"/>
          </w:tcPr>
          <w:p>
            <w:pPr>
              <w:ind w:left="260"/>
              <w:spacing w:after="0"/>
              <w:rPr>
                <w:sz w:val="20"/>
                <w:szCs w:val="20"/>
                <w:color w:val="auto"/>
              </w:rPr>
            </w:pPr>
            <w:r>
              <w:rPr>
                <w:rFonts w:ascii="Arial" w:cs="Arial" w:eastAsia="Arial" w:hAnsi="Arial"/>
                <w:sz w:val="13"/>
                <w:szCs w:val="13"/>
                <w:color w:val="auto"/>
              </w:rPr>
              <w:t>Accounts receivable</w:t>
            </w:r>
          </w:p>
        </w:tc>
        <w:tc>
          <w:tcPr>
            <w:tcW w:w="1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b w:val="1"/>
                <w:bCs w:val="1"/>
                <w:color w:val="auto"/>
              </w:rPr>
              <w:t>(4,159)</w:t>
            </w:r>
          </w:p>
        </w:tc>
        <w:tc>
          <w:tcPr>
            <w:tcW w:w="320" w:type="dxa"/>
            <w:vAlign w:val="bottom"/>
          </w:tcPr>
          <w:p>
            <w:pPr>
              <w:spacing w:after="0"/>
              <w:rPr>
                <w:sz w:val="12"/>
                <w:szCs w:val="12"/>
                <w:color w:val="auto"/>
              </w:rPr>
            </w:pPr>
          </w:p>
        </w:tc>
        <w:tc>
          <w:tcPr>
            <w:tcW w:w="1260" w:type="dxa"/>
            <w:vAlign w:val="bottom"/>
          </w:tcPr>
          <w:p>
            <w:pPr>
              <w:jc w:val="right"/>
              <w:ind w:right="97"/>
              <w:spacing w:after="0"/>
              <w:rPr>
                <w:sz w:val="20"/>
                <w:szCs w:val="20"/>
                <w:color w:val="auto"/>
              </w:rPr>
            </w:pPr>
            <w:r>
              <w:rPr>
                <w:rFonts w:ascii="Arial" w:cs="Arial" w:eastAsia="Arial" w:hAnsi="Arial"/>
                <w:sz w:val="13"/>
                <w:szCs w:val="13"/>
                <w:color w:val="auto"/>
              </w:rPr>
              <w:t>656</w:t>
            </w:r>
          </w:p>
        </w:tc>
        <w:tc>
          <w:tcPr>
            <w:tcW w:w="560" w:type="dxa"/>
            <w:vAlign w:val="bottom"/>
          </w:tcPr>
          <w:p>
            <w:pPr>
              <w:spacing w:after="0"/>
              <w:rPr>
                <w:sz w:val="12"/>
                <w:szCs w:val="1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6,312</w:t>
            </w:r>
          </w:p>
        </w:tc>
      </w:tr>
      <w:tr>
        <w:trPr>
          <w:trHeight w:val="148"/>
        </w:trPr>
        <w:tc>
          <w:tcPr>
            <w:tcW w:w="54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Inventories</w:t>
            </w:r>
          </w:p>
        </w:tc>
        <w:tc>
          <w:tcPr>
            <w:tcW w:w="12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97"/>
              <w:spacing w:after="0"/>
              <w:rPr>
                <w:sz w:val="20"/>
                <w:szCs w:val="20"/>
                <w:color w:val="auto"/>
              </w:rPr>
            </w:pPr>
            <w:r>
              <w:rPr>
                <w:rFonts w:ascii="Arial" w:cs="Arial" w:eastAsia="Arial" w:hAnsi="Arial"/>
                <w:sz w:val="13"/>
                <w:szCs w:val="13"/>
                <w:b w:val="1"/>
                <w:bCs w:val="1"/>
                <w:color w:val="auto"/>
              </w:rPr>
              <w:t>76,525</w:t>
            </w: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rPr>
              <w:t>1,930</w:t>
            </w:r>
          </w:p>
        </w:tc>
        <w:tc>
          <w:tcPr>
            <w:tcW w:w="56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2,684</w:t>
            </w:r>
          </w:p>
        </w:tc>
      </w:tr>
      <w:tr>
        <w:trPr>
          <w:trHeight w:val="148"/>
        </w:trPr>
        <w:tc>
          <w:tcPr>
            <w:tcW w:w="5460" w:type="dxa"/>
            <w:vAlign w:val="bottom"/>
          </w:tcPr>
          <w:p>
            <w:pPr>
              <w:ind w:left="260"/>
              <w:spacing w:after="0"/>
              <w:rPr>
                <w:sz w:val="20"/>
                <w:szCs w:val="20"/>
                <w:color w:val="auto"/>
              </w:rPr>
            </w:pPr>
            <w:r>
              <w:rPr>
                <w:rFonts w:ascii="Arial" w:cs="Arial" w:eastAsia="Arial" w:hAnsi="Arial"/>
                <w:sz w:val="13"/>
                <w:szCs w:val="13"/>
                <w:color w:val="auto"/>
              </w:rPr>
              <w:t>Prepaids and other current assets</w:t>
            </w:r>
          </w:p>
        </w:tc>
        <w:tc>
          <w:tcPr>
            <w:tcW w:w="1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b w:val="1"/>
                <w:bCs w:val="1"/>
                <w:color w:val="auto"/>
              </w:rPr>
              <w:t>(97,842)</w:t>
            </w:r>
          </w:p>
        </w:tc>
        <w:tc>
          <w:tcPr>
            <w:tcW w:w="320" w:type="dxa"/>
            <w:vAlign w:val="bottom"/>
          </w:tcPr>
          <w:p>
            <w:pPr>
              <w:spacing w:after="0"/>
              <w:rPr>
                <w:sz w:val="12"/>
                <w:szCs w:val="12"/>
                <w:color w:val="auto"/>
              </w:rPr>
            </w:pPr>
          </w:p>
        </w:tc>
        <w:tc>
          <w:tcPr>
            <w:tcW w:w="1260" w:type="dxa"/>
            <w:vAlign w:val="bottom"/>
          </w:tcPr>
          <w:p>
            <w:pPr>
              <w:jc w:val="right"/>
              <w:ind w:right="97"/>
              <w:spacing w:after="0"/>
              <w:rPr>
                <w:sz w:val="20"/>
                <w:szCs w:val="20"/>
                <w:color w:val="auto"/>
              </w:rPr>
            </w:pPr>
            <w:r>
              <w:rPr>
                <w:rFonts w:ascii="Arial" w:cs="Arial" w:eastAsia="Arial" w:hAnsi="Arial"/>
                <w:sz w:val="13"/>
                <w:szCs w:val="13"/>
                <w:color w:val="auto"/>
              </w:rPr>
              <w:t>16,228</w:t>
            </w:r>
          </w:p>
        </w:tc>
        <w:tc>
          <w:tcPr>
            <w:tcW w:w="5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(9,116)</w:t>
            </w:r>
          </w:p>
        </w:tc>
      </w:tr>
      <w:tr>
        <w:trPr>
          <w:trHeight w:val="148"/>
        </w:trPr>
        <w:tc>
          <w:tcPr>
            <w:tcW w:w="54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Accounts payable</w:t>
            </w:r>
          </w:p>
        </w:tc>
        <w:tc>
          <w:tcPr>
            <w:tcW w:w="12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97"/>
              <w:spacing w:after="0"/>
              <w:rPr>
                <w:sz w:val="20"/>
                <w:szCs w:val="20"/>
                <w:color w:val="auto"/>
              </w:rPr>
            </w:pPr>
            <w:r>
              <w:rPr>
                <w:rFonts w:ascii="Arial" w:cs="Arial" w:eastAsia="Arial" w:hAnsi="Arial"/>
                <w:sz w:val="13"/>
                <w:szCs w:val="13"/>
                <w:b w:val="1"/>
                <w:bCs w:val="1"/>
                <w:color w:val="auto"/>
              </w:rPr>
              <w:t>29,631</w:t>
            </w: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(10,333)</w:t>
            </w:r>
          </w:p>
        </w:tc>
        <w:tc>
          <w:tcPr>
            <w:tcW w:w="56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43,028</w:t>
            </w:r>
          </w:p>
        </w:tc>
      </w:tr>
      <w:tr>
        <w:trPr>
          <w:trHeight w:val="148"/>
        </w:trPr>
        <w:tc>
          <w:tcPr>
            <w:tcW w:w="5460" w:type="dxa"/>
            <w:vAlign w:val="bottom"/>
          </w:tcPr>
          <w:p>
            <w:pPr>
              <w:ind w:left="260"/>
              <w:spacing w:after="0"/>
              <w:rPr>
                <w:sz w:val="20"/>
                <w:szCs w:val="20"/>
                <w:color w:val="auto"/>
              </w:rPr>
            </w:pPr>
            <w:r>
              <w:rPr>
                <w:rFonts w:ascii="Arial" w:cs="Arial" w:eastAsia="Arial" w:hAnsi="Arial"/>
                <w:sz w:val="13"/>
                <w:szCs w:val="13"/>
                <w:color w:val="auto"/>
              </w:rPr>
              <w:t>Other accrued liabilities</w:t>
            </w:r>
          </w:p>
        </w:tc>
        <w:tc>
          <w:tcPr>
            <w:tcW w:w="1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b w:val="1"/>
                <w:bCs w:val="1"/>
                <w:color w:val="auto"/>
              </w:rPr>
              <w:t>(7,732)</w:t>
            </w:r>
          </w:p>
        </w:tc>
        <w:tc>
          <w:tcPr>
            <w:tcW w:w="320" w:type="dxa"/>
            <w:vAlign w:val="bottom"/>
          </w:tcPr>
          <w:p>
            <w:pPr>
              <w:spacing w:after="0"/>
              <w:rPr>
                <w:sz w:val="12"/>
                <w:szCs w:val="12"/>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(20,787)</w:t>
            </w:r>
          </w:p>
        </w:tc>
        <w:tc>
          <w:tcPr>
            <w:tcW w:w="560" w:type="dxa"/>
            <w:vAlign w:val="bottom"/>
          </w:tcPr>
          <w:p>
            <w:pPr>
              <w:spacing w:after="0"/>
              <w:rPr>
                <w:sz w:val="12"/>
                <w:szCs w:val="1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20,713</w:t>
            </w:r>
          </w:p>
        </w:tc>
      </w:tr>
      <w:tr>
        <w:trPr>
          <w:trHeight w:val="149"/>
        </w:trPr>
        <w:tc>
          <w:tcPr>
            <w:tcW w:w="546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3"/>
                <w:szCs w:val="13"/>
                <w:color w:val="auto"/>
              </w:rPr>
              <w:t>Other assets and liabilities</w:t>
            </w:r>
          </w:p>
        </w:tc>
        <w:tc>
          <w:tcPr>
            <w:tcW w:w="1200" w:type="dxa"/>
            <w:vAlign w:val="bottom"/>
            <w:tcBorders>
              <w:bottom w:val="single" w:sz="8" w:color="auto"/>
            </w:tcBorders>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ind w:right="97"/>
              <w:spacing w:after="0"/>
              <w:rPr>
                <w:sz w:val="20"/>
                <w:szCs w:val="20"/>
                <w:color w:val="auto"/>
              </w:rPr>
            </w:pPr>
            <w:r>
              <w:rPr>
                <w:rFonts w:ascii="Arial" w:cs="Arial" w:eastAsia="Arial" w:hAnsi="Arial"/>
                <w:sz w:val="13"/>
                <w:szCs w:val="13"/>
                <w:b w:val="1"/>
                <w:bCs w:val="1"/>
                <w:color w:val="auto"/>
              </w:rPr>
              <w:t>20,995</w:t>
            </w:r>
          </w:p>
        </w:tc>
        <w:tc>
          <w:tcPr>
            <w:tcW w:w="320" w:type="dxa"/>
            <w:vAlign w:val="bottom"/>
            <w:tcBorders>
              <w:bottom w:val="single" w:sz="8" w:color="auto"/>
            </w:tcBorders>
            <w:shd w:val="clear" w:color="auto" w:fill="CFF0FC"/>
          </w:tcPr>
          <w:p>
            <w:pPr>
              <w:spacing w:after="0"/>
              <w:rPr>
                <w:sz w:val="12"/>
                <w:szCs w:val="12"/>
                <w:color w:val="auto"/>
              </w:rPr>
            </w:pPr>
          </w:p>
        </w:tc>
        <w:tc>
          <w:tcPr>
            <w:tcW w:w="126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rPr>
              <w:t>(7,904)</w:t>
            </w:r>
          </w:p>
        </w:tc>
        <w:tc>
          <w:tcPr>
            <w:tcW w:w="56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(6,279)</w:t>
            </w:r>
          </w:p>
        </w:tc>
      </w:tr>
      <w:tr>
        <w:trPr>
          <w:trHeight w:val="142"/>
        </w:trPr>
        <w:tc>
          <w:tcPr>
            <w:tcW w:w="5460" w:type="dxa"/>
            <w:vAlign w:val="bottom"/>
            <w:tcBorders>
              <w:bottom w:val="single" w:sz="8" w:color="auto"/>
            </w:tcBorders>
          </w:tcPr>
          <w:p>
            <w:pPr>
              <w:spacing w:after="0" w:line="142" w:lineRule="exact"/>
              <w:rPr>
                <w:sz w:val="20"/>
                <w:szCs w:val="20"/>
                <w:color w:val="auto"/>
              </w:rPr>
            </w:pPr>
            <w:r>
              <w:rPr>
                <w:rFonts w:ascii="Arial" w:cs="Arial" w:eastAsia="Arial" w:hAnsi="Arial"/>
                <w:sz w:val="13"/>
                <w:szCs w:val="13"/>
                <w:color w:val="auto"/>
              </w:rPr>
              <w:t>Net cash provided by operating activities</w:t>
            </w:r>
          </w:p>
        </w:tc>
        <w:tc>
          <w:tcPr>
            <w:tcW w:w="1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3"/>
                <w:szCs w:val="13"/>
                <w:b w:val="1"/>
                <w:bCs w:val="1"/>
                <w:color w:val="auto"/>
              </w:rPr>
              <w:t>157,741</w:t>
            </w:r>
          </w:p>
        </w:tc>
        <w:tc>
          <w:tcPr>
            <w:tcW w:w="3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3"/>
                <w:szCs w:val="13"/>
                <w:color w:val="auto"/>
              </w:rPr>
              <w:t>117,170</w:t>
            </w:r>
          </w:p>
        </w:tc>
        <w:tc>
          <w:tcPr>
            <w:tcW w:w="5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3"/>
                <w:szCs w:val="13"/>
                <w:color w:val="auto"/>
              </w:rPr>
              <w:t>237,143</w:t>
            </w:r>
          </w:p>
        </w:tc>
      </w:tr>
      <w:tr>
        <w:trPr>
          <w:trHeight w:val="142"/>
        </w:trPr>
        <w:tc>
          <w:tcPr>
            <w:tcW w:w="5460" w:type="dxa"/>
            <w:vAlign w:val="bottom"/>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CASH FLOWS FROM INVESTING ACTIVITIES:</w:t>
            </w:r>
          </w:p>
        </w:tc>
        <w:tc>
          <w:tcPr>
            <w:tcW w:w="12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r>
      <w:tr>
        <w:trPr>
          <w:trHeight w:val="148"/>
        </w:trPr>
        <w:tc>
          <w:tcPr>
            <w:tcW w:w="5460" w:type="dxa"/>
            <w:vAlign w:val="bottom"/>
          </w:tcPr>
          <w:p>
            <w:pPr>
              <w:ind w:left="260"/>
              <w:spacing w:after="0"/>
              <w:rPr>
                <w:sz w:val="20"/>
                <w:szCs w:val="20"/>
                <w:color w:val="auto"/>
              </w:rPr>
            </w:pPr>
            <w:r>
              <w:rPr>
                <w:rFonts w:ascii="Arial" w:cs="Arial" w:eastAsia="Arial" w:hAnsi="Arial"/>
                <w:sz w:val="13"/>
                <w:szCs w:val="13"/>
                <w:color w:val="auto"/>
              </w:rPr>
              <w:t>Capital expenditures</w:t>
            </w:r>
          </w:p>
        </w:tc>
        <w:tc>
          <w:tcPr>
            <w:tcW w:w="1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b w:val="1"/>
                <w:bCs w:val="1"/>
                <w:color w:val="auto"/>
              </w:rPr>
              <w:t>(24,130)</w:t>
            </w:r>
          </w:p>
        </w:tc>
        <w:tc>
          <w:tcPr>
            <w:tcW w:w="320" w:type="dxa"/>
            <w:vAlign w:val="bottom"/>
          </w:tcPr>
          <w:p>
            <w:pPr>
              <w:spacing w:after="0"/>
              <w:rPr>
                <w:sz w:val="12"/>
                <w:szCs w:val="12"/>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(29,767)</w:t>
            </w:r>
          </w:p>
        </w:tc>
        <w:tc>
          <w:tcPr>
            <w:tcW w:w="5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(57,230)</w:t>
            </w:r>
          </w:p>
        </w:tc>
      </w:tr>
      <w:tr>
        <w:trPr>
          <w:trHeight w:val="149"/>
        </w:trPr>
        <w:tc>
          <w:tcPr>
            <w:tcW w:w="54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Other investing activities</w:t>
            </w:r>
          </w:p>
        </w:tc>
        <w:tc>
          <w:tcPr>
            <w:tcW w:w="12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97"/>
              <w:spacing w:after="0"/>
              <w:rPr>
                <w:sz w:val="20"/>
                <w:szCs w:val="20"/>
                <w:color w:val="auto"/>
              </w:rPr>
            </w:pPr>
            <w:r>
              <w:rPr>
                <w:rFonts w:ascii="Arial" w:cs="Arial" w:eastAsia="Arial" w:hAnsi="Arial"/>
                <w:sz w:val="13"/>
                <w:szCs w:val="13"/>
                <w:b w:val="1"/>
                <w:bCs w:val="1"/>
                <w:color w:val="auto"/>
              </w:rPr>
              <w:t>—</w:t>
            </w: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rPr>
              <w:t>171</w:t>
            </w:r>
          </w:p>
        </w:tc>
        <w:tc>
          <w:tcPr>
            <w:tcW w:w="56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1,505</w:t>
            </w:r>
          </w:p>
        </w:tc>
      </w:tr>
      <w:tr>
        <w:trPr>
          <w:trHeight w:val="148"/>
        </w:trPr>
        <w:tc>
          <w:tcPr>
            <w:tcW w:w="5460" w:type="dxa"/>
            <w:vAlign w:val="bottom"/>
          </w:tcPr>
          <w:p>
            <w:pPr>
              <w:ind w:left="260"/>
              <w:spacing w:after="0"/>
              <w:rPr>
                <w:sz w:val="20"/>
                <w:szCs w:val="20"/>
                <w:color w:val="auto"/>
              </w:rPr>
            </w:pPr>
            <w:r>
              <w:rPr>
                <w:rFonts w:ascii="Arial" w:cs="Arial" w:eastAsia="Arial" w:hAnsi="Arial"/>
                <w:sz w:val="13"/>
                <w:szCs w:val="13"/>
                <w:color w:val="auto"/>
              </w:rPr>
              <w:t>Acquisitions, net of cash acquired</w:t>
            </w:r>
          </w:p>
        </w:tc>
        <w:tc>
          <w:tcPr>
            <w:tcW w:w="1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jc w:val="right"/>
              <w:ind w:right="97"/>
              <w:spacing w:after="0"/>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2"/>
                <w:szCs w:val="12"/>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(33,524)</w:t>
            </w:r>
          </w:p>
        </w:tc>
        <w:tc>
          <w:tcPr>
            <w:tcW w:w="560" w:type="dxa"/>
            <w:vAlign w:val="bottom"/>
          </w:tcPr>
          <w:p>
            <w:pPr>
              <w:spacing w:after="0"/>
              <w:rPr>
                <w:sz w:val="12"/>
                <w:szCs w:val="1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w:t>
            </w:r>
          </w:p>
        </w:tc>
      </w:tr>
      <w:tr>
        <w:trPr>
          <w:trHeight w:val="148"/>
        </w:trPr>
        <w:tc>
          <w:tcPr>
            <w:tcW w:w="54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(payments for) sale of businesses</w:t>
            </w:r>
          </w:p>
        </w:tc>
        <w:tc>
          <w:tcPr>
            <w:tcW w:w="12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97"/>
              <w:spacing w:after="0"/>
              <w:rPr>
                <w:sz w:val="20"/>
                <w:szCs w:val="20"/>
                <w:color w:val="auto"/>
              </w:rPr>
            </w:pPr>
            <w:r>
              <w:rPr>
                <w:rFonts w:ascii="Arial" w:cs="Arial" w:eastAsia="Arial" w:hAnsi="Arial"/>
                <w:sz w:val="13"/>
                <w:szCs w:val="13"/>
                <w:b w:val="1"/>
                <w:bCs w:val="1"/>
                <w:color w:val="auto"/>
              </w:rPr>
              <w:t>—</w:t>
            </w: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rPr>
              <w:t>98,677</w:t>
            </w:r>
          </w:p>
        </w:tc>
        <w:tc>
          <w:tcPr>
            <w:tcW w:w="5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(1,088)</w:t>
            </w:r>
          </w:p>
        </w:tc>
      </w:tr>
      <w:tr>
        <w:trPr>
          <w:trHeight w:val="148"/>
        </w:trPr>
        <w:tc>
          <w:tcPr>
            <w:tcW w:w="5460" w:type="dxa"/>
            <w:vAlign w:val="bottom"/>
            <w:tcBorders>
              <w:bottom w:val="single" w:sz="8" w:color="auto"/>
            </w:tcBorders>
          </w:tcPr>
          <w:p>
            <w:pPr>
              <w:ind w:left="260"/>
              <w:spacing w:after="0"/>
              <w:rPr>
                <w:sz w:val="20"/>
                <w:szCs w:val="20"/>
                <w:color w:val="auto"/>
              </w:rPr>
            </w:pPr>
            <w:r>
              <w:rPr>
                <w:rFonts w:ascii="Arial" w:cs="Arial" w:eastAsia="Arial" w:hAnsi="Arial"/>
                <w:sz w:val="13"/>
                <w:szCs w:val="13"/>
                <w:color w:val="auto"/>
              </w:rPr>
              <w:t>Proceeds from asset sales</w:t>
            </w:r>
          </w:p>
        </w:tc>
        <w:tc>
          <w:tcPr>
            <w:tcW w:w="1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110</w:t>
            </w:r>
          </w:p>
        </w:tc>
        <w:tc>
          <w:tcPr>
            <w:tcW w:w="3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17,751</w:t>
            </w:r>
          </w:p>
        </w:tc>
        <w:tc>
          <w:tcPr>
            <w:tcW w:w="5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310</w:t>
            </w:r>
          </w:p>
        </w:tc>
      </w:tr>
      <w:tr>
        <w:trPr>
          <w:trHeight w:val="142"/>
        </w:trPr>
        <w:tc>
          <w:tcPr>
            <w:tcW w:w="5460" w:type="dxa"/>
            <w:vAlign w:val="bottom"/>
            <w:tcBorders>
              <w:bottom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rPr>
              <w:t>Net cash provided by (used in) investing activities</w:t>
            </w:r>
          </w:p>
        </w:tc>
        <w:tc>
          <w:tcPr>
            <w:tcW w:w="1200" w:type="dxa"/>
            <w:vAlign w:val="bottom"/>
            <w:tcBorders>
              <w:bottom w:val="single" w:sz="8" w:color="auto"/>
            </w:tcBorders>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ind w:right="37"/>
              <w:spacing w:after="0" w:line="142" w:lineRule="exact"/>
              <w:rPr>
                <w:sz w:val="20"/>
                <w:szCs w:val="20"/>
                <w:color w:val="auto"/>
              </w:rPr>
            </w:pPr>
            <w:r>
              <w:rPr>
                <w:rFonts w:ascii="Arial" w:cs="Arial" w:eastAsia="Arial" w:hAnsi="Arial"/>
                <w:sz w:val="13"/>
                <w:szCs w:val="13"/>
                <w:b w:val="1"/>
                <w:bCs w:val="1"/>
                <w:color w:val="auto"/>
              </w:rPr>
              <w:t>(24,020)</w:t>
            </w:r>
          </w:p>
        </w:tc>
        <w:tc>
          <w:tcPr>
            <w:tcW w:w="320" w:type="dxa"/>
            <w:vAlign w:val="bottom"/>
            <w:tcBorders>
              <w:bottom w:val="single" w:sz="8" w:color="auto"/>
            </w:tcBorders>
            <w:shd w:val="clear" w:color="auto" w:fill="CFF0FC"/>
          </w:tcPr>
          <w:p>
            <w:pPr>
              <w:spacing w:after="0"/>
              <w:rPr>
                <w:sz w:val="12"/>
                <w:szCs w:val="12"/>
                <w:color w:val="auto"/>
              </w:rPr>
            </w:pPr>
          </w:p>
        </w:tc>
        <w:tc>
          <w:tcPr>
            <w:tcW w:w="1260" w:type="dxa"/>
            <w:vAlign w:val="bottom"/>
            <w:tcBorders>
              <w:bottom w:val="single" w:sz="8" w:color="auto"/>
            </w:tcBorders>
            <w:shd w:val="clear" w:color="auto" w:fill="CFF0FC"/>
          </w:tcPr>
          <w:p>
            <w:pPr>
              <w:jc w:val="right"/>
              <w:ind w:right="97"/>
              <w:spacing w:after="0" w:line="142" w:lineRule="exact"/>
              <w:rPr>
                <w:sz w:val="20"/>
                <w:szCs w:val="20"/>
                <w:color w:val="auto"/>
              </w:rPr>
            </w:pPr>
            <w:r>
              <w:rPr>
                <w:rFonts w:ascii="Arial" w:cs="Arial" w:eastAsia="Arial" w:hAnsi="Arial"/>
                <w:sz w:val="13"/>
                <w:szCs w:val="13"/>
                <w:color w:val="auto"/>
              </w:rPr>
              <w:t>53,308</w:t>
            </w:r>
          </w:p>
        </w:tc>
        <w:tc>
          <w:tcPr>
            <w:tcW w:w="56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(56,503)</w:t>
            </w:r>
          </w:p>
        </w:tc>
      </w:tr>
      <w:tr>
        <w:trPr>
          <w:trHeight w:val="142"/>
        </w:trPr>
        <w:tc>
          <w:tcPr>
            <w:tcW w:w="5460" w:type="dxa"/>
            <w:vAlign w:val="bottom"/>
          </w:tcPr>
          <w:p>
            <w:pPr>
              <w:spacing w:after="0" w:line="142" w:lineRule="exact"/>
              <w:rPr>
                <w:sz w:val="20"/>
                <w:szCs w:val="20"/>
                <w:color w:val="auto"/>
              </w:rPr>
            </w:pPr>
            <w:r>
              <w:rPr>
                <w:rFonts w:ascii="Arial" w:cs="Arial" w:eastAsia="Arial" w:hAnsi="Arial"/>
                <w:sz w:val="13"/>
                <w:szCs w:val="13"/>
                <w:b w:val="1"/>
                <w:bCs w:val="1"/>
                <w:color w:val="auto"/>
              </w:rPr>
              <w:t>CASH FLOWS FROM FINANCING ACTIVITIES:</w:t>
            </w:r>
          </w:p>
        </w:tc>
        <w:tc>
          <w:tcPr>
            <w:tcW w:w="1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8"/>
        </w:trPr>
        <w:tc>
          <w:tcPr>
            <w:tcW w:w="54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Payments of long-term debt</w:t>
            </w:r>
          </w:p>
        </w:tc>
        <w:tc>
          <w:tcPr>
            <w:tcW w:w="12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97"/>
              <w:spacing w:after="0"/>
              <w:rPr>
                <w:sz w:val="20"/>
                <w:szCs w:val="20"/>
                <w:color w:val="auto"/>
              </w:rPr>
            </w:pPr>
            <w:r>
              <w:rPr>
                <w:rFonts w:ascii="Arial" w:cs="Arial" w:eastAsia="Arial" w:hAnsi="Arial"/>
                <w:sz w:val="13"/>
                <w:szCs w:val="13"/>
                <w:b w:val="1"/>
                <w:bCs w:val="1"/>
                <w:color w:val="auto"/>
              </w:rPr>
              <w:t>—</w:t>
            </w: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(9,133)</w:t>
            </w:r>
          </w:p>
        </w:tc>
        <w:tc>
          <w:tcPr>
            <w:tcW w:w="5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(1,650)</w:t>
            </w:r>
          </w:p>
        </w:tc>
      </w:tr>
      <w:tr>
        <w:trPr>
          <w:trHeight w:val="149"/>
        </w:trPr>
        <w:tc>
          <w:tcPr>
            <w:tcW w:w="5460" w:type="dxa"/>
            <w:vAlign w:val="bottom"/>
          </w:tcPr>
          <w:p>
            <w:pPr>
              <w:ind w:left="260"/>
              <w:spacing w:after="0"/>
              <w:rPr>
                <w:sz w:val="20"/>
                <w:szCs w:val="20"/>
                <w:color w:val="auto"/>
              </w:rPr>
            </w:pPr>
            <w:r>
              <w:rPr>
                <w:rFonts w:ascii="Arial" w:cs="Arial" w:eastAsia="Arial" w:hAnsi="Arial"/>
                <w:sz w:val="13"/>
                <w:szCs w:val="13"/>
                <w:color w:val="auto"/>
              </w:rPr>
              <w:t>Borrowings under revolving credit facility</w:t>
            </w:r>
          </w:p>
        </w:tc>
        <w:tc>
          <w:tcPr>
            <w:tcW w:w="1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jc w:val="right"/>
              <w:ind w:right="97"/>
              <w:spacing w:after="0"/>
              <w:rPr>
                <w:sz w:val="20"/>
                <w:szCs w:val="20"/>
                <w:color w:val="auto"/>
              </w:rPr>
            </w:pPr>
            <w:r>
              <w:rPr>
                <w:rFonts w:ascii="Arial" w:cs="Arial" w:eastAsia="Arial" w:hAnsi="Arial"/>
                <w:sz w:val="13"/>
                <w:szCs w:val="13"/>
                <w:b w:val="1"/>
                <w:bCs w:val="1"/>
                <w:color w:val="auto"/>
              </w:rPr>
              <w:t>221,310</w:t>
            </w:r>
          </w:p>
        </w:tc>
        <w:tc>
          <w:tcPr>
            <w:tcW w:w="320" w:type="dxa"/>
            <w:vAlign w:val="bottom"/>
          </w:tcPr>
          <w:p>
            <w:pPr>
              <w:spacing w:after="0"/>
              <w:rPr>
                <w:sz w:val="12"/>
                <w:szCs w:val="12"/>
                <w:color w:val="auto"/>
              </w:rPr>
            </w:pPr>
          </w:p>
        </w:tc>
        <w:tc>
          <w:tcPr>
            <w:tcW w:w="1260" w:type="dxa"/>
            <w:vAlign w:val="bottom"/>
          </w:tcPr>
          <w:p>
            <w:pPr>
              <w:jc w:val="right"/>
              <w:ind w:right="97"/>
              <w:spacing w:after="0"/>
              <w:rPr>
                <w:sz w:val="20"/>
                <w:szCs w:val="20"/>
                <w:color w:val="auto"/>
              </w:rPr>
            </w:pPr>
            <w:r>
              <w:rPr>
                <w:rFonts w:ascii="Arial" w:cs="Arial" w:eastAsia="Arial" w:hAnsi="Arial"/>
                <w:sz w:val="13"/>
                <w:szCs w:val="13"/>
                <w:color w:val="auto"/>
              </w:rPr>
              <w:t>93,328</w:t>
            </w:r>
          </w:p>
        </w:tc>
        <w:tc>
          <w:tcPr>
            <w:tcW w:w="560" w:type="dxa"/>
            <w:vAlign w:val="bottom"/>
          </w:tcPr>
          <w:p>
            <w:pPr>
              <w:spacing w:after="0"/>
              <w:rPr>
                <w:sz w:val="12"/>
                <w:szCs w:val="1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284,473</w:t>
            </w:r>
          </w:p>
        </w:tc>
      </w:tr>
      <w:tr>
        <w:trPr>
          <w:trHeight w:val="148"/>
        </w:trPr>
        <w:tc>
          <w:tcPr>
            <w:tcW w:w="54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Payments on revolving credit facility</w:t>
            </w:r>
          </w:p>
        </w:tc>
        <w:tc>
          <w:tcPr>
            <w:tcW w:w="12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37"/>
              <w:spacing w:after="0"/>
              <w:rPr>
                <w:sz w:val="20"/>
                <w:szCs w:val="20"/>
                <w:color w:val="auto"/>
              </w:rPr>
            </w:pPr>
            <w:r>
              <w:rPr>
                <w:rFonts w:ascii="Arial" w:cs="Arial" w:eastAsia="Arial" w:hAnsi="Arial"/>
                <w:sz w:val="13"/>
                <w:szCs w:val="13"/>
                <w:b w:val="1"/>
                <w:bCs w:val="1"/>
                <w:color w:val="auto"/>
              </w:rPr>
              <w:t>(205,327)</w:t>
            </w: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(135,403)</w:t>
            </w:r>
          </w:p>
        </w:tc>
        <w:tc>
          <w:tcPr>
            <w:tcW w:w="5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(299,606)</w:t>
            </w:r>
          </w:p>
        </w:tc>
      </w:tr>
      <w:tr>
        <w:trPr>
          <w:trHeight w:val="149"/>
        </w:trPr>
        <w:tc>
          <w:tcPr>
            <w:tcW w:w="5460" w:type="dxa"/>
            <w:vAlign w:val="bottom"/>
          </w:tcPr>
          <w:p>
            <w:pPr>
              <w:ind w:left="260"/>
              <w:spacing w:after="0"/>
              <w:rPr>
                <w:sz w:val="20"/>
                <w:szCs w:val="20"/>
                <w:color w:val="auto"/>
              </w:rPr>
            </w:pPr>
            <w:r>
              <w:rPr>
                <w:rFonts w:ascii="Arial" w:cs="Arial" w:eastAsia="Arial" w:hAnsi="Arial"/>
                <w:sz w:val="13"/>
                <w:szCs w:val="13"/>
                <w:color w:val="auto"/>
              </w:rPr>
              <w:t>Shares repurchased related to share repurchase plan</w:t>
            </w:r>
          </w:p>
        </w:tc>
        <w:tc>
          <w:tcPr>
            <w:tcW w:w="1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jc w:val="right"/>
              <w:ind w:right="97"/>
              <w:spacing w:after="0"/>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2"/>
                <w:szCs w:val="12"/>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(190,384)</w:t>
            </w:r>
          </w:p>
        </w:tc>
        <w:tc>
          <w:tcPr>
            <w:tcW w:w="5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(44,935)</w:t>
            </w:r>
          </w:p>
        </w:tc>
      </w:tr>
      <w:tr>
        <w:trPr>
          <w:trHeight w:val="148"/>
        </w:trPr>
        <w:tc>
          <w:tcPr>
            <w:tcW w:w="54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Restricted shares withheld for taxes</w:t>
            </w:r>
          </w:p>
        </w:tc>
        <w:tc>
          <w:tcPr>
            <w:tcW w:w="12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37"/>
              <w:spacing w:after="0"/>
              <w:rPr>
                <w:sz w:val="20"/>
                <w:szCs w:val="20"/>
                <w:color w:val="auto"/>
              </w:rPr>
            </w:pPr>
            <w:r>
              <w:rPr>
                <w:rFonts w:ascii="Arial" w:cs="Arial" w:eastAsia="Arial" w:hAnsi="Arial"/>
                <w:sz w:val="13"/>
                <w:szCs w:val="13"/>
                <w:b w:val="1"/>
                <w:bCs w:val="1"/>
                <w:color w:val="auto"/>
              </w:rPr>
              <w:t>(1,223)</w:t>
            </w: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(2,355)</w:t>
            </w:r>
          </w:p>
        </w:tc>
        <w:tc>
          <w:tcPr>
            <w:tcW w:w="5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(2,853)</w:t>
            </w:r>
          </w:p>
        </w:tc>
      </w:tr>
      <w:tr>
        <w:trPr>
          <w:trHeight w:val="148"/>
        </w:trPr>
        <w:tc>
          <w:tcPr>
            <w:tcW w:w="5460" w:type="dxa"/>
            <w:vAlign w:val="bottom"/>
          </w:tcPr>
          <w:p>
            <w:pPr>
              <w:ind w:left="260"/>
              <w:spacing w:after="0"/>
              <w:rPr>
                <w:sz w:val="20"/>
                <w:szCs w:val="20"/>
                <w:color w:val="auto"/>
              </w:rPr>
            </w:pPr>
            <w:r>
              <w:rPr>
                <w:rFonts w:ascii="Arial" w:cs="Arial" w:eastAsia="Arial" w:hAnsi="Arial"/>
                <w:sz w:val="13"/>
                <w:szCs w:val="13"/>
                <w:color w:val="auto"/>
              </w:rPr>
              <w:t>Change in overdraft balances</w:t>
            </w:r>
          </w:p>
        </w:tc>
        <w:tc>
          <w:tcPr>
            <w:tcW w:w="1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b w:val="1"/>
                <w:bCs w:val="1"/>
                <w:color w:val="auto"/>
              </w:rPr>
              <w:t>(16,573)</w:t>
            </w:r>
          </w:p>
        </w:tc>
        <w:tc>
          <w:tcPr>
            <w:tcW w:w="320" w:type="dxa"/>
            <w:vAlign w:val="bottom"/>
          </w:tcPr>
          <w:p>
            <w:pPr>
              <w:spacing w:after="0"/>
              <w:rPr>
                <w:sz w:val="12"/>
                <w:szCs w:val="12"/>
                <w:color w:val="auto"/>
              </w:rPr>
            </w:pP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(12,557)</w:t>
            </w:r>
          </w:p>
        </w:tc>
        <w:tc>
          <w:tcPr>
            <w:tcW w:w="560" w:type="dxa"/>
            <w:vAlign w:val="bottom"/>
          </w:tcPr>
          <w:p>
            <w:pPr>
              <w:spacing w:after="0"/>
              <w:rPr>
                <w:sz w:val="12"/>
                <w:szCs w:val="1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15,494</w:t>
            </w:r>
          </w:p>
        </w:tc>
      </w:tr>
      <w:tr>
        <w:trPr>
          <w:trHeight w:val="149"/>
        </w:trPr>
        <w:tc>
          <w:tcPr>
            <w:tcW w:w="54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Additions to deferred financing costs</w:t>
            </w:r>
          </w:p>
        </w:tc>
        <w:tc>
          <w:tcPr>
            <w:tcW w:w="12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37"/>
              <w:spacing w:after="0"/>
              <w:rPr>
                <w:sz w:val="20"/>
                <w:szCs w:val="20"/>
                <w:color w:val="auto"/>
              </w:rPr>
            </w:pPr>
            <w:r>
              <w:rPr>
                <w:rFonts w:ascii="Arial" w:cs="Arial" w:eastAsia="Arial" w:hAnsi="Arial"/>
                <w:sz w:val="13"/>
                <w:szCs w:val="13"/>
                <w:b w:val="1"/>
                <w:bCs w:val="1"/>
                <w:color w:val="auto"/>
              </w:rPr>
              <w:t>(1,350)</w:t>
            </w: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(7)</w:t>
            </w:r>
          </w:p>
        </w:tc>
        <w:tc>
          <w:tcPr>
            <w:tcW w:w="5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(359)</w:t>
            </w:r>
          </w:p>
        </w:tc>
      </w:tr>
      <w:tr>
        <w:trPr>
          <w:trHeight w:val="148"/>
        </w:trPr>
        <w:tc>
          <w:tcPr>
            <w:tcW w:w="5460" w:type="dxa"/>
            <w:vAlign w:val="bottom"/>
            <w:tcBorders>
              <w:bottom w:val="single" w:sz="8" w:color="auto"/>
            </w:tcBorders>
          </w:tcPr>
          <w:p>
            <w:pPr>
              <w:ind w:left="260"/>
              <w:spacing w:after="0"/>
              <w:rPr>
                <w:sz w:val="20"/>
                <w:szCs w:val="20"/>
                <w:color w:val="auto"/>
              </w:rPr>
            </w:pPr>
            <w:r>
              <w:rPr>
                <w:rFonts w:ascii="Arial" w:cs="Arial" w:eastAsia="Arial" w:hAnsi="Arial"/>
                <w:sz w:val="13"/>
                <w:szCs w:val="13"/>
                <w:color w:val="auto"/>
              </w:rPr>
              <w:t>Other</w:t>
            </w:r>
          </w:p>
        </w:tc>
        <w:tc>
          <w:tcPr>
            <w:tcW w:w="1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w:t>
            </w:r>
          </w:p>
        </w:tc>
        <w:tc>
          <w:tcPr>
            <w:tcW w:w="3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(3,322)</w:t>
            </w:r>
          </w:p>
        </w:tc>
      </w:tr>
      <w:tr>
        <w:trPr>
          <w:trHeight w:val="142"/>
        </w:trPr>
        <w:tc>
          <w:tcPr>
            <w:tcW w:w="5460" w:type="dxa"/>
            <w:vAlign w:val="bottom"/>
            <w:tcBorders>
              <w:bottom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rPr>
              <w:t>Net cash used in financing activities</w:t>
            </w:r>
          </w:p>
        </w:tc>
        <w:tc>
          <w:tcPr>
            <w:tcW w:w="1200" w:type="dxa"/>
            <w:vAlign w:val="bottom"/>
            <w:tcBorders>
              <w:bottom w:val="single" w:sz="8" w:color="auto"/>
            </w:tcBorders>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ind w:right="37"/>
              <w:spacing w:after="0" w:line="142" w:lineRule="exact"/>
              <w:rPr>
                <w:sz w:val="20"/>
                <w:szCs w:val="20"/>
                <w:color w:val="auto"/>
              </w:rPr>
            </w:pPr>
            <w:r>
              <w:rPr>
                <w:rFonts w:ascii="Arial" w:cs="Arial" w:eastAsia="Arial" w:hAnsi="Arial"/>
                <w:sz w:val="13"/>
                <w:szCs w:val="13"/>
                <w:b w:val="1"/>
                <w:bCs w:val="1"/>
                <w:color w:val="auto"/>
              </w:rPr>
              <w:t>(3,164)</w:t>
            </w:r>
          </w:p>
        </w:tc>
        <w:tc>
          <w:tcPr>
            <w:tcW w:w="320" w:type="dxa"/>
            <w:vAlign w:val="bottom"/>
            <w:tcBorders>
              <w:bottom w:val="single" w:sz="8" w:color="auto"/>
            </w:tcBorders>
            <w:shd w:val="clear" w:color="auto" w:fill="CFF0FC"/>
          </w:tcPr>
          <w:p>
            <w:pPr>
              <w:spacing w:after="0"/>
              <w:rPr>
                <w:sz w:val="12"/>
                <w:szCs w:val="12"/>
                <w:color w:val="auto"/>
              </w:rPr>
            </w:pPr>
          </w:p>
        </w:tc>
        <w:tc>
          <w:tcPr>
            <w:tcW w:w="1260" w:type="dxa"/>
            <w:vAlign w:val="bottom"/>
            <w:tcBorders>
              <w:bottom w:val="single" w:sz="8" w:color="auto"/>
            </w:tcBorders>
            <w:shd w:val="clear" w:color="auto" w:fill="CFF0FC"/>
          </w:tcPr>
          <w:p>
            <w:pPr>
              <w:jc w:val="right"/>
              <w:ind w:right="37"/>
              <w:spacing w:after="0" w:line="142" w:lineRule="exact"/>
              <w:rPr>
                <w:sz w:val="20"/>
                <w:szCs w:val="20"/>
                <w:color w:val="auto"/>
              </w:rPr>
            </w:pPr>
            <w:r>
              <w:rPr>
                <w:rFonts w:ascii="Arial" w:cs="Arial" w:eastAsia="Arial" w:hAnsi="Arial"/>
                <w:sz w:val="13"/>
                <w:szCs w:val="13"/>
                <w:color w:val="auto"/>
              </w:rPr>
              <w:t>(256,511)</w:t>
            </w:r>
          </w:p>
        </w:tc>
        <w:tc>
          <w:tcPr>
            <w:tcW w:w="56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(52,758)</w:t>
            </w:r>
          </w:p>
        </w:tc>
      </w:tr>
      <w:tr>
        <w:trPr>
          <w:trHeight w:val="142"/>
        </w:trPr>
        <w:tc>
          <w:tcPr>
            <w:tcW w:w="5460" w:type="dxa"/>
            <w:vAlign w:val="bottom"/>
            <w:tcBorders>
              <w:bottom w:val="single" w:sz="8" w:color="auto"/>
            </w:tcBorders>
          </w:tcPr>
          <w:p>
            <w:pPr>
              <w:spacing w:after="0" w:line="142" w:lineRule="exact"/>
              <w:rPr>
                <w:sz w:val="20"/>
                <w:szCs w:val="20"/>
                <w:color w:val="auto"/>
              </w:rPr>
            </w:pPr>
            <w:r>
              <w:rPr>
                <w:rFonts w:ascii="Arial" w:cs="Arial" w:eastAsia="Arial" w:hAnsi="Arial"/>
                <w:sz w:val="13"/>
                <w:szCs w:val="13"/>
                <w:color w:val="auto"/>
              </w:rPr>
              <w:t>Effect of foreign exchange rate fluctuations on cash</w:t>
            </w:r>
          </w:p>
        </w:tc>
        <w:tc>
          <w:tcPr>
            <w:tcW w:w="1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3"/>
                <w:szCs w:val="13"/>
                <w:b w:val="1"/>
                <w:bCs w:val="1"/>
                <w:color w:val="auto"/>
              </w:rPr>
              <w:t>3,116</w:t>
            </w:r>
          </w:p>
        </w:tc>
        <w:tc>
          <w:tcPr>
            <w:tcW w:w="3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3"/>
                <w:szCs w:val="13"/>
                <w:color w:val="auto"/>
              </w:rPr>
              <w:t>96</w:t>
            </w:r>
          </w:p>
        </w:tc>
        <w:tc>
          <w:tcPr>
            <w:tcW w:w="5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(464)</w:t>
            </w:r>
          </w:p>
        </w:tc>
      </w:tr>
      <w:tr>
        <w:trPr>
          <w:trHeight w:val="142"/>
        </w:trPr>
        <w:tc>
          <w:tcPr>
            <w:tcW w:w="5460" w:type="dxa"/>
            <w:vAlign w:val="bottom"/>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Net Increase (Decrease) in Cash and Cash Equivalents</w:t>
            </w:r>
          </w:p>
        </w:tc>
        <w:tc>
          <w:tcPr>
            <w:tcW w:w="12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97"/>
              <w:spacing w:after="0" w:line="142" w:lineRule="exact"/>
              <w:rPr>
                <w:sz w:val="20"/>
                <w:szCs w:val="20"/>
                <w:color w:val="auto"/>
              </w:rPr>
            </w:pPr>
            <w:r>
              <w:rPr>
                <w:rFonts w:ascii="Arial" w:cs="Arial" w:eastAsia="Arial" w:hAnsi="Arial"/>
                <w:sz w:val="13"/>
                <w:szCs w:val="13"/>
                <w:b w:val="1"/>
                <w:bCs w:val="1"/>
                <w:color w:val="auto"/>
              </w:rPr>
              <w:t>133,673</w:t>
            </w: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jc w:val="right"/>
              <w:ind w:right="37"/>
              <w:spacing w:after="0" w:line="142" w:lineRule="exact"/>
              <w:rPr>
                <w:sz w:val="20"/>
                <w:szCs w:val="20"/>
                <w:color w:val="auto"/>
              </w:rPr>
            </w:pPr>
            <w:r>
              <w:rPr>
                <w:rFonts w:ascii="Arial" w:cs="Arial" w:eastAsia="Arial" w:hAnsi="Arial"/>
                <w:sz w:val="13"/>
                <w:szCs w:val="13"/>
                <w:color w:val="auto"/>
              </w:rPr>
              <w:t>(85,937)</w:t>
            </w:r>
          </w:p>
        </w:tc>
        <w:tc>
          <w:tcPr>
            <w:tcW w:w="56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57"/>
              <w:spacing w:after="0" w:line="142" w:lineRule="exact"/>
              <w:rPr>
                <w:sz w:val="20"/>
                <w:szCs w:val="20"/>
                <w:color w:val="auto"/>
              </w:rPr>
            </w:pPr>
            <w:r>
              <w:rPr>
                <w:rFonts w:ascii="Arial" w:cs="Arial" w:eastAsia="Arial" w:hAnsi="Arial"/>
                <w:sz w:val="13"/>
                <w:szCs w:val="13"/>
                <w:color w:val="auto"/>
              </w:rPr>
              <w:t>127,418</w:t>
            </w:r>
          </w:p>
        </w:tc>
      </w:tr>
      <w:tr>
        <w:trPr>
          <w:trHeight w:val="149"/>
        </w:trPr>
        <w:tc>
          <w:tcPr>
            <w:tcW w:w="54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Cash and cash equivalents at beginning of year</w:t>
            </w:r>
          </w:p>
        </w:tc>
        <w:tc>
          <w:tcPr>
            <w:tcW w:w="1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81,418</w:t>
            </w:r>
          </w:p>
        </w:tc>
        <w:tc>
          <w:tcPr>
            <w:tcW w:w="3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167,355</w:t>
            </w:r>
          </w:p>
        </w:tc>
        <w:tc>
          <w:tcPr>
            <w:tcW w:w="5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39,937</w:t>
            </w:r>
          </w:p>
        </w:tc>
      </w:tr>
      <w:tr>
        <w:trPr>
          <w:trHeight w:val="142"/>
        </w:trPr>
        <w:tc>
          <w:tcPr>
            <w:tcW w:w="5460" w:type="dxa"/>
            <w:vAlign w:val="bottom"/>
            <w:tcBorders>
              <w:bottom w:val="single" w:sz="8" w:color="auto"/>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Cash and cash equivalents at end of year</w:t>
            </w:r>
          </w:p>
        </w:tc>
        <w:tc>
          <w:tcPr>
            <w:tcW w:w="1660" w:type="dxa"/>
            <w:vAlign w:val="bottom"/>
            <w:tcBorders>
              <w:bottom w:val="single" w:sz="8" w:color="auto"/>
            </w:tcBorders>
            <w:gridSpan w:val="2"/>
            <w:shd w:val="clear" w:color="auto" w:fill="CFF0FC"/>
          </w:tcPr>
          <w:p>
            <w:pPr>
              <w:jc w:val="right"/>
              <w:ind w:right="400"/>
              <w:spacing w:after="0" w:line="142" w:lineRule="exact"/>
              <w:rPr>
                <w:sz w:val="20"/>
                <w:szCs w:val="20"/>
                <w:color w:val="auto"/>
              </w:rPr>
            </w:pPr>
            <w:r>
              <w:rPr>
                <w:rFonts w:ascii="Arial" w:cs="Arial" w:eastAsia="Arial" w:hAnsi="Arial"/>
                <w:sz w:val="13"/>
                <w:szCs w:val="13"/>
                <w:b w:val="1"/>
                <w:bCs w:val="1"/>
                <w:color w:val="auto"/>
              </w:rPr>
              <w:t>$</w:t>
            </w:r>
          </w:p>
        </w:tc>
        <w:tc>
          <w:tcPr>
            <w:tcW w:w="1000" w:type="dxa"/>
            <w:vAlign w:val="bottom"/>
            <w:tcBorders>
              <w:bottom w:val="single" w:sz="8" w:color="auto"/>
            </w:tcBorders>
            <w:shd w:val="clear" w:color="auto" w:fill="CFF0FC"/>
          </w:tcPr>
          <w:p>
            <w:pPr>
              <w:jc w:val="right"/>
              <w:ind w:right="97"/>
              <w:spacing w:after="0" w:line="142" w:lineRule="exact"/>
              <w:rPr>
                <w:sz w:val="20"/>
                <w:szCs w:val="20"/>
                <w:color w:val="auto"/>
              </w:rPr>
            </w:pPr>
            <w:r>
              <w:rPr>
                <w:rFonts w:ascii="Arial" w:cs="Arial" w:eastAsia="Arial" w:hAnsi="Arial"/>
                <w:sz w:val="13"/>
                <w:szCs w:val="13"/>
                <w:b w:val="1"/>
                <w:bCs w:val="1"/>
                <w:color w:val="auto"/>
              </w:rPr>
              <w:t>215,091</w:t>
            </w:r>
          </w:p>
        </w:tc>
        <w:tc>
          <w:tcPr>
            <w:tcW w:w="320" w:type="dxa"/>
            <w:vAlign w:val="bottom"/>
            <w:tcBorders>
              <w:bottom w:val="single" w:sz="8" w:color="auto"/>
            </w:tcBorders>
            <w:shd w:val="clear" w:color="auto" w:fill="CFF0FC"/>
          </w:tcPr>
          <w:p>
            <w:pPr>
              <w:jc w:val="right"/>
              <w:ind w:right="77"/>
              <w:spacing w:after="0" w:line="142" w:lineRule="exact"/>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shd w:val="clear" w:color="auto" w:fill="CFF0FC"/>
          </w:tcPr>
          <w:p>
            <w:pPr>
              <w:jc w:val="right"/>
              <w:ind w:right="97"/>
              <w:spacing w:after="0" w:line="142" w:lineRule="exact"/>
              <w:rPr>
                <w:sz w:val="20"/>
                <w:szCs w:val="20"/>
                <w:color w:val="auto"/>
              </w:rPr>
            </w:pPr>
            <w:r>
              <w:rPr>
                <w:rFonts w:ascii="Arial" w:cs="Arial" w:eastAsia="Arial" w:hAnsi="Arial"/>
                <w:sz w:val="13"/>
                <w:szCs w:val="13"/>
                <w:color w:val="auto"/>
              </w:rPr>
              <w:t>81,418</w:t>
            </w:r>
          </w:p>
        </w:tc>
        <w:tc>
          <w:tcPr>
            <w:tcW w:w="560" w:type="dxa"/>
            <w:vAlign w:val="bottom"/>
            <w:tcBorders>
              <w:bottom w:val="single" w:sz="8" w:color="auto"/>
            </w:tcBorders>
            <w:shd w:val="clear" w:color="auto" w:fill="CFF0FC"/>
          </w:tcPr>
          <w:p>
            <w:pPr>
              <w:jc w:val="right"/>
              <w:ind w:right="317"/>
              <w:spacing w:after="0" w:line="142" w:lineRule="exact"/>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FF0FC"/>
          </w:tcPr>
          <w:p>
            <w:pPr>
              <w:jc w:val="right"/>
              <w:ind w:right="57"/>
              <w:spacing w:after="0" w:line="142" w:lineRule="exact"/>
              <w:rPr>
                <w:sz w:val="20"/>
                <w:szCs w:val="20"/>
                <w:color w:val="auto"/>
              </w:rPr>
            </w:pPr>
            <w:r>
              <w:rPr>
                <w:rFonts w:ascii="Arial" w:cs="Arial" w:eastAsia="Arial" w:hAnsi="Arial"/>
                <w:sz w:val="13"/>
                <w:szCs w:val="13"/>
                <w:color w:val="auto"/>
              </w:rPr>
              <w:t>167,355</w:t>
            </w:r>
          </w:p>
        </w:tc>
      </w:tr>
      <w:tr>
        <w:trPr>
          <w:trHeight w:val="20"/>
        </w:trPr>
        <w:tc>
          <w:tcPr>
            <w:tcW w:w="5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29"/>
        </w:trPr>
        <w:tc>
          <w:tcPr>
            <w:tcW w:w="5460" w:type="dxa"/>
            <w:vAlign w:val="bottom"/>
          </w:tcPr>
          <w:p>
            <w:pPr>
              <w:spacing w:after="0" w:line="129" w:lineRule="exact"/>
              <w:rPr>
                <w:sz w:val="20"/>
                <w:szCs w:val="20"/>
                <w:color w:val="auto"/>
              </w:rPr>
            </w:pPr>
            <w:r>
              <w:rPr>
                <w:rFonts w:ascii="Arial" w:cs="Arial" w:eastAsia="Arial" w:hAnsi="Arial"/>
                <w:sz w:val="13"/>
                <w:szCs w:val="13"/>
                <w:color w:val="auto"/>
              </w:rPr>
              <w:t>Supplemental information:</w:t>
            </w:r>
          </w:p>
        </w:tc>
        <w:tc>
          <w:tcPr>
            <w:tcW w:w="1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48"/>
        </w:trPr>
        <w:tc>
          <w:tcPr>
            <w:tcW w:w="54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Interest paid</w:t>
            </w:r>
          </w:p>
        </w:tc>
        <w:tc>
          <w:tcPr>
            <w:tcW w:w="1660" w:type="dxa"/>
            <w:vAlign w:val="bottom"/>
            <w:gridSpan w:val="2"/>
            <w:shd w:val="clear" w:color="auto" w:fill="CFF0FC"/>
          </w:tcPr>
          <w:p>
            <w:pPr>
              <w:jc w:val="right"/>
              <w:ind w:right="400"/>
              <w:spacing w:after="0"/>
              <w:rPr>
                <w:sz w:val="20"/>
                <w:szCs w:val="20"/>
                <w:color w:val="auto"/>
              </w:rPr>
            </w:pPr>
            <w:r>
              <w:rPr>
                <w:rFonts w:ascii="Arial" w:cs="Arial" w:eastAsia="Arial" w:hAnsi="Arial"/>
                <w:sz w:val="13"/>
                <w:szCs w:val="13"/>
                <w:b w:val="1"/>
                <w:bCs w:val="1"/>
                <w:color w:val="auto"/>
              </w:rPr>
              <w:t>$</w:t>
            </w:r>
          </w:p>
        </w:tc>
        <w:tc>
          <w:tcPr>
            <w:tcW w:w="1000" w:type="dxa"/>
            <w:vAlign w:val="bottom"/>
            <w:shd w:val="clear" w:color="auto" w:fill="CFF0FC"/>
          </w:tcPr>
          <w:p>
            <w:pPr>
              <w:jc w:val="right"/>
              <w:ind w:right="97"/>
              <w:spacing w:after="0"/>
              <w:rPr>
                <w:sz w:val="20"/>
                <w:szCs w:val="20"/>
                <w:color w:val="auto"/>
              </w:rPr>
            </w:pPr>
            <w:r>
              <w:rPr>
                <w:rFonts w:ascii="Arial" w:cs="Arial" w:eastAsia="Arial" w:hAnsi="Arial"/>
                <w:sz w:val="13"/>
                <w:szCs w:val="13"/>
                <w:b w:val="1"/>
                <w:bCs w:val="1"/>
                <w:color w:val="auto"/>
              </w:rPr>
              <w:t>4,386</w:t>
            </w:r>
          </w:p>
        </w:tc>
        <w:tc>
          <w:tcPr>
            <w:tcW w:w="3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6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rPr>
              <w:t>3,005</w:t>
            </w:r>
          </w:p>
        </w:tc>
        <w:tc>
          <w:tcPr>
            <w:tcW w:w="560" w:type="dxa"/>
            <w:vAlign w:val="bottom"/>
            <w:shd w:val="clear" w:color="auto" w:fill="CFF0FC"/>
          </w:tcPr>
          <w:p>
            <w:pPr>
              <w:jc w:val="right"/>
              <w:ind w:right="317"/>
              <w:spacing w:after="0"/>
              <w:rPr>
                <w:sz w:val="20"/>
                <w:szCs w:val="20"/>
                <w:color w:val="auto"/>
              </w:rPr>
            </w:pPr>
            <w:r>
              <w:rPr>
                <w:rFonts w:ascii="Arial" w:cs="Arial" w:eastAsia="Arial" w:hAnsi="Arial"/>
                <w:sz w:val="13"/>
                <w:szCs w:val="13"/>
                <w:color w:val="auto"/>
              </w:rPr>
              <w:t>$</w:t>
            </w:r>
          </w:p>
        </w:tc>
        <w:tc>
          <w:tcPr>
            <w:tcW w:w="9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3,338</w:t>
            </w:r>
          </w:p>
        </w:tc>
      </w:tr>
      <w:tr>
        <w:trPr>
          <w:trHeight w:val="149"/>
        </w:trPr>
        <w:tc>
          <w:tcPr>
            <w:tcW w:w="5460" w:type="dxa"/>
            <w:vAlign w:val="bottom"/>
          </w:tcPr>
          <w:p>
            <w:pPr>
              <w:ind w:left="260"/>
              <w:spacing w:after="0"/>
              <w:rPr>
                <w:sz w:val="20"/>
                <w:szCs w:val="20"/>
                <w:color w:val="auto"/>
              </w:rPr>
            </w:pPr>
            <w:r>
              <w:rPr>
                <w:rFonts w:ascii="Arial" w:cs="Arial" w:eastAsia="Arial" w:hAnsi="Arial"/>
                <w:sz w:val="13"/>
                <w:szCs w:val="13"/>
                <w:color w:val="auto"/>
              </w:rPr>
              <w:t>Income taxes paid</w:t>
            </w:r>
          </w:p>
        </w:tc>
        <w:tc>
          <w:tcPr>
            <w:tcW w:w="1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jc w:val="right"/>
              <w:ind w:right="97"/>
              <w:spacing w:after="0"/>
              <w:rPr>
                <w:sz w:val="20"/>
                <w:szCs w:val="20"/>
                <w:color w:val="auto"/>
              </w:rPr>
            </w:pPr>
            <w:r>
              <w:rPr>
                <w:rFonts w:ascii="Arial" w:cs="Arial" w:eastAsia="Arial" w:hAnsi="Arial"/>
                <w:sz w:val="13"/>
                <w:szCs w:val="13"/>
                <w:b w:val="1"/>
                <w:bCs w:val="1"/>
                <w:color w:val="auto"/>
              </w:rPr>
              <w:t>7,685</w:t>
            </w:r>
          </w:p>
        </w:tc>
        <w:tc>
          <w:tcPr>
            <w:tcW w:w="320" w:type="dxa"/>
            <w:vAlign w:val="bottom"/>
          </w:tcPr>
          <w:p>
            <w:pPr>
              <w:spacing w:after="0"/>
              <w:rPr>
                <w:sz w:val="12"/>
                <w:szCs w:val="12"/>
                <w:color w:val="auto"/>
              </w:rPr>
            </w:pPr>
          </w:p>
        </w:tc>
        <w:tc>
          <w:tcPr>
            <w:tcW w:w="1260" w:type="dxa"/>
            <w:vAlign w:val="bottom"/>
          </w:tcPr>
          <w:p>
            <w:pPr>
              <w:jc w:val="right"/>
              <w:ind w:right="97"/>
              <w:spacing w:after="0"/>
              <w:rPr>
                <w:sz w:val="20"/>
                <w:szCs w:val="20"/>
                <w:color w:val="auto"/>
              </w:rPr>
            </w:pPr>
            <w:r>
              <w:rPr>
                <w:rFonts w:ascii="Arial" w:cs="Arial" w:eastAsia="Arial" w:hAnsi="Arial"/>
                <w:sz w:val="13"/>
                <w:szCs w:val="13"/>
                <w:color w:val="auto"/>
              </w:rPr>
              <w:t>4,899</w:t>
            </w:r>
          </w:p>
        </w:tc>
        <w:tc>
          <w:tcPr>
            <w:tcW w:w="560" w:type="dxa"/>
            <w:vAlign w:val="bottom"/>
          </w:tcPr>
          <w:p>
            <w:pPr>
              <w:spacing w:after="0"/>
              <w:rPr>
                <w:sz w:val="12"/>
                <w:szCs w:val="1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12,451</w:t>
            </w:r>
          </w:p>
        </w:tc>
      </w:tr>
      <w:tr>
        <w:trPr>
          <w:trHeight w:val="148"/>
        </w:trPr>
        <w:tc>
          <w:tcPr>
            <w:tcW w:w="54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Cash paid for amounts included in measurement of operating lease liabilities</w:t>
            </w:r>
          </w:p>
        </w:tc>
        <w:tc>
          <w:tcPr>
            <w:tcW w:w="12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97"/>
              <w:spacing w:after="0"/>
              <w:rPr>
                <w:sz w:val="20"/>
                <w:szCs w:val="20"/>
                <w:color w:val="auto"/>
              </w:rPr>
            </w:pPr>
            <w:r>
              <w:rPr>
                <w:rFonts w:ascii="Arial" w:cs="Arial" w:eastAsia="Arial" w:hAnsi="Arial"/>
                <w:sz w:val="13"/>
                <w:szCs w:val="13"/>
                <w:b w:val="1"/>
                <w:bCs w:val="1"/>
                <w:color w:val="auto"/>
              </w:rPr>
              <w:t>142,908</w:t>
            </w:r>
          </w:p>
        </w:tc>
        <w:tc>
          <w:tcPr>
            <w:tcW w:w="320" w:type="dxa"/>
            <w:vAlign w:val="bottom"/>
            <w:shd w:val="clear" w:color="auto" w:fill="CFF0FC"/>
          </w:tcPr>
          <w:p>
            <w:pPr>
              <w:spacing w:after="0"/>
              <w:rPr>
                <w:sz w:val="12"/>
                <w:szCs w:val="12"/>
                <w:color w:val="auto"/>
              </w:rPr>
            </w:pPr>
          </w:p>
        </w:tc>
        <w:tc>
          <w:tcPr>
            <w:tcW w:w="126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rPr>
              <w:t>188,247</w:t>
            </w:r>
          </w:p>
        </w:tc>
        <w:tc>
          <w:tcPr>
            <w:tcW w:w="56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r>
      <w:tr>
        <w:trPr>
          <w:trHeight w:val="164"/>
        </w:trPr>
        <w:tc>
          <w:tcPr>
            <w:tcW w:w="5460" w:type="dxa"/>
            <w:vAlign w:val="bottom"/>
          </w:tcPr>
          <w:p>
            <w:pPr>
              <w:ind w:left="260"/>
              <w:spacing w:after="0"/>
              <w:rPr>
                <w:sz w:val="20"/>
                <w:szCs w:val="20"/>
                <w:color w:val="auto"/>
              </w:rPr>
            </w:pPr>
            <w:r>
              <w:rPr>
                <w:rFonts w:ascii="Arial" w:cs="Arial" w:eastAsia="Arial" w:hAnsi="Arial"/>
                <w:sz w:val="13"/>
                <w:szCs w:val="13"/>
                <w:color w:val="auto"/>
              </w:rPr>
              <w:t>Operating leased assets obtained in exchange for new operating lease liabilities</w:t>
            </w:r>
          </w:p>
        </w:tc>
        <w:tc>
          <w:tcPr>
            <w:tcW w:w="1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jc w:val="right"/>
              <w:ind w:right="97"/>
              <w:spacing w:after="0"/>
              <w:rPr>
                <w:sz w:val="20"/>
                <w:szCs w:val="20"/>
                <w:color w:val="auto"/>
              </w:rPr>
            </w:pPr>
            <w:r>
              <w:rPr>
                <w:rFonts w:ascii="Arial" w:cs="Arial" w:eastAsia="Arial" w:hAnsi="Arial"/>
                <w:sz w:val="13"/>
                <w:szCs w:val="13"/>
                <w:b w:val="1"/>
                <w:bCs w:val="1"/>
                <w:color w:val="auto"/>
              </w:rPr>
              <w:t>38,731</w:t>
            </w:r>
          </w:p>
        </w:tc>
        <w:tc>
          <w:tcPr>
            <w:tcW w:w="320" w:type="dxa"/>
            <w:vAlign w:val="bottom"/>
          </w:tcPr>
          <w:p>
            <w:pPr>
              <w:spacing w:after="0"/>
              <w:rPr>
                <w:sz w:val="14"/>
                <w:szCs w:val="14"/>
                <w:color w:val="auto"/>
              </w:rPr>
            </w:pPr>
          </w:p>
        </w:tc>
        <w:tc>
          <w:tcPr>
            <w:tcW w:w="1260" w:type="dxa"/>
            <w:vAlign w:val="bottom"/>
          </w:tcPr>
          <w:p>
            <w:pPr>
              <w:jc w:val="right"/>
              <w:ind w:right="97"/>
              <w:spacing w:after="0"/>
              <w:rPr>
                <w:sz w:val="20"/>
                <w:szCs w:val="20"/>
                <w:color w:val="auto"/>
              </w:rPr>
            </w:pPr>
            <w:r>
              <w:rPr>
                <w:rFonts w:ascii="Arial" w:cs="Arial" w:eastAsia="Arial" w:hAnsi="Arial"/>
                <w:sz w:val="13"/>
                <w:szCs w:val="13"/>
                <w:color w:val="auto"/>
              </w:rPr>
              <w:t>80,078</w:t>
            </w:r>
          </w:p>
        </w:tc>
        <w:tc>
          <w:tcPr>
            <w:tcW w:w="560" w:type="dxa"/>
            <w:vAlign w:val="bottom"/>
          </w:tcPr>
          <w:p>
            <w:pPr>
              <w:spacing w:after="0"/>
              <w:rPr>
                <w:sz w:val="14"/>
                <w:szCs w:val="14"/>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w:t>
            </w:r>
          </w:p>
        </w:tc>
      </w:tr>
    </w:tbl>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rPr>
              <w:t>Non-</w:t>
            </w: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w w:val="95"/>
              </w:rPr>
              <w:t>Accumulated</w:t>
            </w: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68"/>
              <w:spacing w:after="0" w:line="153" w:lineRule="exact"/>
              <w:rPr>
                <w:sz w:val="20"/>
                <w:szCs w:val="20"/>
                <w:color w:val="auto"/>
              </w:rPr>
            </w:pPr>
            <w:r>
              <w:rPr>
                <w:rFonts w:ascii="Arial" w:cs="Arial" w:eastAsia="Arial" w:hAnsi="Arial"/>
                <w:sz w:val="14"/>
                <w:szCs w:val="14"/>
                <w:b w:val="1"/>
                <w:bCs w:val="1"/>
                <w:color w:val="auto"/>
              </w:rPr>
              <w:t>Non</w:t>
            </w:r>
          </w:p>
        </w:tc>
        <w:tc>
          <w:tcPr>
            <w:tcW w:w="2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gridSpan w:val="2"/>
            <w:vMerge w:val="restart"/>
          </w:tcPr>
          <w:p>
            <w:pPr>
              <w:jc w:val="right"/>
              <w:ind w:right="88"/>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gridSpan w:val="2"/>
          </w:tcPr>
          <w:p>
            <w:pPr>
              <w:jc w:val="right"/>
              <w:ind w:right="68"/>
              <w:spacing w:after="0" w:line="149" w:lineRule="exact"/>
              <w:rPr>
                <w:sz w:val="20"/>
                <w:szCs w:val="20"/>
                <w:color w:val="auto"/>
              </w:rPr>
            </w:pPr>
            <w:r>
              <w:rPr>
                <w:rFonts w:ascii="Arial" w:cs="Arial" w:eastAsia="Arial" w:hAnsi="Arial"/>
                <w:sz w:val="14"/>
                <w:szCs w:val="14"/>
                <w:b w:val="1"/>
                <w:bCs w:val="1"/>
                <w:color w:val="auto"/>
              </w:rPr>
              <w:t>Controlling</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1400" w:type="dxa"/>
            <w:vAlign w:val="bottom"/>
            <w:gridSpan w:val="2"/>
          </w:tcPr>
          <w:p>
            <w:pPr>
              <w:ind w:left="520"/>
              <w:spacing w:after="0" w:line="149" w:lineRule="exact"/>
              <w:rPr>
                <w:sz w:val="20"/>
                <w:szCs w:val="20"/>
                <w:color w:val="auto"/>
              </w:rPr>
            </w:pPr>
            <w:r>
              <w:rPr>
                <w:rFonts w:ascii="Arial" w:cs="Arial" w:eastAsia="Arial" w:hAnsi="Arial"/>
                <w:sz w:val="14"/>
                <w:szCs w:val="14"/>
                <w:b w:val="1"/>
                <w:bCs w:val="1"/>
                <w:color w:val="auto"/>
              </w:rPr>
              <w:t>Redeemable</w:t>
            </w:r>
          </w:p>
        </w:tc>
        <w:tc>
          <w:tcPr>
            <w:tcW w:w="200" w:type="dxa"/>
            <w:vAlign w:val="bottom"/>
          </w:tcPr>
          <w:p>
            <w:pPr>
              <w:spacing w:after="0"/>
              <w:rPr>
                <w:sz w:val="12"/>
                <w:szCs w:val="12"/>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5"/>
              </w:rPr>
              <w:t>Common</w:t>
            </w: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8"/>
              </w:rPr>
              <w:t>Retained</w:t>
            </w:r>
          </w:p>
        </w:tc>
        <w:tc>
          <w:tcPr>
            <w:tcW w:w="180" w:type="dxa"/>
            <w:vAlign w:val="bottom"/>
          </w:tcPr>
          <w:p>
            <w:pPr>
              <w:spacing w:after="0"/>
              <w:rPr>
                <w:sz w:val="12"/>
                <w:szCs w:val="12"/>
                <w:color w:val="auto"/>
              </w:rPr>
            </w:pPr>
          </w:p>
        </w:tc>
        <w:tc>
          <w:tcPr>
            <w:tcW w:w="100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2"/>
                <w:szCs w:val="12"/>
                <w:color w:val="auto"/>
              </w:rPr>
            </w:pPr>
          </w:p>
        </w:tc>
        <w:tc>
          <w:tcPr>
            <w:tcW w:w="7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4"/>
              </w:rPr>
              <w:t>Treasury</w:t>
            </w:r>
          </w:p>
        </w:tc>
        <w:tc>
          <w:tcPr>
            <w:tcW w:w="260" w:type="dxa"/>
            <w:vAlign w:val="bottom"/>
          </w:tcPr>
          <w:p>
            <w:pPr>
              <w:spacing w:after="0"/>
              <w:rPr>
                <w:sz w:val="12"/>
                <w:szCs w:val="12"/>
                <w:color w:val="auto"/>
              </w:rPr>
            </w:pPr>
          </w:p>
        </w:tc>
        <w:tc>
          <w:tcPr>
            <w:tcW w:w="72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Interest</w:t>
            </w:r>
          </w:p>
        </w:tc>
        <w:tc>
          <w:tcPr>
            <w:tcW w:w="200" w:type="dxa"/>
            <w:vAlign w:val="bottom"/>
          </w:tcPr>
          <w:p>
            <w:pPr>
              <w:spacing w:after="0"/>
              <w:rPr>
                <w:sz w:val="12"/>
                <w:szCs w:val="12"/>
                <w:color w:val="auto"/>
              </w:rPr>
            </w:pP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w w:val="99"/>
              </w:rPr>
              <w:t>Preferred</w:t>
            </w:r>
          </w:p>
        </w:tc>
        <w:tc>
          <w:tcPr>
            <w:tcW w:w="2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1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Comprehensive</w:t>
            </w:r>
          </w:p>
        </w:tc>
        <w:tc>
          <w:tcPr>
            <w:tcW w:w="2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Stock</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Stock</w:t>
            </w: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Capital</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6"/>
              </w:rPr>
              <w:t>Earnings</w:t>
            </w: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Loss</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Shares</w:t>
            </w:r>
          </w:p>
        </w:tc>
        <w:tc>
          <w:tcPr>
            <w:tcW w:w="98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b w:val="1"/>
                <w:bCs w:val="1"/>
                <w:color w:val="auto"/>
                <w:w w:val="99"/>
              </w:rPr>
              <w:t>Redeemable</w:t>
            </w: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56"/>
        </w:trPr>
        <w:tc>
          <w:tcPr>
            <w:tcW w:w="3120" w:type="dxa"/>
            <w:vAlign w:val="bottom"/>
            <w:tcBorders>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Balance February 3, 2018</w:t>
            </w:r>
          </w:p>
        </w:tc>
        <w:tc>
          <w:tcPr>
            <w:tcW w:w="620" w:type="dxa"/>
            <w:vAlign w:val="bottom"/>
            <w:tcBorders>
              <w:bottom w:val="single" w:sz="8" w:color="auto"/>
            </w:tcBorders>
            <w:shd w:val="clear" w:color="auto" w:fill="CFF0FC"/>
          </w:tcPr>
          <w:p>
            <w:pPr>
              <w:ind w:left="520"/>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1,052</w:t>
            </w:r>
          </w:p>
        </w:tc>
        <w:tc>
          <w:tcPr>
            <w:tcW w:w="2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20,392</w:t>
            </w:r>
          </w:p>
        </w:tc>
        <w:tc>
          <w:tcPr>
            <w:tcW w:w="24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rPr>
              <w:t>250,877</w:t>
            </w:r>
          </w:p>
        </w:tc>
        <w:tc>
          <w:tcPr>
            <w:tcW w:w="1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603,902</w:t>
            </w:r>
          </w:p>
        </w:tc>
        <w:tc>
          <w:tcPr>
            <w:tcW w:w="180" w:type="dxa"/>
            <w:vAlign w:val="bottom"/>
            <w:tcBorders>
              <w:bottom w:val="single" w:sz="8" w:color="auto"/>
            </w:tcBorders>
            <w:shd w:val="clear" w:color="auto" w:fill="CFF0FC"/>
          </w:tcPr>
          <w:p>
            <w:pPr>
              <w:ind w:left="80"/>
              <w:spacing w:after="0" w:line="155"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(29,192)</w:t>
            </w:r>
          </w:p>
        </w:tc>
        <w:tc>
          <w:tcPr>
            <w:tcW w:w="2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(17,857)</w:t>
            </w:r>
          </w:p>
        </w:tc>
        <w:tc>
          <w:tcPr>
            <w:tcW w:w="26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1,530</w:t>
            </w:r>
          </w:p>
        </w:tc>
        <w:tc>
          <w:tcPr>
            <w:tcW w:w="2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830,704</w:t>
            </w:r>
          </w:p>
        </w:tc>
        <w:tc>
          <w:tcPr>
            <w:tcW w:w="0" w:type="dxa"/>
            <w:vAlign w:val="bottom"/>
          </w:tcPr>
          <w:p>
            <w:pPr>
              <w:spacing w:after="0"/>
              <w:rPr>
                <w:sz w:val="1"/>
                <w:szCs w:val="1"/>
                <w:color w:val="auto"/>
              </w:rPr>
            </w:pPr>
          </w:p>
        </w:tc>
      </w:tr>
      <w:tr>
        <w:trPr>
          <w:trHeight w:val="137"/>
        </w:trPr>
        <w:tc>
          <w:tcPr>
            <w:tcW w:w="3120" w:type="dxa"/>
            <w:vAlign w:val="bottom"/>
          </w:tcPr>
          <w:p>
            <w:pPr>
              <w:spacing w:after="0" w:line="137" w:lineRule="exact"/>
              <w:rPr>
                <w:sz w:val="20"/>
                <w:szCs w:val="20"/>
                <w:color w:val="auto"/>
              </w:rPr>
            </w:pPr>
            <w:r>
              <w:rPr>
                <w:rFonts w:ascii="Arial" w:cs="Arial" w:eastAsia="Arial" w:hAnsi="Arial"/>
                <w:sz w:val="14"/>
                <w:szCs w:val="14"/>
                <w:color w:val="auto"/>
              </w:rPr>
              <w:t>Cumulative adjustment from</w:t>
            </w: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20" w:type="dxa"/>
            <w:vAlign w:val="bottom"/>
          </w:tcPr>
          <w:p>
            <w:pPr>
              <w:ind w:left="120"/>
              <w:spacing w:after="0"/>
              <w:rPr>
                <w:sz w:val="20"/>
                <w:szCs w:val="20"/>
                <w:color w:val="auto"/>
              </w:rPr>
            </w:pPr>
            <w:r>
              <w:rPr>
                <w:rFonts w:ascii="Arial" w:cs="Arial" w:eastAsia="Arial" w:hAnsi="Arial"/>
                <w:sz w:val="14"/>
                <w:szCs w:val="14"/>
                <w:color w:val="auto"/>
              </w:rPr>
              <w:t>ASC 606, net of tax</w:t>
            </w:r>
          </w:p>
        </w:tc>
        <w:tc>
          <w:tcPr>
            <w:tcW w:w="6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4,413</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4,413</w:t>
            </w:r>
          </w:p>
        </w:tc>
        <w:tc>
          <w:tcPr>
            <w:tcW w:w="0" w:type="dxa"/>
            <w:vAlign w:val="bottom"/>
          </w:tcPr>
          <w:p>
            <w:pPr>
              <w:spacing w:after="0"/>
              <w:rPr>
                <w:sz w:val="1"/>
                <w:szCs w:val="1"/>
                <w:color w:val="auto"/>
              </w:rPr>
            </w:pPr>
          </w:p>
        </w:tc>
      </w:tr>
      <w:tr>
        <w:trPr>
          <w:trHeight w:val="162"/>
        </w:trPr>
        <w:tc>
          <w:tcPr>
            <w:tcW w:w="312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6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(51,930)</w:t>
            </w:r>
          </w:p>
        </w:tc>
        <w:tc>
          <w:tcPr>
            <w:tcW w:w="18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(51,930)</w:t>
            </w:r>
          </w:p>
        </w:tc>
        <w:tc>
          <w:tcPr>
            <w:tcW w:w="0" w:type="dxa"/>
            <w:vAlign w:val="bottom"/>
          </w:tcPr>
          <w:p>
            <w:pPr>
              <w:spacing w:after="0"/>
              <w:rPr>
                <w:sz w:val="1"/>
                <w:szCs w:val="1"/>
                <w:color w:val="auto"/>
              </w:rPr>
            </w:pPr>
          </w:p>
        </w:tc>
      </w:tr>
      <w:tr>
        <w:trPr>
          <w:trHeight w:val="162"/>
        </w:trPr>
        <w:tc>
          <w:tcPr>
            <w:tcW w:w="3120" w:type="dxa"/>
            <w:vAlign w:val="bottom"/>
          </w:tcPr>
          <w:p>
            <w:pPr>
              <w:spacing w:after="0"/>
              <w:rPr>
                <w:sz w:val="20"/>
                <w:szCs w:val="20"/>
                <w:color w:val="auto"/>
              </w:rPr>
            </w:pPr>
            <w:r>
              <w:rPr>
                <w:rFonts w:ascii="Arial" w:cs="Arial" w:eastAsia="Arial" w:hAnsi="Arial"/>
                <w:sz w:val="14"/>
                <w:szCs w:val="14"/>
                <w:color w:val="auto"/>
              </w:rPr>
              <w:t>Other comprehensive loss</w:t>
            </w:r>
          </w:p>
        </w:tc>
        <w:tc>
          <w:tcPr>
            <w:tcW w:w="6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(8,744)</w:t>
            </w:r>
          </w:p>
        </w:tc>
        <w:tc>
          <w:tcPr>
            <w:tcW w:w="20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(8,744)</w:t>
            </w:r>
          </w:p>
        </w:tc>
        <w:tc>
          <w:tcPr>
            <w:tcW w:w="0" w:type="dxa"/>
            <w:vAlign w:val="bottom"/>
          </w:tcPr>
          <w:p>
            <w:pPr>
              <w:spacing w:after="0"/>
              <w:rPr>
                <w:sz w:val="1"/>
                <w:szCs w:val="1"/>
                <w:color w:val="auto"/>
              </w:rPr>
            </w:pPr>
          </w:p>
        </w:tc>
      </w:tr>
      <w:tr>
        <w:trPr>
          <w:trHeight w:val="143"/>
        </w:trPr>
        <w:tc>
          <w:tcPr>
            <w:tcW w:w="31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Employee and non-employee</w:t>
            </w:r>
          </w:p>
        </w:tc>
        <w:tc>
          <w:tcPr>
            <w:tcW w:w="6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restricted stock</w:t>
            </w:r>
          </w:p>
        </w:tc>
        <w:tc>
          <w:tcPr>
            <w:tcW w:w="6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13,437</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13,437</w:t>
            </w:r>
          </w:p>
        </w:tc>
        <w:tc>
          <w:tcPr>
            <w:tcW w:w="0" w:type="dxa"/>
            <w:vAlign w:val="bottom"/>
          </w:tcPr>
          <w:p>
            <w:pPr>
              <w:spacing w:after="0"/>
              <w:rPr>
                <w:sz w:val="1"/>
                <w:szCs w:val="1"/>
                <w:color w:val="auto"/>
              </w:rPr>
            </w:pPr>
          </w:p>
        </w:tc>
      </w:tr>
      <w:tr>
        <w:trPr>
          <w:trHeight w:val="162"/>
        </w:trPr>
        <w:tc>
          <w:tcPr>
            <w:tcW w:w="3120" w:type="dxa"/>
            <w:vAlign w:val="bottom"/>
          </w:tcPr>
          <w:p>
            <w:pPr>
              <w:spacing w:after="0"/>
              <w:rPr>
                <w:sz w:val="20"/>
                <w:szCs w:val="20"/>
                <w:color w:val="auto"/>
              </w:rPr>
            </w:pPr>
            <w:r>
              <w:rPr>
                <w:rFonts w:ascii="Arial" w:cs="Arial" w:eastAsia="Arial" w:hAnsi="Arial"/>
                <w:sz w:val="14"/>
                <w:szCs w:val="14"/>
                <w:color w:val="auto"/>
              </w:rPr>
              <w:t>Restricted stock issuance</w:t>
            </w:r>
          </w:p>
        </w:tc>
        <w:tc>
          <w:tcPr>
            <w:tcW w:w="6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390</w:t>
            </w:r>
          </w:p>
        </w:tc>
        <w:tc>
          <w:tcPr>
            <w:tcW w:w="2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(390)</w:t>
            </w:r>
          </w:p>
        </w:tc>
        <w:tc>
          <w:tcPr>
            <w:tcW w:w="1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120" w:type="dxa"/>
            <w:vAlign w:val="bottom"/>
            <w:shd w:val="clear" w:color="auto" w:fill="CFF0FC"/>
          </w:tcPr>
          <w:p>
            <w:pPr>
              <w:spacing w:after="0"/>
              <w:rPr>
                <w:sz w:val="20"/>
                <w:szCs w:val="20"/>
                <w:color w:val="auto"/>
              </w:rPr>
            </w:pPr>
            <w:r>
              <w:rPr>
                <w:rFonts w:ascii="Arial" w:cs="Arial" w:eastAsia="Arial" w:hAnsi="Arial"/>
                <w:sz w:val="14"/>
                <w:szCs w:val="14"/>
                <w:color w:val="auto"/>
              </w:rPr>
              <w:t>Restricted shares withheld for taxes</w:t>
            </w:r>
          </w:p>
        </w:tc>
        <w:tc>
          <w:tcPr>
            <w:tcW w:w="6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(70)</w:t>
            </w:r>
          </w:p>
        </w:tc>
        <w:tc>
          <w:tcPr>
            <w:tcW w:w="24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70</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(2,853)</w:t>
            </w:r>
          </w:p>
        </w:tc>
        <w:tc>
          <w:tcPr>
            <w:tcW w:w="18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(2,853)</w:t>
            </w:r>
          </w:p>
        </w:tc>
        <w:tc>
          <w:tcPr>
            <w:tcW w:w="0" w:type="dxa"/>
            <w:vAlign w:val="bottom"/>
          </w:tcPr>
          <w:p>
            <w:pPr>
              <w:spacing w:after="0"/>
              <w:rPr>
                <w:sz w:val="1"/>
                <w:szCs w:val="1"/>
                <w:color w:val="auto"/>
              </w:rPr>
            </w:pPr>
          </w:p>
        </w:tc>
      </w:tr>
      <w:tr>
        <w:trPr>
          <w:trHeight w:val="162"/>
        </w:trPr>
        <w:tc>
          <w:tcPr>
            <w:tcW w:w="3120" w:type="dxa"/>
            <w:vAlign w:val="bottom"/>
          </w:tcPr>
          <w:p>
            <w:pPr>
              <w:spacing w:after="0"/>
              <w:rPr>
                <w:sz w:val="20"/>
                <w:szCs w:val="20"/>
                <w:color w:val="auto"/>
              </w:rPr>
            </w:pPr>
            <w:r>
              <w:rPr>
                <w:rFonts w:ascii="Arial" w:cs="Arial" w:eastAsia="Arial" w:hAnsi="Arial"/>
                <w:sz w:val="14"/>
                <w:szCs w:val="14"/>
                <w:color w:val="auto"/>
              </w:rPr>
              <w:t>Shares repurchased</w:t>
            </w:r>
          </w:p>
        </w:tc>
        <w:tc>
          <w:tcPr>
            <w:tcW w:w="6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(968)</w:t>
            </w:r>
          </w:p>
        </w:tc>
        <w:tc>
          <w:tcPr>
            <w:tcW w:w="240" w:type="dxa"/>
            <w:vAlign w:val="bottom"/>
          </w:tcPr>
          <w:p>
            <w:pPr>
              <w:spacing w:after="0"/>
              <w:rPr>
                <w:sz w:val="14"/>
                <w:szCs w:val="14"/>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(44,977)</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(45,945)</w:t>
            </w:r>
          </w:p>
        </w:tc>
        <w:tc>
          <w:tcPr>
            <w:tcW w:w="0" w:type="dxa"/>
            <w:vAlign w:val="bottom"/>
          </w:tcPr>
          <w:p>
            <w:pPr>
              <w:spacing w:after="0"/>
              <w:rPr>
                <w:sz w:val="1"/>
                <w:szCs w:val="1"/>
                <w:color w:val="auto"/>
              </w:rPr>
            </w:pPr>
          </w:p>
        </w:tc>
      </w:tr>
      <w:tr>
        <w:trPr>
          <w:trHeight w:val="162"/>
        </w:trPr>
        <w:tc>
          <w:tcPr>
            <w:tcW w:w="3120" w:type="dxa"/>
            <w:vAlign w:val="bottom"/>
            <w:shd w:val="clear" w:color="auto" w:fill="CFF0FC"/>
          </w:tcPr>
          <w:p>
            <w:pPr>
              <w:spacing w:after="0"/>
              <w:rPr>
                <w:sz w:val="20"/>
                <w:szCs w:val="20"/>
                <w:color w:val="auto"/>
              </w:rPr>
            </w:pPr>
            <w:r>
              <w:rPr>
                <w:rFonts w:ascii="Arial" w:cs="Arial" w:eastAsia="Arial" w:hAnsi="Arial"/>
                <w:sz w:val="14"/>
                <w:szCs w:val="14"/>
                <w:color w:val="auto"/>
              </w:rPr>
              <w:t>Other</w:t>
            </w:r>
          </w:p>
        </w:tc>
        <w:tc>
          <w:tcPr>
            <w:tcW w:w="6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8</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(153)</w:t>
            </w:r>
          </w:p>
        </w:tc>
        <w:tc>
          <w:tcPr>
            <w:tcW w:w="24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144</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2"/>
        </w:trPr>
        <w:tc>
          <w:tcPr>
            <w:tcW w:w="3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Noncontrolling interest – loss</w:t>
            </w:r>
          </w:p>
        </w:tc>
        <w:tc>
          <w:tcPr>
            <w:tcW w:w="6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(1,530)</w:t>
            </w: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(1,530)</w:t>
            </w:r>
          </w:p>
        </w:tc>
        <w:tc>
          <w:tcPr>
            <w:tcW w:w="0" w:type="dxa"/>
            <w:vAlign w:val="bottom"/>
          </w:tcPr>
          <w:p>
            <w:pPr>
              <w:spacing w:after="0"/>
              <w:rPr>
                <w:sz w:val="1"/>
                <w:szCs w:val="1"/>
                <w:color w:val="auto"/>
              </w:rPr>
            </w:pPr>
          </w:p>
        </w:tc>
      </w:tr>
      <w:tr>
        <w:trPr>
          <w:trHeight w:val="155"/>
        </w:trPr>
        <w:tc>
          <w:tcPr>
            <w:tcW w:w="3120" w:type="dxa"/>
            <w:vAlign w:val="bottom"/>
            <w:tcBorders>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Balance February 2, 2019</w:t>
            </w:r>
          </w:p>
        </w:tc>
        <w:tc>
          <w:tcPr>
            <w:tcW w:w="62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1,060</w:t>
            </w:r>
          </w:p>
        </w:tc>
        <w:tc>
          <w:tcPr>
            <w:tcW w:w="200" w:type="dxa"/>
            <w:vAlign w:val="bottom"/>
            <w:tcBorders>
              <w:bottom w:val="single" w:sz="8" w:color="auto"/>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19,591</w:t>
            </w:r>
          </w:p>
        </w:tc>
        <w:tc>
          <w:tcPr>
            <w:tcW w:w="24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rPr>
              <w:t>264,138</w:t>
            </w:r>
          </w:p>
        </w:tc>
        <w:tc>
          <w:tcPr>
            <w:tcW w:w="180" w:type="dxa"/>
            <w:vAlign w:val="bottom"/>
            <w:tcBorders>
              <w:bottom w:val="single" w:sz="8" w:color="auto"/>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508,555</w:t>
            </w:r>
          </w:p>
        </w:tc>
        <w:tc>
          <w:tcPr>
            <w:tcW w:w="180" w:type="dxa"/>
            <w:vAlign w:val="bottom"/>
            <w:tcBorders>
              <w:bottom w:val="single" w:sz="8" w:color="auto"/>
            </w:tcBorders>
            <w:shd w:val="clear" w:color="auto" w:fill="CFF0FC"/>
          </w:tcPr>
          <w:p>
            <w:pPr>
              <w:spacing w:after="0"/>
              <w:rPr>
                <w:sz w:val="13"/>
                <w:szCs w:val="13"/>
                <w:color w:val="auto"/>
              </w:rPr>
            </w:pPr>
          </w:p>
        </w:tc>
        <w:tc>
          <w:tcPr>
            <w:tcW w:w="100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(37,936)</w:t>
            </w:r>
          </w:p>
        </w:tc>
        <w:tc>
          <w:tcPr>
            <w:tcW w:w="20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(17,857)</w:t>
            </w:r>
          </w:p>
        </w:tc>
        <w:tc>
          <w:tcPr>
            <w:tcW w:w="26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737,551</w:t>
            </w:r>
          </w:p>
        </w:tc>
        <w:tc>
          <w:tcPr>
            <w:tcW w:w="0" w:type="dxa"/>
            <w:vAlign w:val="bottom"/>
          </w:tcPr>
          <w:p>
            <w:pPr>
              <w:spacing w:after="0"/>
              <w:rPr>
                <w:sz w:val="1"/>
                <w:szCs w:val="1"/>
                <w:color w:val="auto"/>
              </w:rPr>
            </w:pPr>
          </w:p>
        </w:tc>
      </w:tr>
      <w:tr>
        <w:trPr>
          <w:trHeight w:val="137"/>
        </w:trPr>
        <w:tc>
          <w:tcPr>
            <w:tcW w:w="3120" w:type="dxa"/>
            <w:vAlign w:val="bottom"/>
          </w:tcPr>
          <w:p>
            <w:pPr>
              <w:spacing w:after="0" w:line="137" w:lineRule="exact"/>
              <w:rPr>
                <w:sz w:val="20"/>
                <w:szCs w:val="20"/>
                <w:color w:val="auto"/>
              </w:rPr>
            </w:pPr>
            <w:r>
              <w:rPr>
                <w:rFonts w:ascii="Arial" w:cs="Arial" w:eastAsia="Arial" w:hAnsi="Arial"/>
                <w:sz w:val="14"/>
                <w:szCs w:val="14"/>
                <w:color w:val="auto"/>
              </w:rPr>
              <w:t>Cumulative adjustment from</w:t>
            </w: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20" w:type="dxa"/>
            <w:vAlign w:val="bottom"/>
          </w:tcPr>
          <w:p>
            <w:pPr>
              <w:ind w:left="120"/>
              <w:spacing w:after="0"/>
              <w:rPr>
                <w:sz w:val="20"/>
                <w:szCs w:val="20"/>
                <w:color w:val="auto"/>
              </w:rPr>
            </w:pPr>
            <w:r>
              <w:rPr>
                <w:rFonts w:ascii="Arial" w:cs="Arial" w:eastAsia="Arial" w:hAnsi="Arial"/>
                <w:sz w:val="14"/>
                <w:szCs w:val="14"/>
                <w:color w:val="auto"/>
              </w:rPr>
              <w:t>ASC 842, net of tax</w:t>
            </w:r>
          </w:p>
        </w:tc>
        <w:tc>
          <w:tcPr>
            <w:tcW w:w="6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(4,208)</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(4,208)</w:t>
            </w:r>
          </w:p>
        </w:tc>
        <w:tc>
          <w:tcPr>
            <w:tcW w:w="0" w:type="dxa"/>
            <w:vAlign w:val="bottom"/>
          </w:tcPr>
          <w:p>
            <w:pPr>
              <w:spacing w:after="0"/>
              <w:rPr>
                <w:sz w:val="1"/>
                <w:szCs w:val="1"/>
                <w:color w:val="auto"/>
              </w:rPr>
            </w:pPr>
          </w:p>
        </w:tc>
      </w:tr>
      <w:tr>
        <w:trPr>
          <w:trHeight w:val="162"/>
        </w:trPr>
        <w:tc>
          <w:tcPr>
            <w:tcW w:w="3120" w:type="dxa"/>
            <w:vAlign w:val="bottom"/>
            <w:shd w:val="clear" w:color="auto" w:fill="CFF0FC"/>
          </w:tcPr>
          <w:p>
            <w:pPr>
              <w:spacing w:after="0"/>
              <w:rPr>
                <w:sz w:val="20"/>
                <w:szCs w:val="20"/>
                <w:color w:val="auto"/>
              </w:rPr>
            </w:pPr>
            <w:r>
              <w:rPr>
                <w:rFonts w:ascii="Arial" w:cs="Arial" w:eastAsia="Arial" w:hAnsi="Arial"/>
                <w:sz w:val="14"/>
                <w:szCs w:val="14"/>
                <w:color w:val="auto"/>
              </w:rPr>
              <w:t>Net earnings</w:t>
            </w:r>
          </w:p>
        </w:tc>
        <w:tc>
          <w:tcPr>
            <w:tcW w:w="6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61,384</w:t>
            </w:r>
          </w:p>
        </w:tc>
        <w:tc>
          <w:tcPr>
            <w:tcW w:w="18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61,384</w:t>
            </w:r>
          </w:p>
        </w:tc>
        <w:tc>
          <w:tcPr>
            <w:tcW w:w="0" w:type="dxa"/>
            <w:vAlign w:val="bottom"/>
          </w:tcPr>
          <w:p>
            <w:pPr>
              <w:spacing w:after="0"/>
              <w:rPr>
                <w:sz w:val="1"/>
                <w:szCs w:val="1"/>
                <w:color w:val="auto"/>
              </w:rPr>
            </w:pPr>
          </w:p>
        </w:tc>
      </w:tr>
      <w:tr>
        <w:trPr>
          <w:trHeight w:val="162"/>
        </w:trPr>
        <w:tc>
          <w:tcPr>
            <w:tcW w:w="3120" w:type="dxa"/>
            <w:vAlign w:val="bottom"/>
          </w:tcPr>
          <w:p>
            <w:pPr>
              <w:spacing w:after="0"/>
              <w:rPr>
                <w:sz w:val="20"/>
                <w:szCs w:val="20"/>
                <w:color w:val="auto"/>
              </w:rPr>
            </w:pPr>
            <w:r>
              <w:rPr>
                <w:rFonts w:ascii="Arial" w:cs="Arial" w:eastAsia="Arial" w:hAnsi="Arial"/>
                <w:sz w:val="14"/>
                <w:szCs w:val="14"/>
                <w:color w:val="auto"/>
              </w:rPr>
              <w:t>Other comprehensive income</w:t>
            </w:r>
          </w:p>
        </w:tc>
        <w:tc>
          <w:tcPr>
            <w:tcW w:w="6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6,268</w:t>
            </w:r>
          </w:p>
        </w:tc>
        <w:tc>
          <w:tcPr>
            <w:tcW w:w="20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6,268</w:t>
            </w:r>
          </w:p>
        </w:tc>
        <w:tc>
          <w:tcPr>
            <w:tcW w:w="0" w:type="dxa"/>
            <w:vAlign w:val="bottom"/>
          </w:tcPr>
          <w:p>
            <w:pPr>
              <w:spacing w:after="0"/>
              <w:rPr>
                <w:sz w:val="1"/>
                <w:szCs w:val="1"/>
                <w:color w:val="auto"/>
              </w:rPr>
            </w:pPr>
          </w:p>
        </w:tc>
      </w:tr>
      <w:tr>
        <w:trPr>
          <w:trHeight w:val="162"/>
        </w:trPr>
        <w:tc>
          <w:tcPr>
            <w:tcW w:w="3120" w:type="dxa"/>
            <w:vAlign w:val="bottom"/>
            <w:shd w:val="clear" w:color="auto" w:fill="CFF0FC"/>
          </w:tcPr>
          <w:p>
            <w:pPr>
              <w:spacing w:after="0"/>
              <w:rPr>
                <w:sz w:val="20"/>
                <w:szCs w:val="20"/>
                <w:color w:val="auto"/>
              </w:rPr>
            </w:pPr>
            <w:r>
              <w:rPr>
                <w:rFonts w:ascii="Arial" w:cs="Arial" w:eastAsia="Arial" w:hAnsi="Arial"/>
                <w:sz w:val="14"/>
                <w:szCs w:val="14"/>
                <w:color w:val="auto"/>
              </w:rPr>
              <w:t>Employee and non-employee restricted stock</w:t>
            </w:r>
          </w:p>
        </w:tc>
        <w:tc>
          <w:tcPr>
            <w:tcW w:w="6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10,077</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10,077</w:t>
            </w:r>
          </w:p>
        </w:tc>
        <w:tc>
          <w:tcPr>
            <w:tcW w:w="0" w:type="dxa"/>
            <w:vAlign w:val="bottom"/>
          </w:tcPr>
          <w:p>
            <w:pPr>
              <w:spacing w:after="0"/>
              <w:rPr>
                <w:sz w:val="1"/>
                <w:szCs w:val="1"/>
                <w:color w:val="auto"/>
              </w:rPr>
            </w:pPr>
          </w:p>
        </w:tc>
      </w:tr>
      <w:tr>
        <w:trPr>
          <w:trHeight w:val="162"/>
        </w:trPr>
        <w:tc>
          <w:tcPr>
            <w:tcW w:w="3120" w:type="dxa"/>
            <w:vAlign w:val="bottom"/>
          </w:tcPr>
          <w:p>
            <w:pPr>
              <w:spacing w:after="0"/>
              <w:rPr>
                <w:sz w:val="20"/>
                <w:szCs w:val="20"/>
                <w:color w:val="auto"/>
              </w:rPr>
            </w:pPr>
            <w:r>
              <w:rPr>
                <w:rFonts w:ascii="Arial" w:cs="Arial" w:eastAsia="Arial" w:hAnsi="Arial"/>
                <w:sz w:val="14"/>
                <w:szCs w:val="14"/>
                <w:color w:val="auto"/>
              </w:rPr>
              <w:t>Restricted stock issuance</w:t>
            </w:r>
          </w:p>
        </w:tc>
        <w:tc>
          <w:tcPr>
            <w:tcW w:w="6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285</w:t>
            </w:r>
          </w:p>
        </w:tc>
        <w:tc>
          <w:tcPr>
            <w:tcW w:w="2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(285)</w:t>
            </w:r>
          </w:p>
        </w:tc>
        <w:tc>
          <w:tcPr>
            <w:tcW w:w="1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120" w:type="dxa"/>
            <w:vAlign w:val="bottom"/>
            <w:shd w:val="clear" w:color="auto" w:fill="CFF0FC"/>
          </w:tcPr>
          <w:p>
            <w:pPr>
              <w:spacing w:after="0"/>
              <w:rPr>
                <w:sz w:val="20"/>
                <w:szCs w:val="20"/>
                <w:color w:val="auto"/>
              </w:rPr>
            </w:pPr>
            <w:r>
              <w:rPr>
                <w:rFonts w:ascii="Arial" w:cs="Arial" w:eastAsia="Arial" w:hAnsi="Arial"/>
                <w:sz w:val="14"/>
                <w:szCs w:val="14"/>
                <w:color w:val="auto"/>
              </w:rPr>
              <w:t>Restricted shares withheld for taxes</w:t>
            </w:r>
          </w:p>
        </w:tc>
        <w:tc>
          <w:tcPr>
            <w:tcW w:w="6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(56)</w:t>
            </w:r>
          </w:p>
        </w:tc>
        <w:tc>
          <w:tcPr>
            <w:tcW w:w="24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56</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(2,355)</w:t>
            </w:r>
          </w:p>
        </w:tc>
        <w:tc>
          <w:tcPr>
            <w:tcW w:w="18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(2,355)</w:t>
            </w:r>
          </w:p>
        </w:tc>
        <w:tc>
          <w:tcPr>
            <w:tcW w:w="0" w:type="dxa"/>
            <w:vAlign w:val="bottom"/>
          </w:tcPr>
          <w:p>
            <w:pPr>
              <w:spacing w:after="0"/>
              <w:rPr>
                <w:sz w:val="1"/>
                <w:szCs w:val="1"/>
                <w:color w:val="auto"/>
              </w:rPr>
            </w:pPr>
          </w:p>
        </w:tc>
      </w:tr>
      <w:tr>
        <w:trPr>
          <w:trHeight w:val="162"/>
        </w:trPr>
        <w:tc>
          <w:tcPr>
            <w:tcW w:w="3120" w:type="dxa"/>
            <w:vAlign w:val="bottom"/>
          </w:tcPr>
          <w:p>
            <w:pPr>
              <w:spacing w:after="0"/>
              <w:rPr>
                <w:sz w:val="20"/>
                <w:szCs w:val="20"/>
                <w:color w:val="auto"/>
              </w:rPr>
            </w:pPr>
            <w:r>
              <w:rPr>
                <w:rFonts w:ascii="Arial" w:cs="Arial" w:eastAsia="Arial" w:hAnsi="Arial"/>
                <w:sz w:val="14"/>
                <w:szCs w:val="14"/>
                <w:color w:val="auto"/>
              </w:rPr>
              <w:t>Shares repurchased</w:t>
            </w:r>
          </w:p>
        </w:tc>
        <w:tc>
          <w:tcPr>
            <w:tcW w:w="6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(4,570)</w:t>
            </w:r>
          </w:p>
        </w:tc>
        <w:tc>
          <w:tcPr>
            <w:tcW w:w="240" w:type="dxa"/>
            <w:vAlign w:val="bottom"/>
          </w:tcPr>
          <w:p>
            <w:pPr>
              <w:spacing w:after="0"/>
              <w:rPr>
                <w:sz w:val="14"/>
                <w:szCs w:val="14"/>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(184,804)</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(189,374)</w:t>
            </w:r>
          </w:p>
        </w:tc>
        <w:tc>
          <w:tcPr>
            <w:tcW w:w="0" w:type="dxa"/>
            <w:vAlign w:val="bottom"/>
          </w:tcPr>
          <w:p>
            <w:pPr>
              <w:spacing w:after="0"/>
              <w:rPr>
                <w:sz w:val="1"/>
                <w:szCs w:val="1"/>
                <w:color w:val="auto"/>
              </w:rPr>
            </w:pPr>
          </w:p>
        </w:tc>
      </w:tr>
      <w:tr>
        <w:trPr>
          <w:trHeight w:val="162"/>
        </w:trPr>
        <w:tc>
          <w:tcPr>
            <w:tcW w:w="3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4"/>
                <w:szCs w:val="14"/>
                <w:color w:val="auto"/>
              </w:rPr>
              <w:t>Other</w:t>
            </w:r>
          </w:p>
        </w:tc>
        <w:tc>
          <w:tcPr>
            <w:tcW w:w="62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(51)</w:t>
            </w:r>
          </w:p>
        </w:tc>
        <w:tc>
          <w:tcPr>
            <w:tcW w:w="20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(64)</w:t>
            </w:r>
          </w:p>
        </w:tc>
        <w:tc>
          <w:tcPr>
            <w:tcW w:w="24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115</w:t>
            </w:r>
          </w:p>
        </w:tc>
        <w:tc>
          <w:tcPr>
            <w:tcW w:w="18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31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Balance February 1, 2020</w:t>
            </w:r>
          </w:p>
        </w:tc>
        <w:tc>
          <w:tcPr>
            <w:tcW w:w="6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1,009</w:t>
            </w: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15,186</w:t>
            </w: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274,101</w:t>
            </w: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378,572</w:t>
            </w: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(31,668)</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(17,857)</w:t>
            </w:r>
          </w:p>
        </w:tc>
        <w:tc>
          <w:tcPr>
            <w:tcW w:w="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619,343</w:t>
            </w:r>
          </w:p>
        </w:tc>
        <w:tc>
          <w:tcPr>
            <w:tcW w:w="0" w:type="dxa"/>
            <w:vAlign w:val="bottom"/>
          </w:tcPr>
          <w:p>
            <w:pPr>
              <w:spacing w:after="0"/>
              <w:rPr>
                <w:sz w:val="1"/>
                <w:szCs w:val="1"/>
                <w:color w:val="auto"/>
              </w:rPr>
            </w:pPr>
          </w:p>
        </w:tc>
      </w:tr>
      <w:tr>
        <w:trPr>
          <w:trHeight w:val="156"/>
        </w:trPr>
        <w:tc>
          <w:tcPr>
            <w:tcW w:w="31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Net loss</w:t>
            </w:r>
          </w:p>
        </w:tc>
        <w:tc>
          <w:tcPr>
            <w:tcW w:w="6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(56,429)</w:t>
            </w:r>
          </w:p>
        </w:tc>
        <w:tc>
          <w:tcPr>
            <w:tcW w:w="180" w:type="dxa"/>
            <w:vAlign w:val="bottom"/>
            <w:shd w:val="clear" w:color="auto" w:fill="CFF0FC"/>
          </w:tcPr>
          <w:p>
            <w:pPr>
              <w:spacing w:after="0"/>
              <w:rPr>
                <w:sz w:val="13"/>
                <w:szCs w:val="13"/>
                <w:color w:val="auto"/>
              </w:rPr>
            </w:pPr>
          </w:p>
        </w:tc>
        <w:tc>
          <w:tcPr>
            <w:tcW w:w="100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(56,429)</w:t>
            </w:r>
          </w:p>
        </w:tc>
        <w:tc>
          <w:tcPr>
            <w:tcW w:w="0" w:type="dxa"/>
            <w:vAlign w:val="bottom"/>
          </w:tcPr>
          <w:p>
            <w:pPr>
              <w:spacing w:after="0"/>
              <w:rPr>
                <w:sz w:val="1"/>
                <w:szCs w:val="1"/>
                <w:color w:val="auto"/>
              </w:rPr>
            </w:pPr>
          </w:p>
        </w:tc>
      </w:tr>
      <w:tr>
        <w:trPr>
          <w:trHeight w:val="162"/>
        </w:trPr>
        <w:tc>
          <w:tcPr>
            <w:tcW w:w="3120" w:type="dxa"/>
            <w:vAlign w:val="bottom"/>
          </w:tcPr>
          <w:p>
            <w:pPr>
              <w:spacing w:after="0"/>
              <w:rPr>
                <w:sz w:val="20"/>
                <w:szCs w:val="20"/>
                <w:color w:val="auto"/>
              </w:rPr>
            </w:pPr>
            <w:r>
              <w:rPr>
                <w:rFonts w:ascii="Arial" w:cs="Arial" w:eastAsia="Arial" w:hAnsi="Arial"/>
                <w:sz w:val="14"/>
                <w:szCs w:val="14"/>
                <w:color w:val="auto"/>
              </w:rPr>
              <w:t>Other comprehensive loss</w:t>
            </w:r>
          </w:p>
        </w:tc>
        <w:tc>
          <w:tcPr>
            <w:tcW w:w="6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(3,391)</w:t>
            </w:r>
          </w:p>
        </w:tc>
        <w:tc>
          <w:tcPr>
            <w:tcW w:w="20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(3,391)</w:t>
            </w:r>
          </w:p>
        </w:tc>
        <w:tc>
          <w:tcPr>
            <w:tcW w:w="0" w:type="dxa"/>
            <w:vAlign w:val="bottom"/>
          </w:tcPr>
          <w:p>
            <w:pPr>
              <w:spacing w:after="0"/>
              <w:rPr>
                <w:sz w:val="1"/>
                <w:szCs w:val="1"/>
                <w:color w:val="auto"/>
              </w:rPr>
            </w:pPr>
          </w:p>
        </w:tc>
      </w:tr>
      <w:tr>
        <w:trPr>
          <w:trHeight w:val="162"/>
        </w:trPr>
        <w:tc>
          <w:tcPr>
            <w:tcW w:w="3120" w:type="dxa"/>
            <w:vAlign w:val="bottom"/>
            <w:shd w:val="clear" w:color="auto" w:fill="CFF0FC"/>
          </w:tcPr>
          <w:p>
            <w:pPr>
              <w:spacing w:after="0"/>
              <w:rPr>
                <w:sz w:val="20"/>
                <w:szCs w:val="20"/>
                <w:color w:val="auto"/>
              </w:rPr>
            </w:pPr>
            <w:r>
              <w:rPr>
                <w:rFonts w:ascii="Arial" w:cs="Arial" w:eastAsia="Arial" w:hAnsi="Arial"/>
                <w:sz w:val="14"/>
                <w:szCs w:val="14"/>
                <w:color w:val="auto"/>
              </w:rPr>
              <w:t>Employee and non-employee restricted stock</w:t>
            </w:r>
          </w:p>
        </w:tc>
        <w:tc>
          <w:tcPr>
            <w:tcW w:w="6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8,460</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8,460</w:t>
            </w:r>
          </w:p>
        </w:tc>
        <w:tc>
          <w:tcPr>
            <w:tcW w:w="0" w:type="dxa"/>
            <w:vAlign w:val="bottom"/>
          </w:tcPr>
          <w:p>
            <w:pPr>
              <w:spacing w:after="0"/>
              <w:rPr>
                <w:sz w:val="1"/>
                <w:szCs w:val="1"/>
                <w:color w:val="auto"/>
              </w:rPr>
            </w:pPr>
          </w:p>
        </w:tc>
      </w:tr>
      <w:tr>
        <w:trPr>
          <w:trHeight w:val="162"/>
        </w:trPr>
        <w:tc>
          <w:tcPr>
            <w:tcW w:w="3120" w:type="dxa"/>
            <w:vAlign w:val="bottom"/>
          </w:tcPr>
          <w:p>
            <w:pPr>
              <w:spacing w:after="0"/>
              <w:rPr>
                <w:sz w:val="20"/>
                <w:szCs w:val="20"/>
                <w:color w:val="auto"/>
              </w:rPr>
            </w:pPr>
            <w:r>
              <w:rPr>
                <w:rFonts w:ascii="Arial" w:cs="Arial" w:eastAsia="Arial" w:hAnsi="Arial"/>
                <w:sz w:val="14"/>
                <w:szCs w:val="14"/>
                <w:color w:val="auto"/>
              </w:rPr>
              <w:t>Restricted stock issuance</w:t>
            </w:r>
          </w:p>
        </w:tc>
        <w:tc>
          <w:tcPr>
            <w:tcW w:w="6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467</w:t>
            </w:r>
          </w:p>
        </w:tc>
        <w:tc>
          <w:tcPr>
            <w:tcW w:w="2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(467)</w:t>
            </w:r>
          </w:p>
        </w:tc>
        <w:tc>
          <w:tcPr>
            <w:tcW w:w="1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120" w:type="dxa"/>
            <w:vAlign w:val="bottom"/>
            <w:shd w:val="clear" w:color="auto" w:fill="CFF0FC"/>
          </w:tcPr>
          <w:p>
            <w:pPr>
              <w:spacing w:after="0"/>
              <w:rPr>
                <w:sz w:val="20"/>
                <w:szCs w:val="20"/>
                <w:color w:val="auto"/>
              </w:rPr>
            </w:pPr>
            <w:r>
              <w:rPr>
                <w:rFonts w:ascii="Arial" w:cs="Arial" w:eastAsia="Arial" w:hAnsi="Arial"/>
                <w:sz w:val="14"/>
                <w:szCs w:val="14"/>
                <w:color w:val="auto"/>
              </w:rPr>
              <w:t>Restricted shares withheld for taxes</w:t>
            </w:r>
          </w:p>
        </w:tc>
        <w:tc>
          <w:tcPr>
            <w:tcW w:w="6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(65)</w:t>
            </w:r>
          </w:p>
        </w:tc>
        <w:tc>
          <w:tcPr>
            <w:tcW w:w="24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65</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(1,223)</w:t>
            </w:r>
          </w:p>
        </w:tc>
        <w:tc>
          <w:tcPr>
            <w:tcW w:w="18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(1,223)</w:t>
            </w:r>
          </w:p>
        </w:tc>
        <w:tc>
          <w:tcPr>
            <w:tcW w:w="0" w:type="dxa"/>
            <w:vAlign w:val="bottom"/>
          </w:tcPr>
          <w:p>
            <w:pPr>
              <w:spacing w:after="0"/>
              <w:rPr>
                <w:sz w:val="1"/>
                <w:szCs w:val="1"/>
                <w:color w:val="auto"/>
              </w:rPr>
            </w:pPr>
          </w:p>
        </w:tc>
      </w:tr>
      <w:tr>
        <w:trPr>
          <w:trHeight w:val="162"/>
        </w:trPr>
        <w:tc>
          <w:tcPr>
            <w:tcW w:w="3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Other</w:t>
            </w:r>
          </w:p>
        </w:tc>
        <w:tc>
          <w:tcPr>
            <w:tcW w:w="6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(150)</w:t>
            </w: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149</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5"/>
        </w:trPr>
        <w:tc>
          <w:tcPr>
            <w:tcW w:w="3120" w:type="dxa"/>
            <w:vAlign w:val="bottom"/>
            <w:tcBorders>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January 30, 2021</w:t>
            </w:r>
          </w:p>
        </w:tc>
        <w:tc>
          <w:tcPr>
            <w:tcW w:w="620" w:type="dxa"/>
            <w:vAlign w:val="bottom"/>
            <w:tcBorders>
              <w:bottom w:val="single" w:sz="8" w:color="auto"/>
            </w:tcBorders>
            <w:shd w:val="clear" w:color="auto" w:fill="CFF0FC"/>
          </w:tcPr>
          <w:p>
            <w:pPr>
              <w:ind w:left="520"/>
              <w:spacing w:after="0" w:line="155" w:lineRule="exact"/>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b w:val="1"/>
                <w:bCs w:val="1"/>
                <w:color w:val="auto"/>
              </w:rPr>
              <w:t>1,009</w:t>
            </w:r>
          </w:p>
        </w:tc>
        <w:tc>
          <w:tcPr>
            <w:tcW w:w="2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b w:val="1"/>
                <w:bCs w:val="1"/>
                <w:color w:val="auto"/>
              </w:rPr>
              <w:t>15,438</w:t>
            </w:r>
          </w:p>
        </w:tc>
        <w:tc>
          <w:tcPr>
            <w:tcW w:w="24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CFF0FC"/>
          </w:tcPr>
          <w:p>
            <w:pPr>
              <w:jc w:val="right"/>
              <w:ind w:right="88"/>
              <w:spacing w:after="0" w:line="155" w:lineRule="exact"/>
              <w:rPr>
                <w:sz w:val="20"/>
                <w:szCs w:val="20"/>
                <w:color w:val="auto"/>
              </w:rPr>
            </w:pPr>
            <w:r>
              <w:rPr>
                <w:rFonts w:ascii="Arial" w:cs="Arial" w:eastAsia="Arial" w:hAnsi="Arial"/>
                <w:sz w:val="14"/>
                <w:szCs w:val="14"/>
                <w:b w:val="1"/>
                <w:bCs w:val="1"/>
                <w:color w:val="auto"/>
              </w:rPr>
              <w:t>282,308</w:t>
            </w:r>
          </w:p>
        </w:tc>
        <w:tc>
          <w:tcPr>
            <w:tcW w:w="1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b w:val="1"/>
                <w:bCs w:val="1"/>
                <w:color w:val="auto"/>
              </w:rPr>
              <w:t>320,920</w:t>
            </w:r>
          </w:p>
        </w:tc>
        <w:tc>
          <w:tcPr>
            <w:tcW w:w="180" w:type="dxa"/>
            <w:vAlign w:val="bottom"/>
            <w:tcBorders>
              <w:bottom w:val="single" w:sz="8" w:color="auto"/>
            </w:tcBorders>
            <w:shd w:val="clear" w:color="auto" w:fill="CFF0FC"/>
          </w:tcPr>
          <w:p>
            <w:pPr>
              <w:ind w:left="80"/>
              <w:spacing w:after="0" w:line="155" w:lineRule="exact"/>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b w:val="1"/>
                <w:bCs w:val="1"/>
                <w:color w:val="auto"/>
              </w:rPr>
              <w:t>(35,059)</w:t>
            </w:r>
          </w:p>
        </w:tc>
        <w:tc>
          <w:tcPr>
            <w:tcW w:w="2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b w:val="1"/>
                <w:bCs w:val="1"/>
                <w:color w:val="auto"/>
              </w:rPr>
              <w:t>(17,857)</w:t>
            </w:r>
          </w:p>
        </w:tc>
        <w:tc>
          <w:tcPr>
            <w:tcW w:w="26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b w:val="1"/>
                <w:bCs w:val="1"/>
                <w:color w:val="auto"/>
              </w:rPr>
              <w:t>566,759</w:t>
            </w:r>
          </w:p>
        </w:tc>
        <w:tc>
          <w:tcPr>
            <w:tcW w:w="0" w:type="dxa"/>
            <w:vAlign w:val="bottom"/>
          </w:tcPr>
          <w:p>
            <w:pPr>
              <w:spacing w:after="0"/>
              <w:rPr>
                <w:sz w:val="1"/>
                <w:szCs w:val="1"/>
                <w:color w:val="auto"/>
              </w:rPr>
            </w:pPr>
          </w:p>
        </w:tc>
      </w:tr>
      <w:tr>
        <w:trPr>
          <w:trHeight w:val="20"/>
        </w:trPr>
        <w:tc>
          <w:tcPr>
            <w:tcW w:w="3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Significant Accounting Policies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Operations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Genesco Inc. and its subsidiaries (collectively the "Company", "we", "our", or "us") business includes the sourcing and design, marketing and distribution of footwear and accessories through retail stores in the U.S., Puerto Rico and Canada primarily under the Journeys</w:t>
      </w:r>
      <w:r>
        <w:rPr>
          <w:rFonts w:ascii="Arial" w:cs="Arial" w:eastAsia="Arial" w:hAnsi="Arial"/>
          <w:sz w:val="15"/>
          <w:szCs w:val="15"/>
          <w:color w:val="auto"/>
        </w:rPr>
        <w:t>®</w:t>
      </w:r>
      <w:r>
        <w:rPr>
          <w:rFonts w:ascii="Arial" w:cs="Arial" w:eastAsia="Arial" w:hAnsi="Arial"/>
          <w:sz w:val="18"/>
          <w:szCs w:val="18"/>
          <w:color w:val="auto"/>
        </w:rPr>
        <w:t>, Journeys Kidz</w:t>
      </w:r>
      <w:r>
        <w:rPr>
          <w:rFonts w:ascii="Arial" w:cs="Arial" w:eastAsia="Arial" w:hAnsi="Arial"/>
          <w:sz w:val="15"/>
          <w:szCs w:val="15"/>
          <w:color w:val="auto"/>
        </w:rPr>
        <w:t>®</w:t>
      </w:r>
      <w:r>
        <w:rPr>
          <w:rFonts w:ascii="Arial" w:cs="Arial" w:eastAsia="Arial" w:hAnsi="Arial"/>
          <w:sz w:val="18"/>
          <w:szCs w:val="18"/>
          <w:color w:val="auto"/>
        </w:rPr>
        <w:t>, Little Burgundy</w:t>
      </w:r>
      <w:r>
        <w:rPr>
          <w:rFonts w:ascii="Arial" w:cs="Arial" w:eastAsia="Arial" w:hAnsi="Arial"/>
          <w:sz w:val="15"/>
          <w:szCs w:val="15"/>
          <w:color w:val="auto"/>
        </w:rPr>
        <w:t>®</w:t>
      </w:r>
      <w:r>
        <w:rPr>
          <w:rFonts w:ascii="Arial" w:cs="Arial" w:eastAsia="Arial" w:hAnsi="Arial"/>
          <w:sz w:val="18"/>
          <w:szCs w:val="18"/>
          <w:color w:val="auto"/>
        </w:rPr>
        <w:t xml:space="preserve"> and Johnston &amp; Murphy</w:t>
      </w:r>
      <w:r>
        <w:rPr>
          <w:rFonts w:ascii="Arial" w:cs="Arial" w:eastAsia="Arial" w:hAnsi="Arial"/>
          <w:sz w:val="15"/>
          <w:szCs w:val="15"/>
          <w:color w:val="auto"/>
        </w:rPr>
        <w:t>®</w:t>
      </w:r>
      <w:r>
        <w:rPr>
          <w:rFonts w:ascii="Arial" w:cs="Arial" w:eastAsia="Arial" w:hAnsi="Arial"/>
          <w:sz w:val="18"/>
          <w:szCs w:val="18"/>
          <w:color w:val="auto"/>
        </w:rPr>
        <w:t xml:space="preserve"> banners and under the Schuh banner in the United Kingdom and the ROI; through catalogs and e-commerce websites including the following: journeys.com, journeyskidz.com, journeys.ca, schuh.co.uk, schuh.ie, schuh.eu, johnstonmurphy.com and littleburgundyshoes.com and at wholesale, primarily under our Johnston &amp; Murphy brand, the licensed Dockers</w:t>
      </w:r>
      <w:r>
        <w:rPr>
          <w:rFonts w:ascii="Arial" w:cs="Arial" w:eastAsia="Arial" w:hAnsi="Arial"/>
          <w:sz w:val="15"/>
          <w:szCs w:val="15"/>
          <w:color w:val="auto"/>
        </w:rPr>
        <w:t>®</w:t>
      </w:r>
      <w:r>
        <w:rPr>
          <w:rFonts w:ascii="Arial" w:cs="Arial" w:eastAsia="Arial" w:hAnsi="Arial"/>
          <w:sz w:val="18"/>
          <w:szCs w:val="18"/>
          <w:color w:val="auto"/>
        </w:rPr>
        <w:t xml:space="preserve"> brand, the licensed Levi's</w:t>
      </w:r>
      <w:r>
        <w:rPr>
          <w:rFonts w:ascii="Arial" w:cs="Arial" w:eastAsia="Arial" w:hAnsi="Arial"/>
          <w:sz w:val="15"/>
          <w:szCs w:val="15"/>
          <w:color w:val="auto"/>
        </w:rPr>
        <w:t>®</w:t>
      </w:r>
      <w:r>
        <w:rPr>
          <w:rFonts w:ascii="Arial" w:cs="Arial" w:eastAsia="Arial" w:hAnsi="Arial"/>
          <w:sz w:val="18"/>
          <w:szCs w:val="18"/>
          <w:color w:val="auto"/>
        </w:rPr>
        <w:t xml:space="preserve"> brand, the licensed G.H. Bass</w:t>
      </w:r>
      <w:r>
        <w:rPr>
          <w:rFonts w:ascii="Arial" w:cs="Arial" w:eastAsia="Arial" w:hAnsi="Arial"/>
          <w:sz w:val="15"/>
          <w:szCs w:val="15"/>
          <w:color w:val="auto"/>
        </w:rPr>
        <w:t>®</w:t>
      </w:r>
      <w:r>
        <w:rPr>
          <w:rFonts w:ascii="Arial" w:cs="Arial" w:eastAsia="Arial" w:hAnsi="Arial"/>
          <w:sz w:val="18"/>
          <w:szCs w:val="18"/>
          <w:color w:val="auto"/>
        </w:rPr>
        <w:t xml:space="preserve"> brand and other brands that we license for footwear. At January 30, 2021, we operated 1,460 retail stores in the U.S., Puerto Rico, Canada, the United Kingdom and the ROI.</w:t>
      </w:r>
    </w:p>
    <w:p>
      <w:pPr>
        <w:spacing w:after="0" w:line="15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Effective January 1, 2020, we completed the acquisition of Togast, which specializes in the design, sourcing and sale of licensed footwear. We also entered into a new U.S. footwear license agreement with Levi Strauss &amp; Co. for the license of Levi's</w:t>
      </w:r>
      <w:r>
        <w:rPr>
          <w:rFonts w:ascii="Arial" w:cs="Arial" w:eastAsia="Arial" w:hAnsi="Arial"/>
          <w:sz w:val="13"/>
          <w:szCs w:val="13"/>
          <w:color w:val="auto"/>
        </w:rPr>
        <w:t>®</w:t>
      </w:r>
      <w:r>
        <w:rPr>
          <w:rFonts w:ascii="Arial" w:cs="Arial" w:eastAsia="Arial" w:hAnsi="Arial"/>
          <w:sz w:val="16"/>
          <w:szCs w:val="16"/>
          <w:color w:val="auto"/>
        </w:rPr>
        <w:t xml:space="preserve"> footwear for men, women, and children in the U.S. The acquisition expands our portfolio to include footwear licenses for G.H. Bass</w:t>
      </w:r>
      <w:r>
        <w:rPr>
          <w:rFonts w:ascii="Arial" w:cs="Arial" w:eastAsia="Arial" w:hAnsi="Arial"/>
          <w:sz w:val="13"/>
          <w:szCs w:val="13"/>
          <w:color w:val="auto"/>
        </w:rPr>
        <w:t>®</w:t>
      </w:r>
      <w:r>
        <w:rPr>
          <w:rFonts w:ascii="Arial" w:cs="Arial" w:eastAsia="Arial" w:hAnsi="Arial"/>
          <w:sz w:val="16"/>
          <w:szCs w:val="16"/>
          <w:color w:val="auto"/>
        </w:rPr>
        <w:t xml:space="preserve"> and FUBU, among others. Togast operates in our Licensed Brands segment. On February 2, 2019, we completed the sale of our Lids Sports Group business. As a result, we reported the operating results of this business in loss from discontinued operations, net in our Consolidated Statements of Operations for Fiscal 2019. The cash flows related to discontinued operations have not been segregated and are included in our Consolidated Statements of Cash Flows for Fiscal 2019. Unless otherwise noted, discussion within these notes to our consolidated financial statements relates to continuing operations. See Note 18 for additional information related to discontinued operations.</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Fiscal 2021, we operated four reportable business segments (not including corporate): (i) Journeys Group, comprised of the Journeys, Journeys Kidz and Little Burgundy retail footwear chains and e-commerce operations; (ii) Schuh Group, comprised of the Schuh retail footwear chain and e-commerce operations; (iii) Johnston &amp; Murphy Group, comprised of Johnston &amp; Murphy retail operations, e-commerce operations and wholesale distribution of products under the Johnston &amp; Murphy brand; and (iv) Licensed Brands, comprised of the licensed Dockers, Levi's, and Bass brands, as well as other brands we license for footwear.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All subsidiaries are consolidated in our Consolidated Financial Statements. All significant intercompany transactions and accounts have been eliminated.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fiscal year ends on the Saturday closest to January 31. As a result, Fiscal 2021, 2020 and 2019 were all 52-week years with 364 days. Fiscal 2021 ended on January 30, 2021, Fiscal 2020 ended on February 1, 2020 and Fiscal 2019 ended on February 2,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Significant Accounting Policies, Continued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foreign subsidiaries held cash of approximately $21.8 million and $8.9 million as of January 30, 2021 and February 1, 2020, respectively, which is included in cash and cash equivalents on the Consolidated Balance Sheets. Our strategic plan does not require the repatriation of foreign cash in order to fund our operations in the U.S., and it is our current intention to indefinitely reinvest our foreign cash and cash equivalents outside of the U.S. If we were to repatriate foreign cash to the U.S., we would be required to accrue and pay U.S. taxes in accordance with applicable U.S. tax rules and regulations as a result of the repatriation.</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were no cash equivalents at January 30, 2021 and there were $59.6 million of cash equivalents at February 1, 2020. Our $59.6 million of cash equivalents at the previous year end was invested in institutional money market funds which invest exclusively in highly rated, short-term securities that are issued, guaranteed or collateralized by the U.S. government or by U.S. government agencies and instrumentalities. The majority of payments due from banks for domestic customer credit card transactions process within 24 - 48 hours and are accordingly classified as cash and cash equivalents in our Consolidated Balance Sheets.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January 30, 2021 and February 1, 2020, outstanding checks drawn on zero-balance accounts at certain domestic banks exceeded book cash balances at those banks by approximately $0.5 million and $17.1 million, respectively. These amounts are included in accounts payable in our Consolidated Balance Sheets.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Allowances on Accounts Receivable</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wholesale businesses sell primarily to independent retailers and department stores across the United States. Receivables arising from these sales are not collateralized. Customer credit risk is affected by conditions or occurrences within the economy and the retail industry as well as by customer specific factors. In the wholesale businesses, one customer accounted for 16%, one customer accounted for 13% and two customers each accounted for 10% of our total trade receivables balance, while no other customer accounted for more than 7% of our total trade receivables balance as of January 30, 2021.</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establish an allowance for doubtful accounts based upon factors surrounding the credit risk of specific customers, historical trends and other information, as well as customer specific factors. We also establish allowances for sales returns, customer deductions and co-op advertising based on specific circumstances, historical trends and projected probable outcomes.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our footwear wholesale operations and our Schuh Group segment, cost for inventory that we own is determined using the first-in, first-out ("FIFO") method. Net realizable value is determined using a system of analysis which evaluates inventory at the stock number level based on factors such as inventory turn, average selling price, inventory level, and selling prices reflected in future orders for footwear wholesale. We provide a valuation allowance when the inventory has not been marked down to net realizable value based on current selling prices or when the inventory is not turning and is not expected to turn at satisfactory levels.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our retail operations, other than the Schuh Group segment, we employ the retail inventory method, applying average cost-to-retail ratios to the retail value of inventories. Under the retail inventory method, valuing inventory at the lower of cost or market is achieved as markdowns are taken or accrued as a reduction of the retail value of inventories.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Significant Accounting Policies, Continued</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Inherent in the retail inventory method are subjective judgments and estimates, including merchandise mark-on, markups, markdowns and shrinkage. These judgments and estimates, coupled with the fact that the retail inventory method is an averaging process, could produce a range of cost figures. To reduce the risk of inaccuracy and to ensure consistent presentation, we employ the retail inventory method in multiple subclasses of inventory with similar gross margins, and analyze markdown requirements at the stock number level based on factors such as inventory turn, average selling price and inventory age. In addition, we accrue markdowns as necessary. These additional markdown accruals reflect all of the above factors as well as current agreements to return products to vendors and vendor agreements to provide markdown support. In addition to markdown allowances, we maintain reserves for shrinkage and damaged goods based on historical rates.</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Inherent in the analysis of both wholesale and retail inventory valuation are subjective judgments about current market conditions, fashion trends and overall economic conditions. Failure to make appropriate conclusions regarding these factors may result in an overstatement or understatement of inventory value.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Property and equipment are recorded at cost and depreciated or amortized over the estimated useful life of related assets. Depreciation and amortization expense are computed principally by the straight-line method over the following estimated useful lives: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Buildings and building equipment</w:t>
            </w:r>
          </w:p>
        </w:tc>
        <w:tc>
          <w:tcPr>
            <w:tcW w:w="4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20-45 years</w:t>
            </w:r>
          </w:p>
        </w:tc>
      </w:tr>
      <w:tr>
        <w:trPr>
          <w:trHeight w:val="256"/>
        </w:trPr>
        <w:tc>
          <w:tcPr>
            <w:tcW w:w="6820" w:type="dxa"/>
            <w:vAlign w:val="bottom"/>
          </w:tcPr>
          <w:p>
            <w:pPr>
              <w:spacing w:after="0"/>
              <w:rPr>
                <w:sz w:val="20"/>
                <w:szCs w:val="20"/>
                <w:color w:val="auto"/>
              </w:rPr>
            </w:pPr>
            <w:r>
              <w:rPr>
                <w:rFonts w:ascii="Arial" w:cs="Arial" w:eastAsia="Arial" w:hAnsi="Arial"/>
                <w:sz w:val="18"/>
                <w:szCs w:val="18"/>
                <w:color w:val="auto"/>
              </w:rPr>
              <w:t>Computer hardware, software and equipment</w:t>
            </w:r>
          </w:p>
        </w:tc>
        <w:tc>
          <w:tcPr>
            <w:tcW w:w="4420" w:type="dxa"/>
            <w:vAlign w:val="bottom"/>
          </w:tcPr>
          <w:p>
            <w:pPr>
              <w:jc w:val="right"/>
              <w:spacing w:after="0"/>
              <w:rPr>
                <w:sz w:val="20"/>
                <w:szCs w:val="20"/>
                <w:color w:val="auto"/>
              </w:rPr>
            </w:pPr>
            <w:r>
              <w:rPr>
                <w:rFonts w:ascii="Arial" w:cs="Arial" w:eastAsia="Arial" w:hAnsi="Arial"/>
                <w:sz w:val="18"/>
                <w:szCs w:val="18"/>
                <w:color w:val="auto"/>
              </w:rPr>
              <w:t>3-10 years</w:t>
            </w:r>
          </w:p>
        </w:tc>
      </w:tr>
      <w:tr>
        <w:trPr>
          <w:trHeight w:val="257"/>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4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 years</w:t>
            </w: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Depreciation expense related to property and equipment was approximately $45.6 million, $49.4 million and $52.1 million for Fiscal 2021, 2020 and 2019,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recognize lease assets and corresponding lease liabilities for all operating leases on the Consolidated Balance Sheets as described under ASC 842. We evaluate renewal options and break options at lease inception and on an ongoing basis and include renewal options and break options that we are reasonably certain to exercise in our expected lease terms for calculations of the right-of-use assets and liabilities. Approximately 2% of our leases contain renewal options. To determine the present value of lease payments not yet paid, we estimate incremental borrowing rates corresponding to the reasonably certain lease term. As most of our leases do not provide a determinable implicit rate, we estimate our collateralized incremental borrowing rate based upon a synthetic credit rating and yield curve analysis at the lease commencement or modification date in determining the present value of lease payments. For lease payments in foreign currencies, the incremental borrowing rate is adjusted to be reflective of the risk associated with the respective currency. Operating lease assets represent our right to use an underlying asset and are based upon the operating lease liabilities adjusted for prepayments or accrued lease payments, initial direct costs, lease incentives, and impairment, if any, of operating lease assets. We test right-of-use assets for impairment in the same manner as long-lived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Net lease costs are included within selling and administrative expenses on the Consolidated Statements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Significant Accounting Policies, Continued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 asset retirement obligation represents a legal obligation associated with the retirement of a tangible long-lived asset that is incurred upon the acquisition, construction, development, or normal operation of that long-lived asset. Our asset retirement obligations are primarily associated with leasehold improvements that we are contractually obligated to remove at the end of a lease to comply with the lease agreement. We recognize asset retirement obligations at the inception of a lease with such conditions if a reasonable estimate of fair value can be made. Asset retirement obligations are recorded in other long-term liabilities in our Consolidated Balance Sheets and are subsequently adjusted for changes in estimated asset retirement obligations. The associated estimated asset retirement costs are capitalized as part of the carrying amount of the long-lived asset and depreciated over its useful life.</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Consolidated Balance Sheets include asset retirement obligations related to leases of $11.5 million and $11.1 million as of January 30, 2021 and February 1, 2020,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periodically assess the realizability of our long-lived assets, other than goodwill, and evaluate such assets for impairment whenever events or changes in circumstances indicate that the carrying amount of an asset may not be recoverable. Asset impairment is determined to exist if estimated future cash flows, undiscounted and without interest charges, are less than the carrying amount. Inherent in the analysis of impairment are subjective judgments about future cash flows. Failure to make appropriate conclusions regarding these judgments may result in an overstatement or understatement of the value of long-lived assets.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annually assess our goodwill and indefinite lived trade names for impairment and on an interim basis if indicators of impairment are present. Our annual assessment date of goodwill and indefinite lived trade names is the first day of the fourth quarter.</w:t>
      </w:r>
    </w:p>
    <w:p>
      <w:pPr>
        <w:spacing w:after="0" w:line="14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accordance with ASC 350, we have the option first to assess qualitative factors to determine whether events and circumstances indicate that it is more likely than not that goodwill is impaired. If, after such assessment, we conclude that the asset is not impaired, no further action is required. However, if we conclude otherwise, we are required to determine the fair value of the asset using a quantitative impairment test. The quantitative impairment test for goodwill compares the fair value of each reporting unit with the carrying value of the reporting unit with which the goodwill is associated. If the fair value of the reporting unit is less than the carrying value of the reporting unit, an impairment charge would be recorded for the amount, if any, in which the carrying value exceeds the reporting unit's fair value. We estimate fair value using the best information available, and compute the fair value derived by a combination of the market and income approach. The market approach is based on observed market data of comparable companies to determine fair value. The income approach utilizes a projection of a reporting unit’s estimated operating results and cash flows that are discounted using a weighted-average cost of capital that reflects current market conditions. A key assumption in our fair value estimate is the weighted average cost of capital utilized for discounting our cash flow projections in our income approach. The projection uses our best estimates of economic and market conditions over the projected period including growth rates in sales, costs, estimates of future expected changes in operating margins and cash expenditures. Other significant estimates and assumptions include terminal value growth rates, future estimates of capital expenditures and changes in future working capital requirements.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Significant Accounting Policies, Continued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 Measurements and Disclosures Topic of the Codification defines fair value, establishes a framework for measuring fair value in accordance with generally accepted accounting principles and expands disclosures about fair value measurements. This Topic defines fair value as the exchange price that would be received for an asset or paid to transfer a liability (an exit price) in the principal or most advantageous market for the asset or liability in an orderly transaction between market participants on the measurement date. It also establishes a fair value hierarchy which requires an entity to maximize the use of observable inputs and minimize the use of unobservable inputs when measuring fair value. The standard describes three levels of inputs that may be used to measure fair value: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19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 Observable inputs other than Level 1 prices such as quoted prices for similar assets or liabilities; quoted prices in markets that are not active; or</w:t>
      </w:r>
      <w:r>
        <w:rPr>
          <w:rFonts w:ascii="Arial" w:cs="Arial" w:eastAsia="Arial" w:hAnsi="Arial"/>
          <w:sz w:val="17"/>
          <w:szCs w:val="17"/>
          <w:i w:val="1"/>
          <w:iCs w:val="1"/>
          <w:color w:val="auto"/>
        </w:rPr>
        <w:t xml:space="preserve"> </w:t>
      </w:r>
      <w:r>
        <w:rPr>
          <w:rFonts w:ascii="Arial" w:cs="Arial" w:eastAsia="Arial" w:hAnsi="Arial"/>
          <w:sz w:val="17"/>
          <w:szCs w:val="17"/>
          <w:color w:val="auto"/>
        </w:rPr>
        <w:t>other inputs that are observable or can be corroborated by observable market data for substantially the full term of the assets or liabilities.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 Unobservable inputs that are supported by little or no market activity and that are significant to the fair value of the assets or liabilities.</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financial asset or liability’s classification within the hierarchy is determined based on the lowest level input that is significant to the fair value measurement.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Revenue is recognized upon satisfaction of all contractual performance obligations and transfer of control to the customer. Revenue is measured as the amount of consideration we expect to be entitled to in exchange for corresponding goods. The majority of our sales are single performance obligation arrangements for retail sale transactions for which the transaction price is equivalent to the stated price of the product, net of any stated discounts applicable at a point in time. Each sales transaction results in an implicit contract with the customer to deliver a product at the point of sale. Revenue from retail sales is recognized at the point of sale, is net of estimated returns, and excludes sales and value added taxes. Revenue from catalog and internet sales is recognized at estimated time of delivery to the customer, is net of estimated returns, and excludes sales and value added taxes. Wholesale revenue is recorded net of estimated returns and allowances for markdowns, damages and miscellaneous claims when the related goods have been shipped and legal title has passed to the customer. Actual amounts of markdowns have not differed materially from estimates. Shipping and handling costs charged to customers are included in net sales. We exclude sales and value added tax collected on behalf of third parties from transaction price.</w:t>
      </w:r>
    </w:p>
    <w:p>
      <w:pPr>
        <w:spacing w:after="0" w:line="12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 provision for estimated returns is provided through a reduction of sales and cost of goods sold in the period that the related sales are recorded. Estimated returns are based on historical returns and claims. Actual returns and claims in any future period may differ from historical experience. Revenue from gift cards is deferred and recognized upon the redemption of the cards. These cards have no expiration date. Income from unredeemed cards is recognized on the Consolidated Statements of Operations within net sales in proportion to the pattern of rights exercised by the customer in future periods. We perform an evaluation of historical redemption patterns from the date of original issuance to estimate future period redemption activity.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Significant Accounting Policies, Continued</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Consolidated Balance Sheets include an accrued liability for gift cards of $5.0 million in each of the years ended January 30, 2021 and February 1, 2020. Gift card breakage recognized as revenue was $0.8 million, $1.0 million and $0.8 million for Fiscal 2021, 2020 and 2019, respectively. During Fiscal 2021, we recognized $3.0 million of gift card redemptions and gift card breakage revenue that were included in the gift card liability as of February 1, 2020.</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8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For our retail operations, the cost of sales includes actual product cost, the cost of transportation to our warehouses from suppliers, the cost of transportation from our warehouses to the stores and the cost of transportation from our warehouses to the customer. Additionally, the cost of our distribution facilities allocated to our retail operations is included in cost of sales.</w:t>
      </w:r>
    </w:p>
    <w:p>
      <w:pPr>
        <w:spacing w:after="0" w:line="157" w:lineRule="exact"/>
        <w:rPr>
          <w:sz w:val="20"/>
          <w:szCs w:val="20"/>
          <w:color w:val="auto"/>
        </w:rPr>
      </w:pPr>
    </w:p>
    <w:p>
      <w:pPr>
        <w:ind w:right="120"/>
        <w:spacing w:after="0" w:line="453" w:lineRule="auto"/>
        <w:rPr>
          <w:sz w:val="20"/>
          <w:szCs w:val="20"/>
          <w:color w:val="auto"/>
        </w:rPr>
      </w:pPr>
      <w:r>
        <w:rPr>
          <w:rFonts w:ascii="Arial" w:cs="Arial" w:eastAsia="Arial" w:hAnsi="Arial"/>
          <w:sz w:val="18"/>
          <w:szCs w:val="18"/>
          <w:color w:val="auto"/>
        </w:rPr>
        <w:t xml:space="preserve">For our wholesale operations, the cost of sales includes the actual product cost and the cost of transportation to the Company’s warehouses from suppliers. </w:t>
      </w:r>
      <w:r>
        <w:rPr>
          <w:rFonts w:ascii="Arial" w:cs="Arial" w:eastAsia="Arial" w:hAnsi="Arial"/>
          <w:sz w:val="18"/>
          <w:szCs w:val="18"/>
          <w:b w:val="1"/>
          <w:bCs w:val="1"/>
          <w:i w:val="1"/>
          <w:iCs w:val="1"/>
          <w:color w:val="auto"/>
        </w:rPr>
        <w:t>Selling and Administrative Expenses</w:t>
      </w:r>
    </w:p>
    <w:p>
      <w:pPr>
        <w:spacing w:after="0" w:line="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and administrative expenses include all operating costs excluding (i) those related to the transportation of products from the supplier to the warehouse, (ii) for our retail operations, those related to the transportation of products from the warehouse to the store and from the warehouse to the customer and (iii) costs of our distribution facilities which are allocated to our retail operations. Wholesale costs of distribution are included in selling and administrative expenses on our Consolidated Statements of Operations in the amounts of $10.1 million, $5.6 million and $5.6 million for Fiscal 2021, 2020 and 2019, respectively.</w:t>
      </w:r>
    </w:p>
    <w:p>
      <w:pPr>
        <w:spacing w:after="0" w:line="16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record buying, merchandising and occupancy costs in selling and administrative expense. Because we do not include these costs in cost of sales, our gross margin may not be comparable to other retailers that include these costs in the calculation of gross margin. Retail occupancy costs recorded in selling and administrative expense were $269.8 million, $334.4 million and $334.3 million for Fiscal 2021, 2020 and 2019,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Shipping and handling costs related to inventory purchased from suppliers are included in the cost of inventory and are charged to cost of sales in the period that the inventory is sold. All other shipping and handling costs are charged to cost of sales in the period incurred except for wholesale costs of distribution and shipping costs for product shipped from stores, which are included in selling and administrative expenses in our Consolidated Statements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Advertising costs are predominantly expensed as incurred. Advertising costs were $80.1 million, $72.3 million and $68.3 million for Fiscal 2021, 2020 and 2019,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Consideration to Resellers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our wholesale businesses, we do not have any written buy-down programs with retailers, but we have provided certain retailers with markdown allowances for obsolete and slow-moving products that are in the retailer’s inventory. We estimate these allowances and provide for them as reductions to revenues at the time revenues are recorded. Markdowns are negotiated with retailers and changes are made to the estimates as agreements are reached. Actual amounts for markdowns have not differed materially from estimates.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Significant Accounting Policies, Continued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Cooperative Advertising</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Cooperative advertising funds are made available to most of our wholesale footwear customers. In order for retailers to receive reimbursement under such programs, the retailer must meet specified advertising guidelines and provide appropriate documentation of expenses to be reimbursed. Our cooperative advertising agreements require that wholesale customers present documentation or other evidence of specific advertisements or display materials used for our products by submitting the actual print advertisements presented in catalogs, newspaper inserts or other advertising circulars, or by permitting physical inspection of displays. Additionally, our cooperative advertising agreements require that the amount of reimbursement requested for such advertising or materials be supported by invoices or other evidence of the actual costs incurred by the retailer.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Vendor Allowances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negotiate allowances from our vendors for markdowns taken or expected to be taken. These markdowns are typically negotiated on specific merchandise and for specific amounts. These specific allowances are recognized as a reduction in cost of sales in the period in which the markdowns are taken. Markdown allowances not attached to specific inventory on hand or already sold are applied to concurrent or future purchases from each respective vendor.</w:t>
      </w:r>
    </w:p>
    <w:p>
      <w:pPr>
        <w:spacing w:after="0" w:line="1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receive support from some of our vendors in the form of reimbursements for cooperative advertising and catalog costs for the launch and promotion of certain products. The reimbursements are agreed upon with vendors and represent specific, incremental, identifiable costs incurred by us to sell the vendor’s specific products. Such costs and the related reimbursements are accumulated and monitored on an individual vendor basis, pursuant to the respective cooperative advertising agreements with vendors. Such cooperative advertising reimbursements are recorded as a reduction of selling and administrative expenses in the same period in which the associated expense is incurred. If the amount of cash consideration received exceeds the costs being reimbursed, such excess amount would be recorded as a reduction of cost of sales.</w:t>
      </w:r>
    </w:p>
    <w:p>
      <w:pPr>
        <w:spacing w:after="0" w:line="1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Vendor reimbursements of cooperative advertising costs recognized as a reduction of selling and administrative expenses were $5.7 million, $8.0 million and $7.8 million for Fiscal 2021, 2020 and 2019, respectively. During Fiscal 2021, 2020 and 2019, our vendor reimbursements of cooperative advertising received were not in excess of the costs incurred.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functional currency of our foreign operations is the applicable local currency. The translation of the applicable foreign currency into U.S. dollars is performed for balance sheet accounts using current exchange rates in effect at the balance sheet date. Income and expense accounts are translated at monthly average exchange rates. The unearned gains and losses resulting from such translation are included as a separate component of accumulated other comprehensive loss within shareholders' equity. Gains and losses from certain foreign currency transactions were not material for Fiscal 2021, 2020 or 2019.</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19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a result of the Togast acquisition, we also have a commitment to Samsung C&amp;T America, Inc. (“Samsung”) related to the ultimate sale and valuation of related inventories owned by Samsung. If the product is sold below Samsung’s cost, we are committed to Samsung for the difference between the sales price and its cost. At January 30, 2021, the related inventory owned by Samsung had a historical cost of $22.8 million. As of January 30, 2021, we believe that we have appropriately accounted for any differences between the fair value of the Samsung inventory and Samsung’s historical cost.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Accounting Pronouncements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Recently Adopted</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adopted ASU 2016-02, " Leases (Topic 842)", ("ASC 842"), as of February 3, 2019, using the optional transition method provided by ASU 2018-11, "Leases (Topic 842): Targeted Improvements". The optional transition approach provides a method for recording existing leases at adoption by allowing a cumulative effect adjustment to the opening balance of retained earnings in the period of adoption, as opposed to the modified or full retrospective transition methods that require restating prior comparative periods. Additionally, we elected the “package of practical expedients”, which permits us to not reassess under the new standard its prior conclusions about lease identification, lease classification and initial direct costs. We also elected the practical expedient to not separate lease and non-lease components for our store and equipment leases.</w:t>
      </w:r>
    </w:p>
    <w:p>
      <w:pPr>
        <w:spacing w:after="0" w:line="15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Adoption of the new standard resulted in the recording of additional net operating lease right of use assets and operating lease liabilities of $795.6 million and $855.3 million, respectively, as of February 3, 2019. The operating lease right of use asset is inclusive of the impairments recorded upon adoption for store operating lease right of use assets, which totaled $4.8 million and resulted in a decrease to retained earnings of $4.2 million, net of tax. Right of use assets are recorded based upon the present value of the remaining operating lease payments, discounted using an incremental borrowing rate based on the initial lease term, adjusted for deferred rent, including tenant allowances from landlords. ASC 842 did not materially impact net earnings or liquidity and did not have an impact on covenant compliance under our current debt agreements. Financial results for reporting periods beginning after February 3, 2019 are presented in accordance with ASC 842, while prior periods will continue to be reported in accordance with our historical accounting for leases under ASC 840: "Leases (Topic 840)" and therefore have not been adjusted to conform to Topic 842. For additional information regarding leases, see Note 10.</w:t>
      </w:r>
    </w:p>
    <w:p>
      <w:pPr>
        <w:spacing w:after="0" w:line="1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August 2018, the FASB issued ASU 2018-15, "Intangibles-Goodwill and Other-Internal-Use Software (Subtopic 350-40): Customer's Accounting for Implementation Costs Incurred in a Cloud Computing Arrangement That is a Service Contract", (ASU 2018-15"). The standard requires that issuers follow the internal-use software guidance in ASC 350-40 to determine which costs to capitalize as assets or expense as incurred. The ASC 350-40 guidance requires that certain costs incurred during the application development stage be capitalized and other costs incurred during the preliminary project and post-implementation stages be expensed as they are incurred. ASU 2018-15 is effective for fiscal years beginning after December 15, 2019. We adopted this standard effective August 4, 2019 and elected to apply the prospective transition approach with no material impact on our Consolidated Financial Statements. We did not capitalize any material implementation costs incurred in a cloud computing arrangement service contract during Fiscal 2021 or Fiscal 2020.</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adopted ASC 606 in the first quarter of Fiscal 2019 using the modified retrospective method by recognizing the cumulative effect of $4.4 million as an adjustment to the opening balance of retained earnings at February 4, 2018. The adoption of this standard did not have a material impact on our Consolidated Financial Statements and related disclosures.</w:t>
      </w:r>
    </w:p>
    <w:p>
      <w:pPr>
        <w:spacing w:after="0" w:line="15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w:t>
      </w:r>
      <w:r>
        <w:rPr>
          <w:rFonts w:ascii="Arial" w:cs="Arial" w:eastAsia="Arial" w:hAnsi="Arial"/>
          <w:sz w:val="16"/>
          <w:szCs w:val="16"/>
          <w:color w:val="auto"/>
        </w:rPr>
        <w:t>Financial Instruments-Credit Losses (Topic 326): Measurement of Credit Losses on Financial Instruments</w:t>
      </w:r>
      <w:r>
        <w:rPr>
          <w:rFonts w:ascii="Arial" w:cs="Arial" w:eastAsia="Arial" w:hAnsi="Arial"/>
          <w:sz w:val="16"/>
          <w:szCs w:val="16"/>
          <w:i w:val="1"/>
          <w:iCs w:val="1"/>
          <w:color w:val="auto"/>
        </w:rPr>
        <w:t>"</w:t>
      </w:r>
      <w:r>
        <w:rPr>
          <w:rFonts w:ascii="Arial" w:cs="Arial" w:eastAsia="Arial" w:hAnsi="Arial"/>
          <w:sz w:val="16"/>
          <w:szCs w:val="16"/>
          <w:color w:val="auto"/>
        </w:rPr>
        <w:t>, which requires entities to use a forward-looking approach based on expected losses to estimate credit losses on certain types of financial instruments, including trade receivables. The FASB has subsequently issued updates to the standard to provide additional clarification on specific topics. We adopted ASU No. 2016-13 in the first quarter of Fiscal 2021. This guidance did not have a material impact on our Consolidated Financial Statements.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Accounting Pronouncements, Continued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Not Yet Adopted</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2019, the FASB issued ASU No. 2019-12, “Simplifying the Accounting for Income Taxes”. This guidance aims to simplify the accounting for income taxes by removing certain exceptions to the general principles within the current guidance and by clarifying and amending the current guidance. The guidance is effective for annual reporting periods, and interim periods within those years, beginning after December 15, 2020. We do not expect the guidance to have a material impact on our Consolidated Financial Statements.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COVID-19</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2020, the World Health Organization categorized the outbreak of COVID-19 as a pandemic. To help control the spread of the virus and protect the health and safety of our employees and customers, we began temporarily closing or modifying operating models and hours of our retail stores in North America, the United Kingdom and the ROI both in response to governmental requirements including “stay-at-home” orders and similar mandates and voluntarily, beyond the requirements of local government authorities, during Fiscal 2021.</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Changes made in our operations, including temporary closures, combined with reduced customer traffic due to concerns over COVID-19, resulted in material reductions in revenues and operating income during Fiscal 2021. This prompted us to update our impairment analyses of our retail store portfolios and related lease right-of-use assets. For certain lower-performing stores, we compared the carrying value of store assets to undiscounted cash flows with updated assumptions on near-term profitability. As a result, we recorded an incremental $11.0 million asset impairment charge within asset impairments and other, net on our Consolidated Statements of Operations during Fiscal 2021.</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evaluated our goodwill and indefinite-lived intangible assets for indicators of impairment at the end of the first three quarters of this year and our annual assessment of impairment on the first day of our fourth quarter for Fiscal 2021. During the first quarter, such evaluation caused us to determine that, when considering the impact of the COVID-19 pandemic, indicators of impairment existed relating to the goodwill associated with Schuh Group and certain other trademarks. Therefore, we updated the goodwill impairment analysis for Schuh Group, and as a result, recorded a goodwill impairment charge of $79.3 million during the quarter ended May 2, 2020. In addition, we updated our impairment analysis for other intangible assets and, as a result, recorded a trademark impairment charge of $5.3 million during the quarter ended May 2, 2020.</w:t>
      </w:r>
    </w:p>
    <w:p>
      <w:pPr>
        <w:spacing w:after="0" w:line="15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evaluated our remaining assets, particularly accounts receivable and inventory. Our wholesale businesses sell primarily to independent retailers and department stores across the United States. Receivables arising from these sales are not collateralized. Customer credit risk is affected by conditions or occurrences within the economy and the retail industry, such as the COVID-19 pandemic, as well as by customer specific factors. We establish an allowance for doubtful accounts based upon factors surrounding the credit risk of specific customers, historical trends and other information.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record reserves for obsolete and slow-moving inventory and for estimated shrinkage between physical inventory counts. We recorded incremental inventory reserve provisions as a result of excess inventory due to the impact of the COVID-19 pandemic on retail traffic and demand for certain products. Depending on the pace of reopening our stores as well as future customer behavior, among other factors, we may incur additional inventory reserve provisions.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COVID-19, Continued</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Since the first quarter of Fiscal 2021, we have withheld certain contractual rent payments generally correlating with time periods when our stores were closed and/or correlating with sales declines from Fiscal 2020. We continue to recognize rent expense in accordance with the contractual terms. We have been working with landlords in various markets seeking commercially reasonable lease concessions given the current environment, and while some agreements have been reached, a number of negotiations remain ongoing. In cases where the agreements do not result in a substantial increase in the rights of the lessor or the obligation of the lessee such that the total cash flows of the modified lease are substantially the same or less than the total cash flows of the existing lease, we have not reevaluated the contract terms. For these lease agreements, we have recognized a reduction in variable rent expense in the period that the concession was granted.</w:t>
      </w:r>
    </w:p>
    <w:p>
      <w:pPr>
        <w:spacing w:after="0" w:line="15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March 27, 2020, the U.S. government enacted the Coronavirus Aid, Relief, and Economic Security Act (“CARES Act”), which among other things, provides employer payroll tax credits for wages paid to employees who are unable to work during the COVID-19 pandemic and options to defer payroll tax payments. Based on our evaluation of the CARES Act, we qualify for certain employer payroll tax credits as well as the deferral of payroll and other tax payments in the future, which will be treated as government subsidies to offset related operating expenses. During Fiscal 2021, qualified payroll tax credits reduced our selling and administrative expenses by approximately $13.8 million on our Consolidated Statements of Operations. We also deferred $9.5 million of qualified payroll taxes in the U.S. that will be repaid in equal installments by December 31, 2021 and December 31, 2022. Savings from the government program in the U.K. has also provided property tax relief of approximately $13.3 million in Fiscal 2021. Additionally, we recorded a tax receivable of $107.2 million in our U.S. federal jurisdiction as a result of a carryback of our Fiscal 2021 federal tax losses to prior tax periods under the CARES Act. Due to a higher tax rate in prior tax periods than the current U.S. federal statutory tax rate of 21%, the carryback claim creates a permanent tax benefit of $46.4 million.</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recorded our income tax expense, deferred tax assets and related liabilities based on our best estimates. As part of this process, we assessed the likelihood of realizing the benefits of our deferred tax assets. During Fiscal 2021, based on available evidence, we recorded an additional valuation allowance against previously recorded deferred tax assets in our U.K. jurisdiction of $2.6 million and our Irish jurisdiction of $0.2 million. We will continue to monitor the realizability of our deferred tax assets, particularly in certain foreign jurisdictions where the COVID-19 pandemic has started to create significant net operating losses. Our ability to recover these deferred tax assets depends on several factors, including our results of operations and our ability to project future taxable income in those jurisdictions.</w:t>
      </w:r>
    </w:p>
    <w:p>
      <w:pPr>
        <w:spacing w:after="0" w:line="1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COVID-19 pandemic remains a rapidly evolving situation. The continuation of the COVID-19 pandemic, its economic impact and actions taken in response thereto may result in prolonged or recurring periods of store closures and modified operating schedules and may result in changes in customer behaviors, including a potential reduction in consumer discretionary spending in our stores. These may lead to increased asset recovery and valuation risks, such as impairment of our store and other assets and an inability to realize deferred tax assets due to sustaining losses in certain jurisdictions. The uncertainties in the global economy have and are likely to continue to impact the financial viability of our suppliers, and other business partners, which may interrupt our supply chain, limit our ability to collect receivables and require other changes to our operations. These and other factors have and will continue to adversely impact our net revenues, gross margins, operating income and earnings per share financial measures.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Goodwill and Other Intangible Assets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Effective January 1, 2020, we completed the acquisition of substantially all of the assets, and assumption of certain liabilities, of Togast for an aggregate base purchase price of $33.5 million, which was paid in full in cash at the closing. Togast specializes in the design, sourcing and sale of licensed footwear. We also entered into a new U.S. footwear license agreement with Levi Strauss &amp; Co. for the license of Levi's</w:t>
      </w:r>
      <w:r>
        <w:rPr>
          <w:rFonts w:ascii="Arial" w:cs="Arial" w:eastAsia="Arial" w:hAnsi="Arial"/>
          <w:sz w:val="15"/>
          <w:szCs w:val="15"/>
          <w:color w:val="auto"/>
        </w:rPr>
        <w:t>®</w:t>
      </w:r>
      <w:r>
        <w:rPr>
          <w:rFonts w:ascii="Arial" w:cs="Arial" w:eastAsia="Arial" w:hAnsi="Arial"/>
          <w:sz w:val="18"/>
          <w:szCs w:val="18"/>
          <w:color w:val="auto"/>
        </w:rPr>
        <w:t xml:space="preserve"> footwear for men, women, and children in the U.S. The Togast purchase includes footwear licenses for Bass</w:t>
      </w:r>
      <w:r>
        <w:rPr>
          <w:rFonts w:ascii="Arial" w:cs="Arial" w:eastAsia="Arial" w:hAnsi="Arial"/>
          <w:sz w:val="15"/>
          <w:szCs w:val="15"/>
          <w:color w:val="auto"/>
        </w:rPr>
        <w:t>®</w:t>
      </w:r>
      <w:r>
        <w:rPr>
          <w:rFonts w:ascii="Arial" w:cs="Arial" w:eastAsia="Arial" w:hAnsi="Arial"/>
          <w:sz w:val="18"/>
          <w:szCs w:val="18"/>
          <w:color w:val="auto"/>
        </w:rPr>
        <w:t xml:space="preserve"> and FUBU, among others. Togast operates within the Licensed Brands segment.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segment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2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Licensed</w:t>
            </w:r>
          </w:p>
        </w:tc>
        <w:tc>
          <w:tcPr>
            <w:tcW w:w="4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r>
      <w:tr>
        <w:trPr>
          <w:trHeight w:val="216"/>
        </w:trPr>
        <w:tc>
          <w:tcPr>
            <w:tcW w:w="44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Schuh</w:t>
            </w:r>
          </w:p>
        </w:tc>
        <w:tc>
          <w:tcPr>
            <w:tcW w:w="3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Journeys</w:t>
            </w:r>
          </w:p>
        </w:tc>
        <w:tc>
          <w:tcPr>
            <w:tcW w:w="42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Brands</w:t>
            </w:r>
          </w:p>
        </w:tc>
        <w:tc>
          <w:tcPr>
            <w:tcW w:w="40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Total</w:t>
            </w:r>
          </w:p>
        </w:tc>
      </w:tr>
      <w:tr>
        <w:trPr>
          <w:trHeight w:val="230"/>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17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Group</w:t>
            </w: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Group</w:t>
            </w: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Group</w:t>
            </w:r>
          </w:p>
        </w:tc>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Goodwill</w:t>
            </w:r>
          </w:p>
        </w:tc>
      </w:tr>
      <w:tr>
        <w:trPr>
          <w:trHeight w:val="223"/>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Balance, February 1, 2020</w:t>
            </w:r>
          </w:p>
        </w:tc>
        <w:tc>
          <w:tcPr>
            <w:tcW w:w="17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84,069</w:t>
            </w:r>
          </w:p>
        </w:tc>
        <w:tc>
          <w:tcPr>
            <w:tcW w:w="3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9,730</w:t>
            </w:r>
          </w:p>
        </w:tc>
        <w:tc>
          <w:tcPr>
            <w:tcW w:w="4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28,385</w:t>
            </w:r>
          </w:p>
        </w:tc>
        <w:tc>
          <w:tcPr>
            <w:tcW w:w="4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122,184</w:t>
            </w:r>
          </w:p>
        </w:tc>
      </w:tr>
      <w:tr>
        <w:trPr>
          <w:trHeight w:val="229"/>
        </w:trPr>
        <w:tc>
          <w:tcPr>
            <w:tcW w:w="4420" w:type="dxa"/>
            <w:vAlign w:val="bottom"/>
          </w:tcPr>
          <w:p>
            <w:pPr>
              <w:spacing w:after="0"/>
              <w:rPr>
                <w:sz w:val="20"/>
                <w:szCs w:val="20"/>
                <w:color w:val="auto"/>
              </w:rPr>
            </w:pPr>
            <w:r>
              <w:rPr>
                <w:rFonts w:ascii="Arial" w:cs="Arial" w:eastAsia="Arial" w:hAnsi="Arial"/>
                <w:sz w:val="18"/>
                <w:szCs w:val="18"/>
                <w:color w:val="auto"/>
              </w:rPr>
              <w:t>Change in opening balance sheet</w:t>
            </w:r>
          </w:p>
        </w:tc>
        <w:tc>
          <w:tcPr>
            <w:tcW w:w="174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83</w:t>
            </w:r>
          </w:p>
        </w:tc>
        <w:tc>
          <w:tcPr>
            <w:tcW w:w="40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83</w:t>
            </w:r>
          </w:p>
        </w:tc>
      </w:tr>
      <w:tr>
        <w:trPr>
          <w:trHeight w:val="229"/>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Impairment</w:t>
            </w:r>
          </w:p>
        </w:tc>
        <w:tc>
          <w:tcPr>
            <w:tcW w:w="17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(79,259)</w:t>
            </w: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(79,259)</w:t>
            </w:r>
          </w:p>
        </w:tc>
      </w:tr>
      <w:tr>
        <w:trPr>
          <w:trHeight w:val="230"/>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Effect of foreign currency exchange rates</w:t>
            </w:r>
          </w:p>
        </w:tc>
        <w:tc>
          <w:tcPr>
            <w:tcW w:w="17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(4,810)</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352</w:t>
            </w: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(4,458)</w:t>
            </w:r>
          </w:p>
        </w:tc>
      </w:tr>
      <w:tr>
        <w:trPr>
          <w:trHeight w:val="223"/>
        </w:trPr>
        <w:tc>
          <w:tcPr>
            <w:tcW w:w="44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Balance, January 30, 2021</w:t>
            </w:r>
          </w:p>
        </w:tc>
        <w:tc>
          <w:tcPr>
            <w:tcW w:w="17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10,082</w:t>
            </w:r>
          </w:p>
        </w:tc>
        <w:tc>
          <w:tcPr>
            <w:tcW w:w="4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28,468</w:t>
            </w:r>
          </w:p>
        </w:tc>
        <w:tc>
          <w:tcPr>
            <w:tcW w:w="4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38,550</w:t>
            </w: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first quarter of Fiscal 2021, we identified qualitative indicators of impairment, including a significant decline in our stock price and market capitalization resulting from the COVID-19 pandemic, since the last consideration of indicators of impairment in the fourth quarter of Fiscal 2020 for our Schuh Group reporting unit. When indicators of impairment are present on an interim basis, we must assess whether it is “more likely than not” (i.e., a greater than 50% chance) that an impairment has occurred. In our Fiscal 2020 annual evaluation of goodwill, we determined the Schuh Group reporting unit was valued at approximately $8.2 million in excess of its carrying value. Due to the identified indicators of impairment in the first quarter of Fiscal 2021, we determined that it was “more likely than not” that an impairment had occurred and performed a full valuation of our Schuh Group reporting. Based upon the results of these analyses, we concluded the goodwill attributed to Schuh Group was fully impaired. As a result, we recorded an impairment charge of $79.3 million in the first quarter of Fiscal 2021.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Goodwill Valuation (Schuh Group)</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estimated the fair value of our Schuh reporting unit in the first quarter of Fiscal 2021 using a discounted cash flow method (income approach) weighted 50% and a guideline public company method (market approach) weighted 50%. The key assumptions used under the income approach include the following:</w:t>
      </w:r>
    </w:p>
    <w:p>
      <w:pPr>
        <w:spacing w:after="0" w:line="211" w:lineRule="exact"/>
        <w:rPr>
          <w:sz w:val="20"/>
          <w:szCs w:val="20"/>
          <w:color w:val="auto"/>
        </w:rPr>
      </w:pPr>
    </w:p>
    <w:p>
      <w:pPr>
        <w:jc w:val="both"/>
        <w:ind w:left="800" w:hanging="401"/>
        <w:spacing w:after="0" w:line="271" w:lineRule="auto"/>
        <w:tabs>
          <w:tab w:leader="none" w:pos="800" w:val="left"/>
        </w:tabs>
        <w:numPr>
          <w:ilvl w:val="0"/>
          <w:numId w:val="15"/>
        </w:numPr>
        <w:rPr>
          <w:rFonts w:ascii="Arial" w:cs="Arial" w:eastAsia="Arial" w:hAnsi="Arial"/>
          <w:sz w:val="17"/>
          <w:szCs w:val="17"/>
          <w:color w:val="2E2E2E"/>
        </w:rPr>
      </w:pPr>
      <w:r>
        <w:rPr>
          <w:rFonts w:ascii="Arial" w:cs="Arial" w:eastAsia="Arial" w:hAnsi="Arial"/>
          <w:sz w:val="17"/>
          <w:szCs w:val="17"/>
          <w:color w:val="auto"/>
        </w:rPr>
        <w:t>Future cash flow assumptions - Our projections for the Schuh reporting unit were based on organic growth and were derived from historical experience and assumptions regarding future growth and profitability trends, including considerations for the impact from the outbreak of the COVID-19 pandemic. Our analysis incorporated an assumed period of cash flows of seven years with a terminal value.</w:t>
      </w:r>
    </w:p>
    <w:p>
      <w:pPr>
        <w:jc w:val="both"/>
        <w:ind w:left="800" w:hanging="401"/>
        <w:spacing w:after="0" w:line="253"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Discount rate - The discount rate was based on an estimated weighted average cost of capital (“WACC”) for the reporting unit. The components of WACC are the cost of equity and the cost of debt, each of which requires judgment by management to estimate. We developed our cost of equity estimate based on perceived risks and predictability of future cash flows. The WACC used to estimate the fair values of the Schuh reporting unit was 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Goodwill and Other Intangible Assets, Continued</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guideline company method involves analyzing transaction and financial data of publicly traded companies to develop multiples, which are adjusted to account for differences in growth prospects and risk profiles of the reporting unit and comparable companies.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Trademark Valuation</w:t>
      </w:r>
    </w:p>
    <w:p>
      <w:pPr>
        <w:spacing w:after="0" w:line="252"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In addition, as a result of the factors noted above, we evaluated the fair value of our trademarks during the first quarter of Fiscal 2021. The fair value of trademarks was determined based on the royalty savings approach. This analysis indicated trademark</w:t>
      </w:r>
    </w:p>
    <w:p>
      <w:pPr>
        <w:spacing w:after="0" w:line="1"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impairment in our Journeys Group and Johnston &amp; Murphy Group. As a result, we recorded a trademark impairment of $5.3 million in the first quarter of Fiscal 2021. This charge is included in asset impairment and other, net in the accompanying Consolidated Statements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Key assumptions included in the estimation of the fair value for trademarks include the following:</w:t>
      </w:r>
    </w:p>
    <w:p>
      <w:pPr>
        <w:spacing w:after="0" w:line="23" w:lineRule="exact"/>
        <w:rPr>
          <w:sz w:val="20"/>
          <w:szCs w:val="20"/>
          <w:color w:val="auto"/>
        </w:rPr>
      </w:pPr>
    </w:p>
    <w:p>
      <w:pPr>
        <w:jc w:val="both"/>
        <w:ind w:left="800" w:hanging="401"/>
        <w:spacing w:after="0" w:line="250" w:lineRule="auto"/>
        <w:tabs>
          <w:tab w:leader="none" w:pos="800" w:val="left"/>
        </w:tabs>
        <w:numPr>
          <w:ilvl w:val="0"/>
          <w:numId w:val="16"/>
        </w:numPr>
        <w:rPr>
          <w:rFonts w:ascii="Arial" w:cs="Arial" w:eastAsia="Arial" w:hAnsi="Arial"/>
          <w:sz w:val="18"/>
          <w:szCs w:val="18"/>
          <w:color w:val="2E2E2E"/>
        </w:rPr>
      </w:pPr>
      <w:r>
        <w:rPr>
          <w:rFonts w:ascii="Arial" w:cs="Arial" w:eastAsia="Arial" w:hAnsi="Arial"/>
          <w:sz w:val="18"/>
          <w:szCs w:val="18"/>
          <w:color w:val="auto"/>
        </w:rPr>
        <w:t>Future cash flow assumptions - Future cash flow assumptions include retail sales from our retail store operations and ecommerce retail sales. Sales were based on organic growth and were derived from historical experience and assumptions regarding future growth, including considerations for the impact of the ongoing COVID-19 pandemic. Our analysis incorporated an assumed period of cash flows of five years with a terminal value.</w:t>
      </w:r>
    </w:p>
    <w:p>
      <w:pPr>
        <w:spacing w:after="0" w:line="1" w:lineRule="exact"/>
        <w:rPr>
          <w:rFonts w:ascii="Arial" w:cs="Arial" w:eastAsia="Arial" w:hAnsi="Arial"/>
          <w:sz w:val="18"/>
          <w:szCs w:val="18"/>
          <w:color w:val="2E2E2E"/>
        </w:rPr>
      </w:pPr>
    </w:p>
    <w:p>
      <w:pPr>
        <w:ind w:left="800" w:hanging="401"/>
        <w:spacing w:after="0"/>
        <w:tabs>
          <w:tab w:leader="none" w:pos="800" w:val="left"/>
        </w:tabs>
        <w:numPr>
          <w:ilvl w:val="0"/>
          <w:numId w:val="16"/>
        </w:numPr>
        <w:rPr>
          <w:rFonts w:ascii="Arial" w:cs="Arial" w:eastAsia="Arial" w:hAnsi="Arial"/>
          <w:sz w:val="18"/>
          <w:szCs w:val="18"/>
          <w:color w:val="2E2E2E"/>
        </w:rPr>
      </w:pPr>
      <w:r>
        <w:rPr>
          <w:rFonts w:ascii="Arial" w:cs="Arial" w:eastAsia="Arial" w:hAnsi="Arial"/>
          <w:sz w:val="18"/>
          <w:szCs w:val="18"/>
          <w:color w:val="auto"/>
        </w:rPr>
        <w:t>Royalty rate - The royalty rate used to estimate the fair values of our reporting units’ trademarks was 1%.</w:t>
      </w:r>
    </w:p>
    <w:p>
      <w:pPr>
        <w:spacing w:after="0" w:line="9" w:lineRule="exact"/>
        <w:rPr>
          <w:rFonts w:ascii="Arial" w:cs="Arial" w:eastAsia="Arial" w:hAnsi="Arial"/>
          <w:sz w:val="18"/>
          <w:szCs w:val="18"/>
          <w:color w:val="2E2E2E"/>
        </w:rPr>
      </w:pPr>
    </w:p>
    <w:p>
      <w:pPr>
        <w:jc w:val="both"/>
        <w:ind w:left="800" w:hanging="401"/>
        <w:spacing w:after="0" w:line="255" w:lineRule="auto"/>
        <w:tabs>
          <w:tab w:leader="none" w:pos="800" w:val="left"/>
        </w:tabs>
        <w:numPr>
          <w:ilvl w:val="0"/>
          <w:numId w:val="16"/>
        </w:numPr>
        <w:rPr>
          <w:rFonts w:ascii="Arial" w:cs="Arial" w:eastAsia="Arial" w:hAnsi="Arial"/>
          <w:sz w:val="18"/>
          <w:szCs w:val="18"/>
          <w:color w:val="2E2E2E"/>
        </w:rPr>
      </w:pPr>
      <w:r>
        <w:rPr>
          <w:rFonts w:ascii="Arial" w:cs="Arial" w:eastAsia="Arial" w:hAnsi="Arial"/>
          <w:sz w:val="18"/>
          <w:szCs w:val="18"/>
          <w:color w:val="auto"/>
        </w:rPr>
        <w:t>Discount rate - The discount rate was based on an estimated WACC for each business. The components of WACC are the cost of equity and the cost of debt, each of which requires judgment by management to estimate. The WACC used to estimate the fair values of our reporting units’ trademarks was approximately 15%.</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r>
              <w:rPr>
                <w:rFonts w:ascii="Arial" w:cs="Arial" w:eastAsia="Arial" w:hAnsi="Arial"/>
                <w:sz w:val="18"/>
                <w:szCs w:val="18"/>
                <w:color w:val="auto"/>
                <w:w w:val="92"/>
              </w:rPr>
              <w:t>Other intangibles by major classes were as follows: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59"/>
        </w:trPr>
        <w:tc>
          <w:tcPr>
            <w:tcW w:w="3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rPr>
              <w:t>Trademarks</w:t>
            </w:r>
            <w:r>
              <w:rPr>
                <w:rFonts w:ascii="Arial" w:cs="Arial" w:eastAsia="Arial" w:hAnsi="Arial"/>
                <w:sz w:val="15"/>
                <w:szCs w:val="15"/>
                <w:b w:val="1"/>
                <w:bCs w:val="1"/>
                <w:color w:val="auto"/>
              </w:rPr>
              <w:t>(1)</w:t>
            </w:r>
          </w:p>
        </w:tc>
        <w:tc>
          <w:tcPr>
            <w:tcW w:w="2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b w:val="1"/>
                <w:bCs w:val="1"/>
                <w:color w:val="auto"/>
                <w:w w:val="92"/>
              </w:rPr>
              <w:t>Customer Lists</w:t>
            </w:r>
            <w:r>
              <w:rPr>
                <w:rFonts w:ascii="Arial" w:cs="Arial" w:eastAsia="Arial" w:hAnsi="Arial"/>
                <w:sz w:val="15"/>
                <w:szCs w:val="15"/>
                <w:b w:val="1"/>
                <w:bCs w:val="1"/>
                <w:color w:val="auto"/>
                <w:w w:val="92"/>
              </w:rPr>
              <w:t>(2)</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Other</w:t>
            </w:r>
            <w:r>
              <w:rPr>
                <w:rFonts w:ascii="Arial" w:cs="Arial" w:eastAsia="Arial" w:hAnsi="Arial"/>
                <w:sz w:val="15"/>
                <w:szCs w:val="15"/>
                <w:b w:val="1"/>
                <w:bCs w:val="1"/>
                <w:color w:val="auto"/>
              </w:rPr>
              <w:t>(3)</w:t>
            </w: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right"/>
              <w:ind w:right="590"/>
              <w:spacing w:after="0"/>
              <w:rPr>
                <w:sz w:val="20"/>
                <w:szCs w:val="20"/>
                <w:color w:val="auto"/>
              </w:rPr>
            </w:pPr>
            <w:r>
              <w:rPr>
                <w:rFonts w:ascii="Arial" w:cs="Arial" w:eastAsia="Arial" w:hAnsi="Arial"/>
                <w:sz w:val="18"/>
                <w:szCs w:val="18"/>
                <w:b w:val="1"/>
                <w:bCs w:val="1"/>
                <w:color w:val="auto"/>
              </w:rPr>
              <w:t>Total</w:t>
            </w:r>
          </w:p>
        </w:tc>
      </w:tr>
      <w:tr>
        <w:trPr>
          <w:trHeight w:val="205"/>
        </w:trPr>
        <w:tc>
          <w:tcPr>
            <w:tcW w:w="3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10"/>
              <w:spacing w:after="0" w:line="205" w:lineRule="exact"/>
              <w:rPr>
                <w:sz w:val="20"/>
                <w:szCs w:val="20"/>
                <w:color w:val="auto"/>
              </w:rPr>
            </w:pPr>
            <w:r>
              <w:rPr>
                <w:rFonts w:ascii="Arial" w:cs="Arial" w:eastAsia="Arial" w:hAnsi="Arial"/>
                <w:sz w:val="18"/>
                <w:szCs w:val="18"/>
                <w:b w:val="1"/>
                <w:bCs w:val="1"/>
                <w:color w:val="auto"/>
                <w:w w:val="90"/>
              </w:rPr>
              <w:t>Jan. 30,</w:t>
            </w:r>
          </w:p>
        </w:tc>
        <w:tc>
          <w:tcPr>
            <w:tcW w:w="260" w:type="dxa"/>
            <w:vAlign w:val="bottom"/>
          </w:tcPr>
          <w:p>
            <w:pPr>
              <w:spacing w:after="0"/>
              <w:rPr>
                <w:sz w:val="17"/>
                <w:szCs w:val="17"/>
                <w:color w:val="auto"/>
              </w:rPr>
            </w:pPr>
          </w:p>
        </w:tc>
        <w:tc>
          <w:tcPr>
            <w:tcW w:w="680" w:type="dxa"/>
            <w:vAlign w:val="bottom"/>
          </w:tcPr>
          <w:p>
            <w:pPr>
              <w:jc w:val="right"/>
              <w:ind w:right="30"/>
              <w:spacing w:after="0" w:line="205" w:lineRule="exact"/>
              <w:rPr>
                <w:sz w:val="20"/>
                <w:szCs w:val="20"/>
                <w:color w:val="auto"/>
              </w:rPr>
            </w:pPr>
            <w:r>
              <w:rPr>
                <w:rFonts w:ascii="Arial" w:cs="Arial" w:eastAsia="Arial" w:hAnsi="Arial"/>
                <w:sz w:val="18"/>
                <w:szCs w:val="18"/>
                <w:color w:val="auto"/>
                <w:w w:val="96"/>
              </w:rPr>
              <w:t>Feb. 1,</w:t>
            </w:r>
          </w:p>
        </w:tc>
        <w:tc>
          <w:tcPr>
            <w:tcW w:w="220" w:type="dxa"/>
            <w:vAlign w:val="bottom"/>
          </w:tcPr>
          <w:p>
            <w:pPr>
              <w:spacing w:after="0"/>
              <w:rPr>
                <w:sz w:val="17"/>
                <w:szCs w:val="17"/>
                <w:color w:val="auto"/>
              </w:rPr>
            </w:pPr>
          </w:p>
        </w:tc>
        <w:tc>
          <w:tcPr>
            <w:tcW w:w="780" w:type="dxa"/>
            <w:vAlign w:val="bottom"/>
          </w:tcPr>
          <w:p>
            <w:pPr>
              <w:jc w:val="right"/>
              <w:ind w:right="70"/>
              <w:spacing w:after="0" w:line="205" w:lineRule="exact"/>
              <w:rPr>
                <w:sz w:val="20"/>
                <w:szCs w:val="20"/>
                <w:color w:val="auto"/>
              </w:rPr>
            </w:pPr>
            <w:r>
              <w:rPr>
                <w:rFonts w:ascii="Arial" w:cs="Arial" w:eastAsia="Arial" w:hAnsi="Arial"/>
                <w:sz w:val="18"/>
                <w:szCs w:val="18"/>
                <w:b w:val="1"/>
                <w:bCs w:val="1"/>
                <w:color w:val="auto"/>
                <w:w w:val="90"/>
              </w:rPr>
              <w:t>Jan. 30,</w:t>
            </w:r>
          </w:p>
        </w:tc>
        <w:tc>
          <w:tcPr>
            <w:tcW w:w="220" w:type="dxa"/>
            <w:vAlign w:val="bottom"/>
          </w:tcPr>
          <w:p>
            <w:pPr>
              <w:spacing w:after="0"/>
              <w:rPr>
                <w:sz w:val="17"/>
                <w:szCs w:val="17"/>
                <w:color w:val="auto"/>
              </w:rPr>
            </w:pPr>
          </w:p>
        </w:tc>
        <w:tc>
          <w:tcPr>
            <w:tcW w:w="700" w:type="dxa"/>
            <w:vAlign w:val="bottom"/>
          </w:tcPr>
          <w:p>
            <w:pPr>
              <w:jc w:val="right"/>
              <w:ind w:right="50"/>
              <w:spacing w:after="0" w:line="205" w:lineRule="exact"/>
              <w:rPr>
                <w:sz w:val="20"/>
                <w:szCs w:val="20"/>
                <w:color w:val="auto"/>
              </w:rPr>
            </w:pPr>
            <w:r>
              <w:rPr>
                <w:rFonts w:ascii="Arial" w:cs="Arial" w:eastAsia="Arial" w:hAnsi="Arial"/>
                <w:sz w:val="18"/>
                <w:szCs w:val="18"/>
                <w:color w:val="auto"/>
                <w:w w:val="96"/>
              </w:rPr>
              <w:t>Feb. 1,</w:t>
            </w:r>
          </w:p>
        </w:tc>
        <w:tc>
          <w:tcPr>
            <w:tcW w:w="200" w:type="dxa"/>
            <w:vAlign w:val="bottom"/>
          </w:tcPr>
          <w:p>
            <w:pPr>
              <w:spacing w:after="0"/>
              <w:rPr>
                <w:sz w:val="17"/>
                <w:szCs w:val="17"/>
                <w:color w:val="auto"/>
              </w:rPr>
            </w:pPr>
          </w:p>
        </w:tc>
        <w:tc>
          <w:tcPr>
            <w:tcW w:w="780" w:type="dxa"/>
            <w:vAlign w:val="bottom"/>
          </w:tcPr>
          <w:p>
            <w:pPr>
              <w:jc w:val="right"/>
              <w:ind w:right="70"/>
              <w:spacing w:after="0" w:line="205" w:lineRule="exact"/>
              <w:rPr>
                <w:sz w:val="20"/>
                <w:szCs w:val="20"/>
                <w:color w:val="auto"/>
              </w:rPr>
            </w:pPr>
            <w:r>
              <w:rPr>
                <w:rFonts w:ascii="Arial" w:cs="Arial" w:eastAsia="Arial" w:hAnsi="Arial"/>
                <w:sz w:val="18"/>
                <w:szCs w:val="18"/>
                <w:b w:val="1"/>
                <w:bCs w:val="1"/>
                <w:color w:val="auto"/>
                <w:w w:val="90"/>
              </w:rPr>
              <w:t>Jan. 30,</w:t>
            </w:r>
          </w:p>
        </w:tc>
        <w:tc>
          <w:tcPr>
            <w:tcW w:w="280" w:type="dxa"/>
            <w:vAlign w:val="bottom"/>
          </w:tcPr>
          <w:p>
            <w:pPr>
              <w:spacing w:after="0"/>
              <w:rPr>
                <w:sz w:val="17"/>
                <w:szCs w:val="17"/>
                <w:color w:val="auto"/>
              </w:rPr>
            </w:pPr>
          </w:p>
        </w:tc>
        <w:tc>
          <w:tcPr>
            <w:tcW w:w="640" w:type="dxa"/>
            <w:vAlign w:val="bottom"/>
          </w:tcPr>
          <w:p>
            <w:pPr>
              <w:jc w:val="right"/>
              <w:ind w:right="50"/>
              <w:spacing w:after="0" w:line="205" w:lineRule="exact"/>
              <w:rPr>
                <w:sz w:val="20"/>
                <w:szCs w:val="20"/>
                <w:color w:val="auto"/>
              </w:rPr>
            </w:pPr>
            <w:r>
              <w:rPr>
                <w:rFonts w:ascii="Arial" w:cs="Arial" w:eastAsia="Arial" w:hAnsi="Arial"/>
                <w:sz w:val="18"/>
                <w:szCs w:val="18"/>
                <w:color w:val="auto"/>
                <w:w w:val="85"/>
              </w:rPr>
              <w:t>Feb. 1,</w:t>
            </w:r>
          </w:p>
        </w:tc>
        <w:tc>
          <w:tcPr>
            <w:tcW w:w="180" w:type="dxa"/>
            <w:vAlign w:val="bottom"/>
          </w:tcPr>
          <w:p>
            <w:pPr>
              <w:spacing w:after="0"/>
              <w:rPr>
                <w:sz w:val="17"/>
                <w:szCs w:val="17"/>
                <w:color w:val="auto"/>
              </w:rPr>
            </w:pPr>
          </w:p>
        </w:tc>
        <w:tc>
          <w:tcPr>
            <w:tcW w:w="760" w:type="dxa"/>
            <w:vAlign w:val="bottom"/>
          </w:tcPr>
          <w:p>
            <w:pPr>
              <w:jc w:val="right"/>
              <w:ind w:right="70"/>
              <w:spacing w:after="0" w:line="205" w:lineRule="exact"/>
              <w:rPr>
                <w:sz w:val="20"/>
                <w:szCs w:val="20"/>
                <w:color w:val="auto"/>
              </w:rPr>
            </w:pPr>
            <w:r>
              <w:rPr>
                <w:rFonts w:ascii="Arial" w:cs="Arial" w:eastAsia="Arial" w:hAnsi="Arial"/>
                <w:sz w:val="18"/>
                <w:szCs w:val="18"/>
                <w:b w:val="1"/>
                <w:bCs w:val="1"/>
                <w:color w:val="auto"/>
                <w:w w:val="87"/>
              </w:rPr>
              <w:t>Jan. 30,</w:t>
            </w:r>
          </w:p>
        </w:tc>
        <w:tc>
          <w:tcPr>
            <w:tcW w:w="820" w:type="dxa"/>
            <w:vAlign w:val="bottom"/>
          </w:tcPr>
          <w:p>
            <w:pPr>
              <w:jc w:val="right"/>
              <w:ind w:right="10"/>
              <w:spacing w:after="0" w:line="205" w:lineRule="exact"/>
              <w:rPr>
                <w:sz w:val="20"/>
                <w:szCs w:val="20"/>
                <w:color w:val="auto"/>
              </w:rPr>
            </w:pPr>
            <w:r>
              <w:rPr>
                <w:rFonts w:ascii="Arial" w:cs="Arial" w:eastAsia="Arial" w:hAnsi="Arial"/>
                <w:sz w:val="18"/>
                <w:szCs w:val="18"/>
                <w:color w:val="auto"/>
              </w:rPr>
              <w:t>Feb. 1,</w:t>
            </w:r>
          </w:p>
        </w:tc>
      </w:tr>
      <w:tr>
        <w:trPr>
          <w:trHeight w:val="234"/>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r>
      <w:tr>
        <w:trPr>
          <w:trHeight w:val="223"/>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Gross other intangibles</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26,443</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8"/>
              </w:rPr>
              <w:t>31,023</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6,617</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6,562</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400</w:t>
            </w:r>
          </w:p>
        </w:tc>
        <w:tc>
          <w:tcPr>
            <w:tcW w:w="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767</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33,460</w:t>
            </w: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$ 38,352</w:t>
            </w:r>
          </w:p>
        </w:tc>
      </w:tr>
      <w:tr>
        <w:trPr>
          <w:trHeight w:val="230"/>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Accumulated amortization</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(2,131)</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(400)</w:t>
            </w: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(2,531)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(1,988)</w:t>
            </w:r>
          </w:p>
        </w:tc>
      </w:tr>
      <w:tr>
        <w:trPr>
          <w:trHeight w:val="223"/>
        </w:trPr>
        <w:tc>
          <w:tcPr>
            <w:tcW w:w="38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Other Intangibles, net</w:t>
            </w:r>
          </w:p>
        </w:tc>
        <w:tc>
          <w:tcPr>
            <w:tcW w:w="2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26,443</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8"/>
              </w:rPr>
              <w:t>31,023</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4,486</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5,053</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288</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30,929</w:t>
            </w: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$ 36,364</w:t>
            </w:r>
          </w:p>
        </w:tc>
      </w:tr>
      <w:tr>
        <w:trPr>
          <w:trHeight w:val="20"/>
        </w:trPr>
        <w:tc>
          <w:tcPr>
            <w:tcW w:w="3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ind w:left="360" w:hanging="352"/>
        <w:spacing w:after="0"/>
        <w:tabs>
          <w:tab w:leader="none" w:pos="360" w:val="left"/>
        </w:tabs>
        <w:numPr>
          <w:ilvl w:val="0"/>
          <w:numId w:val="17"/>
        </w:numPr>
        <w:rPr>
          <w:rFonts w:ascii="Arial" w:cs="Arial" w:eastAsia="Arial" w:hAnsi="Arial"/>
          <w:sz w:val="28"/>
          <w:szCs w:val="28"/>
          <w:color w:val="auto"/>
          <w:vertAlign w:val="superscript"/>
        </w:rPr>
      </w:pPr>
      <w:r>
        <w:rPr>
          <w:rFonts w:ascii="Arial" w:cs="Arial" w:eastAsia="Arial" w:hAnsi="Arial"/>
          <w:sz w:val="16"/>
          <w:szCs w:val="16"/>
          <w:color w:val="auto"/>
        </w:rPr>
        <w:t>Includes a $23.1 million trademark at January 30, 2021 related to Schuh Group and $3.4 million related to Journeys Group.</w:t>
      </w:r>
    </w:p>
    <w:p>
      <w:pPr>
        <w:spacing w:after="0" w:line="23" w:lineRule="exact"/>
        <w:rPr>
          <w:rFonts w:ascii="Arial" w:cs="Arial" w:eastAsia="Arial" w:hAnsi="Arial"/>
          <w:sz w:val="28"/>
          <w:szCs w:val="28"/>
          <w:color w:val="auto"/>
          <w:vertAlign w:val="superscript"/>
        </w:rPr>
      </w:pPr>
    </w:p>
    <w:p>
      <w:pPr>
        <w:ind w:left="380" w:hanging="372"/>
        <w:spacing w:after="0" w:line="182" w:lineRule="auto"/>
        <w:tabs>
          <w:tab w:leader="none" w:pos="380" w:val="left"/>
        </w:tabs>
        <w:numPr>
          <w:ilvl w:val="0"/>
          <w:numId w:val="17"/>
        </w:numPr>
        <w:rPr>
          <w:rFonts w:ascii="Arial" w:cs="Arial" w:eastAsia="Arial" w:hAnsi="Arial"/>
          <w:sz w:val="22"/>
          <w:szCs w:val="22"/>
          <w:color w:val="auto"/>
          <w:vertAlign w:val="superscript"/>
        </w:rPr>
      </w:pPr>
      <w:r>
        <w:rPr>
          <w:rFonts w:ascii="Arial" w:cs="Arial" w:eastAsia="Arial" w:hAnsi="Arial"/>
          <w:sz w:val="14"/>
          <w:szCs w:val="14"/>
          <w:color w:val="auto"/>
        </w:rPr>
        <w:t>Includes $5.1 million for the Togast acquisition.</w:t>
      </w:r>
    </w:p>
    <w:p>
      <w:pPr>
        <w:spacing w:after="0" w:line="10" w:lineRule="exact"/>
        <w:rPr>
          <w:rFonts w:ascii="Arial" w:cs="Arial" w:eastAsia="Arial" w:hAnsi="Arial"/>
          <w:sz w:val="22"/>
          <w:szCs w:val="22"/>
          <w:color w:val="auto"/>
          <w:vertAlign w:val="superscript"/>
        </w:rPr>
      </w:pPr>
    </w:p>
    <w:p>
      <w:pPr>
        <w:ind w:left="400" w:hanging="392"/>
        <w:spacing w:after="0" w:line="182" w:lineRule="auto"/>
        <w:tabs>
          <w:tab w:leader="none" w:pos="400" w:val="left"/>
        </w:tabs>
        <w:numPr>
          <w:ilvl w:val="0"/>
          <w:numId w:val="17"/>
        </w:numPr>
        <w:rPr>
          <w:rFonts w:ascii="Arial" w:cs="Arial" w:eastAsia="Arial" w:hAnsi="Arial"/>
          <w:sz w:val="22"/>
          <w:szCs w:val="22"/>
          <w:color w:val="auto"/>
          <w:vertAlign w:val="superscript"/>
        </w:rPr>
      </w:pPr>
      <w:r>
        <w:rPr>
          <w:rFonts w:ascii="Arial" w:cs="Arial" w:eastAsia="Arial" w:hAnsi="Arial"/>
          <w:sz w:val="14"/>
          <w:szCs w:val="14"/>
          <w:color w:val="auto"/>
        </w:rPr>
        <w:t>Backlog for Togast.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The amortization of intangibles was $0.9 million and $0.2 million for Fiscal 2021 and Fiscal 2020, respectively, and less than $0.1 million for Fiscal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Currently, amortization of intangibles is expected to be $0.6 million for each of the next five years.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Asset Impairments and Other Charges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 impairment charges are reflected as a reduction of the net carrying value of property and equipment, and in asset impairment and other, net in the accompanying Consolidated Statements of Operations.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recorded a pretax charge to earnings of $18.7 million in Fiscal 2021, including $13.8 million for retail store asset impairments and $5.3 million for a trademark impairment, partially offset by a $(0.4) million gain for the release of an earnout related to the Togast acquisition.</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recorded a pretax charge to earnings of $13.4 million in Fiscal 2020, including $11.5 million pension settlement expense and $3.1 million for retail store asset impairments, partially offset by a $(0.6) million gain on the sale of the Lids Sports Group headquarters building, a $(0.4) million gain for lease terminations and a $(0.2) million gain related to Hurricane Maria.</w:t>
      </w:r>
    </w:p>
    <w:p>
      <w:pPr>
        <w:spacing w:after="0" w:line="14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recorded a pretax charge to earnings of $3.2 million in Fiscal 2019, including $4.2 million for retail store asset impairments, $0.3 million for legal and other matters and $0.1 for hurricane losses, partially offset by a $(1.4) million gain related to Hurricane Maria.</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gridSpan w:val="3"/>
          </w:tcPr>
          <w:p>
            <w:pPr>
              <w:spacing w:after="0"/>
              <w:rPr>
                <w:sz w:val="20"/>
                <w:szCs w:val="20"/>
                <w:color w:val="auto"/>
              </w:rPr>
            </w:pPr>
            <w:r>
              <w:rPr>
                <w:rFonts w:ascii="Arial" w:cs="Arial" w:eastAsia="Arial" w:hAnsi="Arial"/>
                <w:sz w:val="18"/>
                <w:szCs w:val="18"/>
                <w:b w:val="1"/>
                <w:bCs w:val="1"/>
                <w:color w:val="auto"/>
              </w:rPr>
              <w:t>Note 6</w:t>
            </w:r>
          </w:p>
        </w:tc>
        <w:tc>
          <w:tcPr>
            <w:tcW w:w="29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4960" w:type="dxa"/>
            <w:vAlign w:val="bottom"/>
            <w:gridSpan w:val="3"/>
          </w:tcPr>
          <w:p>
            <w:pPr>
              <w:spacing w:after="0"/>
              <w:rPr>
                <w:sz w:val="20"/>
                <w:szCs w:val="20"/>
                <w:color w:val="auto"/>
              </w:rPr>
            </w:pPr>
            <w:r>
              <w:rPr>
                <w:rFonts w:ascii="Arial" w:cs="Arial" w:eastAsia="Arial" w:hAnsi="Arial"/>
                <w:sz w:val="18"/>
                <w:szCs w:val="18"/>
                <w:b w:val="1"/>
                <w:bCs w:val="1"/>
                <w:color w:val="auto"/>
              </w:rPr>
              <w:t>Inventories</w:t>
            </w:r>
          </w:p>
        </w:tc>
        <w:tc>
          <w:tcPr>
            <w:tcW w:w="29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5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5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4"/>
              </w:rPr>
              <w:t>January 30, 2021</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February 1,</w:t>
            </w:r>
          </w:p>
        </w:tc>
        <w:tc>
          <w:tcPr>
            <w:tcW w:w="0" w:type="dxa"/>
            <w:vAlign w:val="bottom"/>
          </w:tcPr>
          <w:p>
            <w:pPr>
              <w:spacing w:after="0"/>
              <w:rPr>
                <w:sz w:val="1"/>
                <w:szCs w:val="1"/>
                <w:color w:val="auto"/>
              </w:rPr>
            </w:pPr>
          </w:p>
        </w:tc>
      </w:tr>
      <w:tr>
        <w:trPr>
          <w:trHeight w:val="230"/>
        </w:trPr>
        <w:tc>
          <w:tcPr>
            <w:tcW w:w="49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(In thousands)</w:t>
            </w:r>
          </w:p>
        </w:tc>
        <w:tc>
          <w:tcPr>
            <w:tcW w:w="29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vMerge w:val="continue"/>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49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Wholesale finished goods</w:t>
            </w:r>
          </w:p>
        </w:tc>
        <w:tc>
          <w:tcPr>
            <w:tcW w:w="2920" w:type="dxa"/>
            <w:vAlign w:val="bottom"/>
            <w:shd w:val="clear" w:color="auto" w:fill="CFF0FC"/>
          </w:tcPr>
          <w:p>
            <w:pPr>
              <w:ind w:left="2780"/>
              <w:spacing w:after="0"/>
              <w:rPr>
                <w:sz w:val="20"/>
                <w:szCs w:val="20"/>
                <w:color w:val="auto"/>
              </w:rPr>
            </w:pPr>
            <w:r>
              <w:rPr>
                <w:rFonts w:ascii="Arial" w:cs="Arial" w:eastAsia="Arial" w:hAnsi="Arial"/>
                <w:sz w:val="18"/>
                <w:szCs w:val="18"/>
                <w:b w:val="1"/>
                <w:bCs w:val="1"/>
                <w:color w:val="auto"/>
              </w:rPr>
              <w:t>$</w:t>
            </w: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27,851</w:t>
            </w:r>
          </w:p>
        </w:tc>
        <w:tc>
          <w:tcPr>
            <w:tcW w:w="40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34,271</w:t>
            </w:r>
          </w:p>
        </w:tc>
        <w:tc>
          <w:tcPr>
            <w:tcW w:w="0" w:type="dxa"/>
            <w:vAlign w:val="bottom"/>
          </w:tcPr>
          <w:p>
            <w:pPr>
              <w:spacing w:after="0"/>
              <w:rPr>
                <w:sz w:val="1"/>
                <w:szCs w:val="1"/>
                <w:color w:val="auto"/>
              </w:rPr>
            </w:pPr>
          </w:p>
        </w:tc>
      </w:tr>
      <w:tr>
        <w:trPr>
          <w:trHeight w:val="230"/>
        </w:trPr>
        <w:tc>
          <w:tcPr>
            <w:tcW w:w="49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Retail merchandise</w:t>
            </w:r>
          </w:p>
        </w:tc>
        <w:tc>
          <w:tcPr>
            <w:tcW w:w="29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263,115</w:t>
            </w: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330,998</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auto"/>
            </w:tcBorders>
            <w:gridSpan w:val="3"/>
            <w:shd w:val="clear" w:color="auto" w:fill="CFF0FC"/>
          </w:tcPr>
          <w:p>
            <w:pPr>
              <w:spacing w:after="0"/>
              <w:rPr>
                <w:sz w:val="20"/>
                <w:szCs w:val="20"/>
                <w:color w:val="auto"/>
              </w:rPr>
            </w:pPr>
            <w:r>
              <w:rPr>
                <w:rFonts w:ascii="Arial" w:cs="Arial" w:eastAsia="Arial" w:hAnsi="Arial"/>
                <w:sz w:val="18"/>
                <w:szCs w:val="18"/>
                <w:b w:val="1"/>
                <w:bCs w:val="1"/>
                <w:color w:val="auto"/>
              </w:rPr>
              <w:t>Total Inventories</w:t>
            </w:r>
          </w:p>
        </w:tc>
        <w:tc>
          <w:tcPr>
            <w:tcW w:w="2920" w:type="dxa"/>
            <w:vAlign w:val="bottom"/>
            <w:tcBorders>
              <w:bottom w:val="single" w:sz="8" w:color="auto"/>
            </w:tcBorders>
            <w:shd w:val="clear" w:color="auto" w:fill="CFF0FC"/>
          </w:tcPr>
          <w:p>
            <w:pPr>
              <w:ind w:left="2780"/>
              <w:spacing w:after="0"/>
              <w:rPr>
                <w:sz w:val="20"/>
                <w:szCs w:val="20"/>
                <w:color w:val="auto"/>
              </w:rPr>
            </w:pPr>
            <w:r>
              <w:rPr>
                <w:rFonts w:ascii="Arial" w:cs="Arial" w:eastAsia="Arial" w:hAnsi="Arial"/>
                <w:sz w:val="18"/>
                <w:szCs w:val="18"/>
                <w:b w:val="1"/>
                <w:bCs w:val="1"/>
                <w:color w:val="auto"/>
              </w:rPr>
              <w:t>$</w:t>
            </w: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290,966</w:t>
            </w:r>
          </w:p>
        </w:tc>
        <w:tc>
          <w:tcPr>
            <w:tcW w:w="400" w:type="dxa"/>
            <w:vAlign w:val="bottom"/>
            <w:tcBorders>
              <w:bottom w:val="single" w:sz="8" w:color="auto"/>
            </w:tcBorders>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365,269</w:t>
            </w:r>
          </w:p>
        </w:tc>
        <w:tc>
          <w:tcPr>
            <w:tcW w:w="0" w:type="dxa"/>
            <w:vAlign w:val="bottom"/>
          </w:tcPr>
          <w:p>
            <w:pPr>
              <w:spacing w:after="0"/>
              <w:rPr>
                <w:sz w:val="1"/>
                <w:szCs w:val="1"/>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8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960" w:type="dxa"/>
            <w:vAlign w:val="bottom"/>
            <w:gridSpan w:val="3"/>
          </w:tcPr>
          <w:p>
            <w:pPr>
              <w:spacing w:after="0"/>
              <w:rPr>
                <w:sz w:val="20"/>
                <w:szCs w:val="20"/>
                <w:color w:val="auto"/>
              </w:rPr>
            </w:pPr>
            <w:r>
              <w:rPr>
                <w:rFonts w:ascii="Arial" w:cs="Arial" w:eastAsia="Arial" w:hAnsi="Arial"/>
                <w:sz w:val="18"/>
                <w:szCs w:val="18"/>
                <w:b w:val="1"/>
                <w:bCs w:val="1"/>
                <w:color w:val="auto"/>
              </w:rPr>
              <w:t>Note 7</w:t>
            </w:r>
          </w:p>
        </w:tc>
        <w:tc>
          <w:tcPr>
            <w:tcW w:w="29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49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2"/>
              </w:rPr>
              <w:t>Property and Equipment and Other Current Accrued Liabilities</w:t>
            </w:r>
          </w:p>
        </w:tc>
        <w:tc>
          <w:tcPr>
            <w:tcW w:w="29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8"/>
        </w:trPr>
        <w:tc>
          <w:tcPr>
            <w:tcW w:w="49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(In thousands)</w:t>
            </w:r>
          </w:p>
        </w:tc>
        <w:tc>
          <w:tcPr>
            <w:tcW w:w="29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January 30, 2021</w:t>
            </w: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6"/>
              </w:rPr>
              <w:t>February 1, 2020</w:t>
            </w:r>
          </w:p>
        </w:tc>
        <w:tc>
          <w:tcPr>
            <w:tcW w:w="0" w:type="dxa"/>
            <w:vAlign w:val="bottom"/>
          </w:tcPr>
          <w:p>
            <w:pPr>
              <w:spacing w:after="0"/>
              <w:rPr>
                <w:sz w:val="1"/>
                <w:szCs w:val="1"/>
                <w:color w:val="auto"/>
              </w:rPr>
            </w:pPr>
          </w:p>
        </w:tc>
      </w:tr>
      <w:tr>
        <w:trPr>
          <w:trHeight w:val="223"/>
        </w:trPr>
        <w:tc>
          <w:tcPr>
            <w:tcW w:w="49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Land</w:t>
            </w:r>
          </w:p>
        </w:tc>
        <w:tc>
          <w:tcPr>
            <w:tcW w:w="292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7,451</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7,360</w:t>
            </w:r>
          </w:p>
        </w:tc>
        <w:tc>
          <w:tcPr>
            <w:tcW w:w="0" w:type="dxa"/>
            <w:vAlign w:val="bottom"/>
          </w:tcPr>
          <w:p>
            <w:pPr>
              <w:spacing w:after="0"/>
              <w:rPr>
                <w:sz w:val="1"/>
                <w:szCs w:val="1"/>
                <w:color w:val="auto"/>
              </w:rPr>
            </w:pPr>
          </w:p>
        </w:tc>
      </w:tr>
      <w:tr>
        <w:trPr>
          <w:trHeight w:val="229"/>
        </w:trPr>
        <w:tc>
          <w:tcPr>
            <w:tcW w:w="4960" w:type="dxa"/>
            <w:vAlign w:val="bottom"/>
            <w:gridSpan w:val="3"/>
          </w:tcPr>
          <w:p>
            <w:pPr>
              <w:spacing w:after="0"/>
              <w:rPr>
                <w:sz w:val="20"/>
                <w:szCs w:val="20"/>
                <w:color w:val="auto"/>
              </w:rPr>
            </w:pPr>
            <w:r>
              <w:rPr>
                <w:rFonts w:ascii="Arial" w:cs="Arial" w:eastAsia="Arial" w:hAnsi="Arial"/>
                <w:sz w:val="18"/>
                <w:szCs w:val="18"/>
                <w:color w:val="auto"/>
              </w:rPr>
              <w:t>Buildings and building equipment</w:t>
            </w:r>
          </w:p>
        </w:tc>
        <w:tc>
          <w:tcPr>
            <w:tcW w:w="29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74,617</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63,493</w:t>
            </w:r>
          </w:p>
        </w:tc>
        <w:tc>
          <w:tcPr>
            <w:tcW w:w="0" w:type="dxa"/>
            <w:vAlign w:val="bottom"/>
          </w:tcPr>
          <w:p>
            <w:pPr>
              <w:spacing w:after="0"/>
              <w:rPr>
                <w:sz w:val="1"/>
                <w:szCs w:val="1"/>
                <w:color w:val="auto"/>
              </w:rPr>
            </w:pPr>
          </w:p>
        </w:tc>
      </w:tr>
      <w:tr>
        <w:trPr>
          <w:trHeight w:val="230"/>
        </w:trPr>
        <w:tc>
          <w:tcPr>
            <w:tcW w:w="49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Computer hardware, software and equipment</w:t>
            </w:r>
          </w:p>
        </w:tc>
        <w:tc>
          <w:tcPr>
            <w:tcW w:w="29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138,516</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140,503</w:t>
            </w:r>
          </w:p>
        </w:tc>
        <w:tc>
          <w:tcPr>
            <w:tcW w:w="0" w:type="dxa"/>
            <w:vAlign w:val="bottom"/>
          </w:tcPr>
          <w:p>
            <w:pPr>
              <w:spacing w:after="0"/>
              <w:rPr>
                <w:sz w:val="1"/>
                <w:szCs w:val="1"/>
                <w:color w:val="auto"/>
              </w:rPr>
            </w:pPr>
          </w:p>
        </w:tc>
      </w:tr>
      <w:tr>
        <w:trPr>
          <w:trHeight w:val="230"/>
        </w:trPr>
        <w:tc>
          <w:tcPr>
            <w:tcW w:w="4960" w:type="dxa"/>
            <w:vAlign w:val="bottom"/>
            <w:gridSpan w:val="3"/>
          </w:tcPr>
          <w:p>
            <w:pPr>
              <w:spacing w:after="0"/>
              <w:rPr>
                <w:sz w:val="20"/>
                <w:szCs w:val="20"/>
                <w:color w:val="auto"/>
              </w:rPr>
            </w:pPr>
            <w:r>
              <w:rPr>
                <w:rFonts w:ascii="Arial" w:cs="Arial" w:eastAsia="Arial" w:hAnsi="Arial"/>
                <w:sz w:val="18"/>
                <w:szCs w:val="18"/>
                <w:color w:val="auto"/>
              </w:rPr>
              <w:t>Furniture and fixtures</w:t>
            </w:r>
          </w:p>
        </w:tc>
        <w:tc>
          <w:tcPr>
            <w:tcW w:w="29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127,635</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128,542</w:t>
            </w:r>
          </w:p>
        </w:tc>
        <w:tc>
          <w:tcPr>
            <w:tcW w:w="0" w:type="dxa"/>
            <w:vAlign w:val="bottom"/>
          </w:tcPr>
          <w:p>
            <w:pPr>
              <w:spacing w:after="0"/>
              <w:rPr>
                <w:sz w:val="1"/>
                <w:szCs w:val="1"/>
                <w:color w:val="auto"/>
              </w:rPr>
            </w:pPr>
          </w:p>
        </w:tc>
      </w:tr>
      <w:tr>
        <w:trPr>
          <w:trHeight w:val="230"/>
        </w:trPr>
        <w:tc>
          <w:tcPr>
            <w:tcW w:w="49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29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14,422</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9,593</w:t>
            </w:r>
          </w:p>
        </w:tc>
        <w:tc>
          <w:tcPr>
            <w:tcW w:w="0" w:type="dxa"/>
            <w:vAlign w:val="bottom"/>
          </w:tcPr>
          <w:p>
            <w:pPr>
              <w:spacing w:after="0"/>
              <w:rPr>
                <w:sz w:val="1"/>
                <w:szCs w:val="1"/>
                <w:color w:val="auto"/>
              </w:rPr>
            </w:pPr>
          </w:p>
        </w:tc>
      </w:tr>
      <w:tr>
        <w:trPr>
          <w:trHeight w:val="229"/>
        </w:trPr>
        <w:tc>
          <w:tcPr>
            <w:tcW w:w="49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Improvements to leased property</w:t>
            </w:r>
          </w:p>
        </w:tc>
        <w:tc>
          <w:tcPr>
            <w:tcW w:w="29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334,267</w:t>
            </w: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342,592</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auto"/>
            </w:tcBorders>
            <w:gridSpan w:val="3"/>
            <w:shd w:val="clear" w:color="auto" w:fill="CFF0FC"/>
          </w:tcPr>
          <w:p>
            <w:pPr>
              <w:spacing w:after="0"/>
              <w:rPr>
                <w:sz w:val="20"/>
                <w:szCs w:val="20"/>
                <w:color w:val="auto"/>
              </w:rPr>
            </w:pPr>
            <w:r>
              <w:rPr>
                <w:rFonts w:ascii="Arial" w:cs="Arial" w:eastAsia="Arial" w:hAnsi="Arial"/>
                <w:sz w:val="18"/>
                <w:szCs w:val="18"/>
                <w:color w:val="auto"/>
              </w:rPr>
              <w:t>Property and equipment, at cost</w:t>
            </w:r>
          </w:p>
        </w:tc>
        <w:tc>
          <w:tcPr>
            <w:tcW w:w="292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696,908</w:t>
            </w:r>
          </w:p>
        </w:tc>
        <w:tc>
          <w:tcPr>
            <w:tcW w:w="4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692,083</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Accumulated depreciation</w:t>
            </w:r>
          </w:p>
        </w:tc>
        <w:tc>
          <w:tcPr>
            <w:tcW w:w="29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(489,066)</w:t>
            </w: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(453,763)</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auto"/>
            </w:tcBorders>
            <w:gridSpan w:val="3"/>
            <w:shd w:val="clear" w:color="auto" w:fill="CFF0FC"/>
          </w:tcPr>
          <w:p>
            <w:pPr>
              <w:spacing w:after="0"/>
              <w:rPr>
                <w:sz w:val="20"/>
                <w:szCs w:val="20"/>
                <w:color w:val="auto"/>
              </w:rPr>
            </w:pPr>
            <w:r>
              <w:rPr>
                <w:rFonts w:ascii="Arial" w:cs="Arial" w:eastAsia="Arial" w:hAnsi="Arial"/>
                <w:sz w:val="18"/>
                <w:szCs w:val="18"/>
                <w:b w:val="1"/>
                <w:bCs w:val="1"/>
                <w:color w:val="auto"/>
              </w:rPr>
              <w:t>Total Property and Equipment, net</w:t>
            </w:r>
          </w:p>
        </w:tc>
        <w:tc>
          <w:tcPr>
            <w:tcW w:w="2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207,842</w:t>
            </w:r>
          </w:p>
        </w:tc>
        <w:tc>
          <w:tcPr>
            <w:tcW w:w="4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238,320</w:t>
            </w:r>
          </w:p>
        </w:tc>
        <w:tc>
          <w:tcPr>
            <w:tcW w:w="0" w:type="dxa"/>
            <w:vAlign w:val="bottom"/>
          </w:tcPr>
          <w:p>
            <w:pPr>
              <w:spacing w:after="0"/>
              <w:rPr>
                <w:sz w:val="1"/>
                <w:szCs w:val="1"/>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80" w:type="dxa"/>
            <w:vAlign w:val="bottom"/>
            <w:tcBorders>
              <w:bottom w:val="single" w:sz="8" w:color="auto"/>
            </w:tcBorders>
          </w:tcPr>
          <w:p>
            <w:pPr>
              <w:spacing w:after="0" w:line="20" w:lineRule="exact"/>
              <w:rPr>
                <w:sz w:val="1"/>
                <w:szCs w:val="1"/>
                <w:color w:val="auto"/>
              </w:rPr>
            </w:pPr>
          </w:p>
        </w:tc>
        <w:tc>
          <w:tcPr>
            <w:tcW w:w="44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49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(In thousands)</w:t>
            </w:r>
          </w:p>
        </w:tc>
        <w:tc>
          <w:tcPr>
            <w:tcW w:w="4420" w:type="dxa"/>
            <w:vAlign w:val="bottom"/>
            <w:tcBorders>
              <w:bottom w:val="single" w:sz="8" w:color="auto"/>
            </w:tcBorders>
            <w:gridSpan w:val="2"/>
          </w:tcPr>
          <w:p>
            <w:pPr>
              <w:ind w:left="2760"/>
              <w:spacing w:after="0"/>
              <w:rPr>
                <w:sz w:val="20"/>
                <w:szCs w:val="20"/>
                <w:color w:val="auto"/>
              </w:rPr>
            </w:pPr>
            <w:r>
              <w:rPr>
                <w:rFonts w:ascii="Arial" w:cs="Arial" w:eastAsia="Arial" w:hAnsi="Arial"/>
                <w:sz w:val="18"/>
                <w:szCs w:val="18"/>
                <w:b w:val="1"/>
                <w:bCs w:val="1"/>
                <w:color w:val="auto"/>
              </w:rPr>
              <w:t>January 30, 2021</w:t>
            </w: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4"/>
              </w:rPr>
              <w:t>February 1, 2020</w:t>
            </w:r>
          </w:p>
        </w:tc>
        <w:tc>
          <w:tcPr>
            <w:tcW w:w="0" w:type="dxa"/>
            <w:vAlign w:val="bottom"/>
          </w:tcPr>
          <w:p>
            <w:pPr>
              <w:spacing w:after="0"/>
              <w:rPr>
                <w:sz w:val="1"/>
                <w:szCs w:val="1"/>
                <w:color w:val="auto"/>
              </w:rPr>
            </w:pPr>
          </w:p>
        </w:tc>
      </w:tr>
      <w:tr>
        <w:trPr>
          <w:trHeight w:val="223"/>
        </w:trPr>
        <w:tc>
          <w:tcPr>
            <w:tcW w:w="49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Accrued employee compensation</w:t>
            </w:r>
          </w:p>
        </w:tc>
        <w:tc>
          <w:tcPr>
            <w:tcW w:w="2920" w:type="dxa"/>
            <w:vAlign w:val="bottom"/>
            <w:shd w:val="clear" w:color="auto" w:fill="CFF0FC"/>
          </w:tcPr>
          <w:p>
            <w:pPr>
              <w:jc w:val="right"/>
              <w:ind w:right="530"/>
              <w:spacing w:after="0"/>
              <w:rPr>
                <w:sz w:val="20"/>
                <w:szCs w:val="20"/>
                <w:color w:val="auto"/>
              </w:rPr>
            </w:pPr>
            <w:r>
              <w:rPr>
                <w:rFonts w:ascii="Arial" w:cs="Arial" w:eastAsia="Arial" w:hAnsi="Arial"/>
                <w:sz w:val="18"/>
                <w:szCs w:val="18"/>
                <w:b w:val="1"/>
                <w:bCs w:val="1"/>
                <w:color w:val="auto"/>
              </w:rPr>
              <w:t>$</w:t>
            </w:r>
          </w:p>
        </w:tc>
        <w:tc>
          <w:tcPr>
            <w:tcW w:w="1500" w:type="dxa"/>
            <w:vAlign w:val="bottom"/>
            <w:shd w:val="clear" w:color="auto" w:fill="CFF0FC"/>
          </w:tcPr>
          <w:p>
            <w:pPr>
              <w:jc w:val="right"/>
              <w:ind w:right="270"/>
              <w:spacing w:after="0"/>
              <w:rPr>
                <w:sz w:val="20"/>
                <w:szCs w:val="20"/>
                <w:color w:val="auto"/>
              </w:rPr>
            </w:pPr>
            <w:r>
              <w:rPr>
                <w:rFonts w:ascii="Arial" w:cs="Arial" w:eastAsia="Arial" w:hAnsi="Arial"/>
                <w:sz w:val="18"/>
                <w:szCs w:val="18"/>
                <w:b w:val="1"/>
                <w:bCs w:val="1"/>
                <w:color w:val="auto"/>
              </w:rPr>
              <w:t>11,025</w:t>
            </w:r>
          </w:p>
        </w:tc>
        <w:tc>
          <w:tcPr>
            <w:tcW w:w="2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31,579</w:t>
            </w:r>
          </w:p>
        </w:tc>
        <w:tc>
          <w:tcPr>
            <w:tcW w:w="0" w:type="dxa"/>
            <w:vAlign w:val="bottom"/>
          </w:tcPr>
          <w:p>
            <w:pPr>
              <w:spacing w:after="0"/>
              <w:rPr>
                <w:sz w:val="1"/>
                <w:szCs w:val="1"/>
                <w:color w:val="auto"/>
              </w:rPr>
            </w:pPr>
          </w:p>
        </w:tc>
      </w:tr>
      <w:tr>
        <w:trPr>
          <w:trHeight w:val="229"/>
        </w:trPr>
        <w:tc>
          <w:tcPr>
            <w:tcW w:w="4960" w:type="dxa"/>
            <w:vAlign w:val="bottom"/>
            <w:gridSpan w:val="3"/>
          </w:tcPr>
          <w:p>
            <w:pPr>
              <w:spacing w:after="0"/>
              <w:rPr>
                <w:sz w:val="20"/>
                <w:szCs w:val="20"/>
                <w:color w:val="auto"/>
              </w:rPr>
            </w:pPr>
            <w:r>
              <w:rPr>
                <w:rFonts w:ascii="Arial" w:cs="Arial" w:eastAsia="Arial" w:hAnsi="Arial"/>
                <w:sz w:val="18"/>
                <w:szCs w:val="18"/>
                <w:color w:val="auto"/>
              </w:rPr>
              <w:t>Accrued other taxes</w:t>
            </w:r>
          </w:p>
        </w:tc>
        <w:tc>
          <w:tcPr>
            <w:tcW w:w="2920" w:type="dxa"/>
            <w:vAlign w:val="bottom"/>
          </w:tcPr>
          <w:p>
            <w:pPr>
              <w:spacing w:after="0"/>
              <w:rPr>
                <w:sz w:val="19"/>
                <w:szCs w:val="19"/>
                <w:color w:val="auto"/>
              </w:rPr>
            </w:pPr>
          </w:p>
        </w:tc>
        <w:tc>
          <w:tcPr>
            <w:tcW w:w="1500" w:type="dxa"/>
            <w:vAlign w:val="bottom"/>
          </w:tcPr>
          <w:p>
            <w:pPr>
              <w:jc w:val="right"/>
              <w:ind w:right="270"/>
              <w:spacing w:after="0"/>
              <w:rPr>
                <w:sz w:val="20"/>
                <w:szCs w:val="20"/>
                <w:color w:val="auto"/>
              </w:rPr>
            </w:pPr>
            <w:r>
              <w:rPr>
                <w:rFonts w:ascii="Arial" w:cs="Arial" w:eastAsia="Arial" w:hAnsi="Arial"/>
                <w:sz w:val="18"/>
                <w:szCs w:val="18"/>
                <w:b w:val="1"/>
                <w:bCs w:val="1"/>
                <w:color w:val="auto"/>
              </w:rPr>
              <w:t>15,578</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11,583</w:t>
            </w:r>
          </w:p>
        </w:tc>
        <w:tc>
          <w:tcPr>
            <w:tcW w:w="0" w:type="dxa"/>
            <w:vAlign w:val="bottom"/>
          </w:tcPr>
          <w:p>
            <w:pPr>
              <w:spacing w:after="0"/>
              <w:rPr>
                <w:sz w:val="1"/>
                <w:szCs w:val="1"/>
                <w:color w:val="auto"/>
              </w:rPr>
            </w:pPr>
          </w:p>
        </w:tc>
      </w:tr>
      <w:tr>
        <w:trPr>
          <w:trHeight w:val="230"/>
        </w:trPr>
        <w:tc>
          <w:tcPr>
            <w:tcW w:w="49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Accrued income taxes</w:t>
            </w:r>
          </w:p>
        </w:tc>
        <w:tc>
          <w:tcPr>
            <w:tcW w:w="292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270"/>
              <w:spacing w:after="0"/>
              <w:rPr>
                <w:sz w:val="20"/>
                <w:szCs w:val="20"/>
                <w:color w:val="auto"/>
              </w:rPr>
            </w:pPr>
            <w:r>
              <w:rPr>
                <w:rFonts w:ascii="Arial" w:cs="Arial" w:eastAsia="Arial" w:hAnsi="Arial"/>
                <w:sz w:val="18"/>
                <w:szCs w:val="18"/>
                <w:b w:val="1"/>
                <w:bCs w:val="1"/>
                <w:color w:val="auto"/>
              </w:rPr>
              <w:t>674</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9"/>
        </w:trPr>
        <w:tc>
          <w:tcPr>
            <w:tcW w:w="4960" w:type="dxa"/>
            <w:vAlign w:val="bottom"/>
            <w:gridSpan w:val="3"/>
          </w:tcPr>
          <w:p>
            <w:pPr>
              <w:spacing w:after="0"/>
              <w:rPr>
                <w:sz w:val="20"/>
                <w:szCs w:val="20"/>
                <w:color w:val="auto"/>
              </w:rPr>
            </w:pPr>
            <w:r>
              <w:rPr>
                <w:rFonts w:ascii="Arial" w:cs="Arial" w:eastAsia="Arial" w:hAnsi="Arial"/>
                <w:sz w:val="18"/>
                <w:szCs w:val="18"/>
                <w:color w:val="auto"/>
              </w:rPr>
              <w:t>Provision for discontinued operations</w:t>
            </w:r>
          </w:p>
        </w:tc>
        <w:tc>
          <w:tcPr>
            <w:tcW w:w="2920" w:type="dxa"/>
            <w:vAlign w:val="bottom"/>
          </w:tcPr>
          <w:p>
            <w:pPr>
              <w:spacing w:after="0"/>
              <w:rPr>
                <w:sz w:val="19"/>
                <w:szCs w:val="19"/>
                <w:color w:val="auto"/>
              </w:rPr>
            </w:pPr>
          </w:p>
        </w:tc>
        <w:tc>
          <w:tcPr>
            <w:tcW w:w="1500" w:type="dxa"/>
            <w:vAlign w:val="bottom"/>
          </w:tcPr>
          <w:p>
            <w:pPr>
              <w:jc w:val="right"/>
              <w:ind w:right="270"/>
              <w:spacing w:after="0"/>
              <w:rPr>
                <w:sz w:val="20"/>
                <w:szCs w:val="20"/>
                <w:color w:val="auto"/>
              </w:rPr>
            </w:pPr>
            <w:r>
              <w:rPr>
                <w:rFonts w:ascii="Arial" w:cs="Arial" w:eastAsia="Arial" w:hAnsi="Arial"/>
                <w:sz w:val="18"/>
                <w:szCs w:val="18"/>
                <w:b w:val="1"/>
                <w:bCs w:val="1"/>
                <w:color w:val="auto"/>
              </w:rPr>
              <w:t>527</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30"/>
        </w:trPr>
        <w:tc>
          <w:tcPr>
            <w:tcW w:w="4960" w:type="dxa"/>
            <w:vAlign w:val="bottom"/>
            <w:tcBorders>
              <w:bottom w:val="single" w:sz="8" w:color="auto"/>
            </w:tcBorders>
            <w:gridSpan w:val="3"/>
            <w:shd w:val="clear" w:color="auto" w:fill="CFF0FC"/>
          </w:tcPr>
          <w:p>
            <w:pPr>
              <w:spacing w:after="0"/>
              <w:rPr>
                <w:sz w:val="20"/>
                <w:szCs w:val="20"/>
                <w:color w:val="auto"/>
              </w:rPr>
            </w:pPr>
            <w:r>
              <w:rPr>
                <w:rFonts w:ascii="Arial" w:cs="Arial" w:eastAsia="Arial" w:hAnsi="Arial"/>
                <w:sz w:val="18"/>
                <w:szCs w:val="18"/>
                <w:color w:val="auto"/>
              </w:rPr>
              <w:t>Other accrued liabilities</w:t>
            </w:r>
          </w:p>
        </w:tc>
        <w:tc>
          <w:tcPr>
            <w:tcW w:w="292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b w:val="1"/>
                <w:bCs w:val="1"/>
                <w:color w:val="auto"/>
              </w:rPr>
              <w:t>51,187</w:t>
            </w:r>
          </w:p>
        </w:tc>
        <w:tc>
          <w:tcPr>
            <w:tcW w:w="4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39,609</w:t>
            </w:r>
          </w:p>
        </w:tc>
        <w:tc>
          <w:tcPr>
            <w:tcW w:w="0" w:type="dxa"/>
            <w:vAlign w:val="bottom"/>
          </w:tcPr>
          <w:p>
            <w:pPr>
              <w:spacing w:after="0"/>
              <w:rPr>
                <w:sz w:val="1"/>
                <w:szCs w:val="1"/>
                <w:color w:val="auto"/>
              </w:rPr>
            </w:pPr>
          </w:p>
        </w:tc>
      </w:tr>
      <w:tr>
        <w:trPr>
          <w:trHeight w:val="236"/>
        </w:trPr>
        <w:tc>
          <w:tcPr>
            <w:tcW w:w="49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Total Other Current Accrued Liabilities</w:t>
            </w:r>
          </w:p>
        </w:tc>
        <w:tc>
          <w:tcPr>
            <w:tcW w:w="29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w:t>
            </w:r>
          </w:p>
        </w:tc>
        <w:tc>
          <w:tcPr>
            <w:tcW w:w="1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78,991</w:t>
            </w:r>
          </w:p>
        </w:tc>
        <w:tc>
          <w:tcPr>
            <w:tcW w:w="2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83,456</w:t>
            </w:r>
          </w:p>
        </w:tc>
        <w:tc>
          <w:tcPr>
            <w:tcW w:w="0" w:type="dxa"/>
            <w:vAlign w:val="bottom"/>
          </w:tcPr>
          <w:p>
            <w:pPr>
              <w:spacing w:after="0"/>
              <w:rPr>
                <w:sz w:val="1"/>
                <w:szCs w:val="1"/>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8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920" w:type="dxa"/>
            <w:vAlign w:val="bottom"/>
          </w:tcPr>
          <w:p>
            <w:pPr>
              <w:jc w:val="right"/>
              <w:ind w:right="2070"/>
              <w:spacing w:after="0"/>
              <w:rPr>
                <w:sz w:val="20"/>
                <w:szCs w:val="20"/>
                <w:color w:val="auto"/>
              </w:rPr>
            </w:pPr>
            <w:r>
              <w:rPr>
                <w:rFonts w:ascii="Arial" w:cs="Arial" w:eastAsia="Arial" w:hAnsi="Arial"/>
                <w:sz w:val="18"/>
                <w:szCs w:val="18"/>
                <w:color w:val="auto"/>
              </w:rPr>
              <w:t>62</w:t>
            </w: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08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amounts and fair values of our financial instruments at January 30, 2021 and February 1, 2020 are: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January 30, 2021</w:t>
            </w:r>
          </w:p>
        </w:tc>
        <w:tc>
          <w:tcPr>
            <w:tcW w:w="6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February 1, 2020</w:t>
            </w:r>
          </w:p>
        </w:tc>
        <w:tc>
          <w:tcPr>
            <w:tcW w:w="680" w:type="dxa"/>
            <w:vAlign w:val="bottom"/>
            <w:tcBorders>
              <w:bottom w:val="single" w:sz="8" w:color="auto"/>
            </w:tcBorders>
          </w:tcPr>
          <w:p>
            <w:pPr>
              <w:spacing w:after="0"/>
              <w:rPr>
                <w:sz w:val="20"/>
                <w:szCs w:val="20"/>
                <w:color w:val="auto"/>
              </w:rPr>
            </w:pPr>
          </w:p>
        </w:tc>
      </w:tr>
      <w:tr>
        <w:trPr>
          <w:trHeight w:val="205"/>
        </w:trPr>
        <w:tc>
          <w:tcPr>
            <w:tcW w:w="38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980" w:type="dxa"/>
            <w:vAlign w:val="bottom"/>
          </w:tcPr>
          <w:p>
            <w:pPr>
              <w:jc w:val="right"/>
              <w:ind w:right="30"/>
              <w:spacing w:after="0" w:line="205" w:lineRule="exact"/>
              <w:rPr>
                <w:sz w:val="20"/>
                <w:szCs w:val="20"/>
                <w:color w:val="auto"/>
              </w:rPr>
            </w:pPr>
            <w:r>
              <w:rPr>
                <w:rFonts w:ascii="Arial" w:cs="Arial" w:eastAsia="Arial" w:hAnsi="Arial"/>
                <w:sz w:val="18"/>
                <w:szCs w:val="18"/>
                <w:b w:val="1"/>
                <w:bCs w:val="1"/>
                <w:color w:val="auto"/>
              </w:rPr>
              <w:t>Carrying</w:t>
            </w:r>
          </w:p>
        </w:tc>
        <w:tc>
          <w:tcPr>
            <w:tcW w:w="720" w:type="dxa"/>
            <w:vAlign w:val="bottom"/>
          </w:tcPr>
          <w:p>
            <w:pPr>
              <w:spacing w:after="0"/>
              <w:rPr>
                <w:sz w:val="17"/>
                <w:szCs w:val="17"/>
                <w:color w:val="auto"/>
              </w:rPr>
            </w:pPr>
          </w:p>
        </w:tc>
        <w:tc>
          <w:tcPr>
            <w:tcW w:w="660" w:type="dxa"/>
            <w:vAlign w:val="bottom"/>
          </w:tcPr>
          <w:p>
            <w:pPr>
              <w:jc w:val="right"/>
              <w:ind w:right="30"/>
              <w:spacing w:after="0" w:line="205" w:lineRule="exact"/>
              <w:rPr>
                <w:sz w:val="20"/>
                <w:szCs w:val="20"/>
                <w:color w:val="auto"/>
              </w:rPr>
            </w:pPr>
            <w:r>
              <w:rPr>
                <w:rFonts w:ascii="Arial" w:cs="Arial" w:eastAsia="Arial" w:hAnsi="Arial"/>
                <w:sz w:val="18"/>
                <w:szCs w:val="18"/>
                <w:b w:val="1"/>
                <w:bCs w:val="1"/>
                <w:color w:val="auto"/>
              </w:rPr>
              <w:t>Fair</w:t>
            </w:r>
          </w:p>
        </w:tc>
        <w:tc>
          <w:tcPr>
            <w:tcW w:w="400" w:type="dxa"/>
            <w:vAlign w:val="bottom"/>
          </w:tcPr>
          <w:p>
            <w:pPr>
              <w:spacing w:after="0"/>
              <w:rPr>
                <w:sz w:val="17"/>
                <w:szCs w:val="17"/>
                <w:color w:val="auto"/>
              </w:rPr>
            </w:pPr>
          </w:p>
        </w:tc>
        <w:tc>
          <w:tcPr>
            <w:tcW w:w="1000" w:type="dxa"/>
            <w:vAlign w:val="bottom"/>
          </w:tcPr>
          <w:p>
            <w:pPr>
              <w:jc w:val="right"/>
              <w:ind w:right="50"/>
              <w:spacing w:after="0" w:line="205" w:lineRule="exact"/>
              <w:rPr>
                <w:sz w:val="20"/>
                <w:szCs w:val="20"/>
                <w:color w:val="auto"/>
              </w:rPr>
            </w:pPr>
            <w:r>
              <w:rPr>
                <w:rFonts w:ascii="Arial" w:cs="Arial" w:eastAsia="Arial" w:hAnsi="Arial"/>
                <w:sz w:val="18"/>
                <w:szCs w:val="18"/>
                <w:b w:val="1"/>
                <w:bCs w:val="1"/>
                <w:color w:val="auto"/>
              </w:rPr>
              <w:t>Carrying</w:t>
            </w:r>
          </w:p>
        </w:tc>
        <w:tc>
          <w:tcPr>
            <w:tcW w:w="700" w:type="dxa"/>
            <w:vAlign w:val="bottom"/>
          </w:tcPr>
          <w:p>
            <w:pPr>
              <w:spacing w:after="0"/>
              <w:rPr>
                <w:sz w:val="17"/>
                <w:szCs w:val="17"/>
                <w:color w:val="auto"/>
              </w:rPr>
            </w:pPr>
          </w:p>
        </w:tc>
        <w:tc>
          <w:tcPr>
            <w:tcW w:w="680" w:type="dxa"/>
            <w:vAlign w:val="bottom"/>
          </w:tcPr>
          <w:p>
            <w:pPr>
              <w:jc w:val="right"/>
              <w:ind w:right="30"/>
              <w:spacing w:after="0" w:line="205" w:lineRule="exact"/>
              <w:rPr>
                <w:sz w:val="20"/>
                <w:szCs w:val="20"/>
                <w:color w:val="auto"/>
              </w:rPr>
            </w:pPr>
            <w:r>
              <w:rPr>
                <w:rFonts w:ascii="Arial" w:cs="Arial" w:eastAsia="Arial" w:hAnsi="Arial"/>
                <w:sz w:val="18"/>
                <w:szCs w:val="18"/>
                <w:b w:val="1"/>
                <w:bCs w:val="1"/>
                <w:color w:val="auto"/>
              </w:rPr>
              <w:t>Fair</w:t>
            </w:r>
          </w:p>
        </w:tc>
      </w:tr>
      <w:tr>
        <w:trPr>
          <w:trHeight w:val="234"/>
        </w:trPr>
        <w:tc>
          <w:tcPr>
            <w:tcW w:w="38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Amount</w:t>
            </w:r>
          </w:p>
        </w:tc>
        <w:tc>
          <w:tcPr>
            <w:tcW w:w="7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Value</w:t>
            </w: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Amount</w:t>
            </w:r>
          </w:p>
        </w:tc>
        <w:tc>
          <w:tcPr>
            <w:tcW w:w="7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Value</w:t>
            </w:r>
          </w:p>
        </w:tc>
      </w:tr>
      <w:tr>
        <w:trPr>
          <w:trHeight w:val="223"/>
        </w:trPr>
        <w:tc>
          <w:tcPr>
            <w:tcW w:w="38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U.S. Revolver Borrowings</w:t>
            </w:r>
          </w:p>
        </w:tc>
        <w:tc>
          <w:tcPr>
            <w:tcW w:w="222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32,986</w:t>
            </w:r>
          </w:p>
        </w:tc>
        <w:tc>
          <w:tcPr>
            <w:tcW w:w="720" w:type="dxa"/>
            <w:vAlign w:val="bottom"/>
            <w:tcBorders>
              <w:bottom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94"/>
              </w:rPr>
              <w:t>33,612</w:t>
            </w:r>
          </w:p>
        </w:tc>
        <w:tc>
          <w:tcPr>
            <w:tcW w:w="4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14,393</w:t>
            </w:r>
          </w:p>
        </w:tc>
        <w:tc>
          <w:tcPr>
            <w:tcW w:w="70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8"/>
              </w:rPr>
              <w:t>14,056</w:t>
            </w:r>
          </w:p>
        </w:tc>
      </w:tr>
      <w:tr>
        <w:trPr>
          <w:trHeight w:val="20"/>
        </w:trPr>
        <w:tc>
          <w:tcPr>
            <w:tcW w:w="38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Debt fair values were determined using a discounted cash flow analysis based on current market interest rates for similar types of financial instruments and would be classified in Level 2 as defined in Note 1.</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Carrying amounts reported on our Consolidated Balance Sheets for cash, cash equivalents, receivables and accounts payable approximate fair value due to the short-term maturity of these instruments.</w:t>
      </w:r>
    </w:p>
    <w:p>
      <w:pPr>
        <w:spacing w:after="0" w:line="35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of January 30, 2021, we have $13.2 million of long-lived assets held and used which were measured using Level 3 inputs within the fair value hierarchy. We used a discounted cash flow model to estimate the fair value of these long-lived assets. Discount rate and growth rate assumptions are derived from current economic conditions, expectations of management and projected trends of current operating results. As a result, we have determined that the majority of the inputs used to value our long-lived assets held and used are unobservable inputs that fall within Level 3 of the fair value hierarchy.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Long-Term Debt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On June 5, 2020, we entered into a Second Amendment (the “Second Amendment”) to our </w:t>
      </w:r>
      <w:r>
        <w:rPr>
          <w:rFonts w:ascii="Arial" w:cs="Arial" w:eastAsia="Arial" w:hAnsi="Arial"/>
          <w:sz w:val="17"/>
          <w:szCs w:val="17"/>
          <w:color w:val="222222"/>
        </w:rPr>
        <w:t>Fourth Amended and Restated Credit Agreement dated as of</w:t>
      </w:r>
      <w:r>
        <w:rPr>
          <w:rFonts w:ascii="Arial" w:cs="Arial" w:eastAsia="Arial" w:hAnsi="Arial"/>
          <w:sz w:val="17"/>
          <w:szCs w:val="17"/>
          <w:color w:val="auto"/>
        </w:rPr>
        <w:t xml:space="preserve"> </w:t>
      </w:r>
      <w:r>
        <w:rPr>
          <w:rFonts w:ascii="Arial" w:cs="Arial" w:eastAsia="Arial" w:hAnsi="Arial"/>
          <w:sz w:val="17"/>
          <w:szCs w:val="17"/>
          <w:color w:val="222222"/>
        </w:rPr>
        <w:t xml:space="preserve">January 31, 2018 between us and the lenders party thereto and Bank of America, N.A. as agent (as amended, the “Credit Facility” or the “Credit Agreement”), to, </w:t>
      </w:r>
      <w:r>
        <w:rPr>
          <w:rFonts w:ascii="Arial" w:cs="Arial" w:eastAsia="Arial" w:hAnsi="Arial"/>
          <w:sz w:val="17"/>
          <w:szCs w:val="17"/>
          <w:color w:val="000000"/>
        </w:rPr>
        <w:t>among other things, increase the Total Commitments (as defined in the Credit Facility) for the revolving loans from $275.0 million to</w:t>
      </w:r>
      <w:r>
        <w:rPr>
          <w:rFonts w:ascii="Arial" w:cs="Arial" w:eastAsia="Arial" w:hAnsi="Arial"/>
          <w:sz w:val="17"/>
          <w:szCs w:val="17"/>
          <w:color w:val="222222"/>
        </w:rPr>
        <w:t xml:space="preserve"> </w:t>
      </w:r>
      <w:r>
        <w:rPr>
          <w:rFonts w:ascii="Arial" w:cs="Arial" w:eastAsia="Arial" w:hAnsi="Arial"/>
          <w:sz w:val="17"/>
          <w:szCs w:val="17"/>
          <w:color w:val="000000"/>
        </w:rPr>
        <w:t>$332.5 million, establish a first-in, last-out (“FILO”) tranche of indebtedness of $17.5 million, for $350.0 million of total capacity, increase pricing on the revolving loans and modify certain covenant and reporting terms. The Credit Facility continues to be secured by certain assets of the Company and certain subsidiaries of the Company, including accounts receivable, inventory, payment intangibles, and deposit accounts and specifically excludes equity interests, equipment, and most leasehold interests. The Second Amendment to our Credit Facility added a security interest in certain intellectual property. The Second Amendment also provides for the borrowing base expansion to include real estate as those assets are added as collateral. In addition, the Second Amendment adds customary real estate covenants to the Credit Facility. The current outstanding long-term debt balance of $33.0 million bears interest at an average rate of 4.05% and matures January 31, 2023.</w:t>
      </w:r>
    </w:p>
    <w:p>
      <w:pPr>
        <w:spacing w:after="0" w:line="1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Deferred financing costs incurred of $1.1 million related to the amended Credit Facility were capitalized and are being amortized over the remaining term of the agreement. The remaining balance of deferred financing costs incurred related to the Credit Facility are being amortized over the remaining term of the agreement. These costs are included in other non-current assets on the Consolidated Balance Sheets. In connection with an amendment to the Credit Facility in Fiscal 2019, deferred financing costs of $0.6 million were written off. Those costs are included in loss on early retirement of debt on the Consolidated Statements of Operations in Fiscal 2019.</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Long-Term Debt, Continued</w:t>
      </w:r>
    </w:p>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Credit Facility is a revolving credit facility in the aggregate principal amount of $332.5 million, including (i) for the Company and other borrowers formed in the U.S., a $70.0 million sublimit for the issuance of letters of credit and a domestic swingline subfacility of up to $45.0 million, (ii) for GCO Canada ULC, a revolving credit subfacility in an amount not to exceed $70.0 million, which includes a $5.0 million sublimit for the issuance of letters of credit and a swingline subfacility of up to $5.0 million, and (iii) for Genesco (UK) Limited, a revolving credit subfacility in an aggregate amount not to exceed $100.0 million, which includes a $10.0 million sublimit for the issuance of letters of credit and a swingline subfacility of up to $10.0 million. Any swingline loans and any letters of credit and borrowings under the Canadian and U.K. subfacilities will reduce the availability under the Credit Facility on a dollar for dollar basis. We have the option, from time to time, to increase the availability under the Credit Facility by an aggregate amount of up to $200.0 million subject to, among other things, the receipt of commitments for the increased amount. In connection with this increased facility, the Canadian revolving credit subfacility may be increased by no more than $15.0 million and the UK revolving credit subfacility may be increased by no more than $100.0 million. The aggregate amount of the loans made and letters of credit issued under the Credit Facility are limited to the lesser of the facility amount ($332.5 million or, if increased as described above, up to $532.5 million) or the "Borrowing Base", as defined in the Credit Agreement.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We are required to pay a commitment fee on the actual daily unused portions of the Credit Facility at a rate of 0.25% per annum.</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Credit Facility also permits us to incur senior debt in an amount up to the greater of $500.0 million or an amount that would not cause our ratio of consolidated total indebtedness to consolidated EBITDA to exceed 5.0:1.0 provided that certain terms and conditions are met.</w:t>
      </w:r>
    </w:p>
    <w:p>
      <w:pPr>
        <w:spacing w:after="0" w:line="14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the Credit Facility contains certain covenants that, among other things, restrict additional indebtedness, liens and encumbrances, loans and investments, acquisitions, dividends and other restricted payments, transactions with affiliates, asset dispositions, mergers and consolidations, prepayments or material amendments to certain material documents and other matters customarily restricted in such agreements.</w:t>
      </w:r>
    </w:p>
    <w:p>
      <w:pPr>
        <w:spacing w:after="0" w:line="1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Credit Facility does not require us to comply with any financial covenants unless Excess Availability, as defined in the Credit Agreement, is less than the greater of $22.5 million or 10% of the Loan Cap. If and during such time as Excess Availability is less than the greater of $22.5 million or 10% of the Loan Cap, the Credit Facility requires us to meet a minimum fixed charge coverage ratio. Excess Availability was $147.1 million at January 30, 2021.</w:t>
      </w:r>
    </w:p>
    <w:p>
      <w:pPr>
        <w:spacing w:after="0" w:line="1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Credit Facility contains customary events of default, which if any of them occurs, would permit or require the principal of and interest on the Credit Facility to be declared due and payable as applicable.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We were in compliance with all the relevant terms and conditions of the Credit Facility as of January 30,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Long-Term Debt, Continued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U.K. Credit Agreement</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October 9, 2020, Schuh entered into a facility letter (the "Facility Letter") with Lloyds Bank (“Lloyds”) under the U.K.'s Coronavirus Large Business Interruption Loan Scheme pursuant to which Lloyds made available a revolving capital facility (the "RCF") of £19.0 million for the purpose of refinancing Schuh's existing indebtedness with Lloyds. The RCF expires in October 2023 and bears interest at 2.5% over the Bank of England Base Rate. The Facility Letter includes certain financial covenants tested against Schuh, which take effect in the second quarter of Fiscal 2022. Following certain customary events of default outlined in the Facility Letter, payment of outstanding amounts due under the RCF may be accelerated or the commitments may be terminated. The RCF is secured by charges over all of the assets of Schuh, and Schuh's subsidiary, Schuh (ROI) Limited. Pursuant to a Guarantee in favor of Lloyds in its capacity as security trustee, Genesco Inc. has guaranteed the obligations of Schuh under the Facility Letter and certain existing ancillary facilities on an unsecured basis.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We were in compliance with all the relevant terms and conditions of the Facility Letter as of January 30, 2021.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2260" w:type="dxa"/>
            <w:vAlign w:val="bottom"/>
          </w:tcPr>
          <w:p>
            <w:pPr>
              <w:spacing w:after="0"/>
              <w:rPr>
                <w:sz w:val="18"/>
                <w:szCs w:val="18"/>
                <w:color w:val="auto"/>
              </w:rPr>
            </w:pPr>
          </w:p>
        </w:tc>
        <w:tc>
          <w:tcPr>
            <w:tcW w:w="154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4"/>
              </w:rPr>
              <w:t>January 30, 2021</w:t>
            </w:r>
          </w:p>
        </w:tc>
        <w:tc>
          <w:tcPr>
            <w:tcW w:w="54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February 1,</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auto"/>
            </w:tcBorders>
            <w:vMerge w:val="continue"/>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vMerge w:val="continue"/>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U.S. Revolver borrowings</w:t>
            </w:r>
          </w:p>
        </w:tc>
        <w:tc>
          <w:tcPr>
            <w:tcW w:w="2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32,986</w:t>
            </w:r>
          </w:p>
        </w:tc>
        <w:tc>
          <w:tcPr>
            <w:tcW w:w="54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14,393</w:t>
            </w:r>
          </w:p>
        </w:tc>
        <w:tc>
          <w:tcPr>
            <w:tcW w:w="0" w:type="dxa"/>
            <w:vAlign w:val="bottom"/>
          </w:tcPr>
          <w:p>
            <w:pPr>
              <w:spacing w:after="0"/>
              <w:rPr>
                <w:sz w:val="1"/>
                <w:szCs w:val="1"/>
                <w:color w:val="auto"/>
              </w:rPr>
            </w:pPr>
          </w:p>
        </w:tc>
      </w:tr>
      <w:tr>
        <w:trPr>
          <w:trHeight w:val="243"/>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U.K. revolver borrowings</w:t>
            </w:r>
          </w:p>
        </w:tc>
        <w:tc>
          <w:tcPr>
            <w:tcW w:w="22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Total long-term debt</w:t>
            </w:r>
          </w:p>
        </w:tc>
        <w:tc>
          <w:tcPr>
            <w:tcW w:w="226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32,986</w:t>
            </w:r>
          </w:p>
        </w:tc>
        <w:tc>
          <w:tcPr>
            <w:tcW w:w="54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14,393</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Current portion</w:t>
            </w:r>
          </w:p>
        </w:tc>
        <w:tc>
          <w:tcPr>
            <w:tcW w:w="2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Total Noncurrent Portion of Long-Term Debt</w:t>
            </w:r>
          </w:p>
        </w:tc>
        <w:tc>
          <w:tcPr>
            <w:tcW w:w="2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32,986</w:t>
            </w:r>
          </w:p>
        </w:tc>
        <w:tc>
          <w:tcPr>
            <w:tcW w:w="54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14,393</w:t>
            </w:r>
          </w:p>
        </w:tc>
        <w:tc>
          <w:tcPr>
            <w:tcW w:w="0" w:type="dxa"/>
            <w:vAlign w:val="bottom"/>
          </w:tcPr>
          <w:p>
            <w:pPr>
              <w:spacing w:after="0"/>
              <w:rPr>
                <w:sz w:val="1"/>
                <w:szCs w:val="1"/>
                <w:color w:val="auto"/>
              </w:rPr>
            </w:pPr>
          </w:p>
        </w:tc>
      </w:tr>
      <w:tr>
        <w:trPr>
          <w:trHeight w:val="20"/>
        </w:trPr>
        <w:tc>
          <w:tcPr>
            <w:tcW w:w="562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revolver borrowings outstanding under the Credit Facility at January 30, 2021 included $17.5 million U.S. revolver borrowings and $15.5 million (£11.3 million) related to Genesco (UK) Limited. We had outstanding letters of credit of $9.8 million under the Credit Facility at January 30, 2021. These letters of credit support lease and insurance indemnifications.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Leases</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lease our office space and all of our retail store locations, transportation equipment and other equipment under various noncancelable operating leases. The leases have varying terms and expire at various dates through 2034. The store leases in the United States, Puerto Rico and Canada typically have initial terms of approximately 10 years. The store leases in the United Kingdom and the ROI typically have initial terms of between 10 and 15 years. Our lease portfolio includes leases with fixed base rental payments, rental payments based on a percentage of retail sales over contractual amounts and others with predetermined fixed escalations of the minimum rentals based on a defined consumer price index or percentage. Generally, most of the leases require us to pay taxes, insurance, maintenance costs and contingent rentals based on sales. We evaluate renewal options and break options at lease inception and on an ongoing basis, and include renewal options and break options that we are reasonably certain to exercise in our expected lease terms for calculations of our right-of-use assets and liabilities. Approximately 2% of our leases contain renewal options. Our lease agreements do not contain any material residual value guarantees or material restrictive covenants.</w:t>
      </w:r>
    </w:p>
    <w:p>
      <w:pPr>
        <w:spacing w:after="0" w:line="15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lease on our Nashville office expires in April 2022. On February 10, 2020, we announced plans for our new corporate headquarters in Nashville, Tennessee. We entered into a lease agreement, which was subsequently amended, for approximately 182,000 square feet of office space which will replace our current corporate headquarters office lease. The term of the lease is 15 years, with two options to extend for an additional period of five years each.</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Leases, Continued</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ASC 842, for store, office and equipment leases beginning in Fiscal 2020 and later, we have elected to not separate fixed lease components and non-lease components. Accordingly, we include fixed rental payments, common area maintenance costs, promotional advertising costs and other fixed costs in our measurement of lease liabilities.</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leases do not provide an implicit rate, so the incremental borrowing rate, based on the information available at commencement or modification date, is used in determining the present value of lease payments. The incremental borrowing rate represents an estimate of the interest rate we would incur at lease commencement to borrow an amount equal to the lease payments on a collateralized basis over the term of a lease within a particular currency environment. For operating leases that commenced prior to the date of adoption of the new lease accounting guidance, we used the incremental borrowing rate that corresponded to the initial lease term as of the date of adoption.</w:t>
      </w:r>
    </w:p>
    <w:p>
      <w:pPr>
        <w:spacing w:after="0" w:line="1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lease costs are included within selling and administrative expenses on the Consolidated Statements of Operations. The table below presents the components of lease cost for operating leases for the years ended January 30, 2021 and February 1,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4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Fiscal 2021</w:t>
            </w:r>
          </w:p>
        </w:tc>
        <w:tc>
          <w:tcPr>
            <w:tcW w:w="4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Fiscal 2020</w:t>
            </w: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Operating lease cost</w:t>
            </w:r>
          </w:p>
        </w:tc>
        <w:tc>
          <w:tcPr>
            <w:tcW w:w="348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160,973</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184,428</w:t>
            </w:r>
          </w:p>
        </w:tc>
      </w:tr>
      <w:tr>
        <w:trPr>
          <w:trHeight w:val="229"/>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Variable lease cost</w:t>
            </w:r>
          </w:p>
        </w:tc>
        <w:tc>
          <w:tcPr>
            <w:tcW w:w="34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9,562</w:t>
            </w:r>
          </w:p>
        </w:tc>
        <w:tc>
          <w:tcPr>
            <w:tcW w:w="42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12,176</w:t>
            </w:r>
          </w:p>
        </w:tc>
      </w:tr>
      <w:tr>
        <w:trPr>
          <w:trHeight w:val="230"/>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Sublease income</w:t>
            </w:r>
          </w:p>
        </w:tc>
        <w:tc>
          <w:tcPr>
            <w:tcW w:w="34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w:t>
            </w: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r>
      <w:tr>
        <w:trPr>
          <w:trHeight w:val="223"/>
        </w:trPr>
        <w:tc>
          <w:tcPr>
            <w:tcW w:w="47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Net Lease Cost</w:t>
            </w:r>
          </w:p>
        </w:tc>
        <w:tc>
          <w:tcPr>
            <w:tcW w:w="348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170,370</w:t>
            </w: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196,297</w:t>
            </w:r>
          </w:p>
        </w:tc>
      </w:tr>
    </w:tbl>
    <w:p>
      <w:pPr>
        <w:spacing w:after="0" w:line="1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Prior to the adoption of ASC 842 as of February 3, 2019 (our Fiscal 2020), rent expense was calculated in accordance with ASC 840, “Leases”. Total rent expense was $202.6 million for Fiscal 2019. Total contingent rent was not material for Fiscal 2019.</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the maturities of undiscounted cash flows to our operating lease liabilities recorded on the Consolidated Balance Sheets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January 30, 2021: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Fiscal Years</w:t>
            </w:r>
          </w:p>
        </w:tc>
        <w:tc>
          <w:tcPr>
            <w:tcW w:w="3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(In thousands)</w:t>
            </w:r>
          </w:p>
        </w:tc>
      </w:tr>
      <w:tr>
        <w:trPr>
          <w:trHeight w:val="223"/>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31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204,457</w:t>
            </w: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2023</w:t>
            </w:r>
          </w:p>
        </w:tc>
        <w:tc>
          <w:tcPr>
            <w:tcW w:w="3140" w:type="dxa"/>
            <w:vAlign w:val="bottom"/>
          </w:tcPr>
          <w:p>
            <w:pPr>
              <w:spacing w:after="0"/>
              <w:rPr>
                <w:sz w:val="19"/>
                <w:szCs w:val="19"/>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159,030</w:t>
            </w:r>
          </w:p>
        </w:tc>
      </w:tr>
      <w:tr>
        <w:trPr>
          <w:trHeight w:val="229"/>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314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132,869</w:t>
            </w: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2025</w:t>
            </w:r>
          </w:p>
        </w:tc>
        <w:tc>
          <w:tcPr>
            <w:tcW w:w="3140" w:type="dxa"/>
            <w:vAlign w:val="bottom"/>
          </w:tcPr>
          <w:p>
            <w:pPr>
              <w:spacing w:after="0"/>
              <w:rPr>
                <w:sz w:val="19"/>
                <w:szCs w:val="19"/>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105,026</w:t>
            </w: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314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85,379</w:t>
            </w:r>
          </w:p>
        </w:tc>
      </w:tr>
      <w:tr>
        <w:trPr>
          <w:trHeight w:val="230"/>
        </w:trPr>
        <w:tc>
          <w:tcPr>
            <w:tcW w:w="6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Thereafter</w:t>
            </w:r>
          </w:p>
        </w:tc>
        <w:tc>
          <w:tcPr>
            <w:tcW w:w="3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114,201</w:t>
            </w:r>
          </w:p>
        </w:tc>
      </w:tr>
      <w:tr>
        <w:trPr>
          <w:trHeight w:val="223"/>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Total undiscounted future minimum lease payments</w:t>
            </w:r>
          </w:p>
        </w:tc>
        <w:tc>
          <w:tcPr>
            <w:tcW w:w="314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800,962</w:t>
            </w:r>
          </w:p>
        </w:tc>
      </w:tr>
      <w:tr>
        <w:trPr>
          <w:trHeight w:val="230"/>
        </w:trPr>
        <w:tc>
          <w:tcPr>
            <w:tcW w:w="6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Amounts representing interest</w:t>
            </w:r>
          </w:p>
        </w:tc>
        <w:tc>
          <w:tcPr>
            <w:tcW w:w="3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(99,908)</w:t>
            </w:r>
          </w:p>
        </w:tc>
      </w:tr>
      <w:tr>
        <w:trPr>
          <w:trHeight w:val="223"/>
        </w:trPr>
        <w:tc>
          <w:tcPr>
            <w:tcW w:w="65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Total Present Value of Operating Lease Liabilities</w:t>
            </w:r>
          </w:p>
        </w:tc>
        <w:tc>
          <w:tcPr>
            <w:tcW w:w="31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701,054</w:t>
            </w:r>
          </w:p>
        </w:tc>
      </w:tr>
      <w:tr>
        <w:trPr>
          <w:trHeight w:val="20"/>
        </w:trPr>
        <w:tc>
          <w:tcPr>
            <w:tcW w:w="654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Our weighted-average remaining lease term and weighted-average discount rate for operating leases as of January 30, 2021 and February 1, 2020 are: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780" w:type="dxa"/>
            <w:vAlign w:val="bottom"/>
          </w:tcPr>
          <w:p>
            <w:pPr>
              <w:spacing w:after="0"/>
              <w:rPr>
                <w:sz w:val="18"/>
                <w:szCs w:val="18"/>
                <w:color w:val="auto"/>
              </w:rPr>
            </w:pPr>
          </w:p>
        </w:tc>
        <w:tc>
          <w:tcPr>
            <w:tcW w:w="1840" w:type="dxa"/>
            <w:vAlign w:val="bottom"/>
          </w:tcPr>
          <w:p>
            <w:pPr>
              <w:jc w:val="right"/>
              <w:ind w:right="90"/>
              <w:spacing w:after="0"/>
              <w:rPr>
                <w:sz w:val="20"/>
                <w:szCs w:val="20"/>
                <w:color w:val="auto"/>
              </w:rPr>
            </w:pPr>
            <w:r>
              <w:rPr>
                <w:rFonts w:ascii="Arial" w:cs="Arial" w:eastAsia="Arial" w:hAnsi="Arial"/>
                <w:sz w:val="18"/>
                <w:szCs w:val="18"/>
                <w:b w:val="1"/>
                <w:bCs w:val="1"/>
                <w:color w:val="auto"/>
              </w:rPr>
              <w:t>January 30,</w:t>
            </w:r>
          </w:p>
        </w:tc>
        <w:tc>
          <w:tcPr>
            <w:tcW w:w="1620" w:type="dxa"/>
            <w:vAlign w:val="bottom"/>
          </w:tcPr>
          <w:p>
            <w:pPr>
              <w:spacing w:after="0"/>
              <w:rPr>
                <w:sz w:val="18"/>
                <w:szCs w:val="18"/>
                <w:color w:val="auto"/>
              </w:rPr>
            </w:pPr>
          </w:p>
        </w:tc>
      </w:tr>
      <w:tr>
        <w:trPr>
          <w:trHeight w:val="234"/>
        </w:trPr>
        <w:tc>
          <w:tcPr>
            <w:tcW w:w="7780" w:type="dxa"/>
            <w:vAlign w:val="bottom"/>
            <w:tcBorders>
              <w:bottom w:val="single" w:sz="8" w:color="CFF0FC"/>
            </w:tcBorders>
          </w:tcPr>
          <w:p>
            <w:pPr>
              <w:spacing w:after="0"/>
              <w:rPr>
                <w:sz w:val="20"/>
                <w:szCs w:val="20"/>
                <w:color w:val="auto"/>
              </w:rPr>
            </w:pPr>
          </w:p>
        </w:tc>
        <w:tc>
          <w:tcPr>
            <w:tcW w:w="1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16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w w:val="99"/>
              </w:rPr>
              <w:t>February 1, 2020</w:t>
            </w:r>
          </w:p>
        </w:tc>
      </w:tr>
      <w:tr>
        <w:trPr>
          <w:trHeight w:val="223"/>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remaining lease term (years)</w:t>
            </w:r>
          </w:p>
        </w:tc>
        <w:tc>
          <w:tcPr>
            <w:tcW w:w="1840" w:type="dxa"/>
            <w:vAlign w:val="bottom"/>
            <w:shd w:val="clear" w:color="auto" w:fill="CFF0FC"/>
          </w:tcPr>
          <w:p>
            <w:pPr>
              <w:jc w:val="right"/>
              <w:ind w:right="570"/>
              <w:spacing w:after="0"/>
              <w:rPr>
                <w:sz w:val="20"/>
                <w:szCs w:val="20"/>
                <w:color w:val="auto"/>
              </w:rPr>
            </w:pPr>
            <w:r>
              <w:rPr>
                <w:rFonts w:ascii="Arial" w:cs="Arial" w:eastAsia="Arial" w:hAnsi="Arial"/>
                <w:sz w:val="18"/>
                <w:szCs w:val="18"/>
                <w:b w:val="1"/>
                <w:bCs w:val="1"/>
                <w:color w:val="auto"/>
              </w:rPr>
              <w:t>5.5 years</w:t>
            </w:r>
          </w:p>
        </w:tc>
        <w:tc>
          <w:tcPr>
            <w:tcW w:w="1620" w:type="dxa"/>
            <w:vAlign w:val="bottom"/>
            <w:shd w:val="clear" w:color="auto" w:fill="CFF0FC"/>
          </w:tcPr>
          <w:p>
            <w:pPr>
              <w:jc w:val="center"/>
              <w:ind w:right="90"/>
              <w:spacing w:after="0"/>
              <w:rPr>
                <w:sz w:val="20"/>
                <w:szCs w:val="20"/>
                <w:color w:val="auto"/>
              </w:rPr>
            </w:pPr>
            <w:r>
              <w:rPr>
                <w:rFonts w:ascii="Arial" w:cs="Arial" w:eastAsia="Arial" w:hAnsi="Arial"/>
                <w:sz w:val="18"/>
                <w:szCs w:val="18"/>
                <w:b w:val="1"/>
                <w:bCs w:val="1"/>
                <w:color w:val="auto"/>
                <w:w w:val="88"/>
              </w:rPr>
              <w:t>6.2 years</w:t>
            </w:r>
          </w:p>
        </w:tc>
      </w:tr>
      <w:tr>
        <w:trPr>
          <w:trHeight w:val="234"/>
        </w:trPr>
        <w:tc>
          <w:tcPr>
            <w:tcW w:w="778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1840" w:type="dxa"/>
            <w:vAlign w:val="bottom"/>
          </w:tcPr>
          <w:p>
            <w:pPr>
              <w:jc w:val="right"/>
              <w:ind w:right="710"/>
              <w:spacing w:after="0"/>
              <w:rPr>
                <w:sz w:val="20"/>
                <w:szCs w:val="20"/>
                <w:color w:val="auto"/>
              </w:rPr>
            </w:pPr>
            <w:r>
              <w:rPr>
                <w:rFonts w:ascii="Arial" w:cs="Arial" w:eastAsia="Arial" w:hAnsi="Arial"/>
                <w:sz w:val="18"/>
                <w:szCs w:val="18"/>
                <w:b w:val="1"/>
                <w:bCs w:val="1"/>
                <w:color w:val="auto"/>
              </w:rPr>
              <w:t>5.1%</w:t>
            </w:r>
          </w:p>
        </w:tc>
        <w:tc>
          <w:tcPr>
            <w:tcW w:w="1620" w:type="dxa"/>
            <w:vAlign w:val="bottom"/>
          </w:tcPr>
          <w:p>
            <w:pPr>
              <w:jc w:val="right"/>
              <w:ind w:right="610"/>
              <w:spacing w:after="0"/>
              <w:rPr>
                <w:sz w:val="20"/>
                <w:szCs w:val="20"/>
                <w:color w:val="auto"/>
              </w:rPr>
            </w:pPr>
            <w:r>
              <w:rPr>
                <w:rFonts w:ascii="Arial" w:cs="Arial" w:eastAsia="Arial" w:hAnsi="Arial"/>
                <w:sz w:val="18"/>
                <w:szCs w:val="18"/>
                <w:b w:val="1"/>
                <w:bCs w:val="1"/>
                <w:color w:val="auto"/>
              </w:rPr>
              <w:t>5.2%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Leases, Continued</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January 30, 2021, we have additional operating leases that have not yet commenced with estimated right of use liabilities of $68.8 million, primarily related to the new headquarters building lease. These leases will commence between 2021 and 2022 with lease terms of 8 to 15 years, with the 15 year lease being for the new headquarters building.</w:t>
      </w:r>
    </w:p>
    <w:p>
      <w:pPr>
        <w:spacing w:after="0" w:line="14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Beginning in March 2020, we suspended rent payments under the leases for our temporarily closed stores and initiated discussions with landlords to obtain lease concessions. We have considered the FASB’s recent guidance regarding lease concessions as a result of the effects of the COVID-19 pandemic and have elected to account for lease concessions related to the effects of the COVID-19 pandemic consistent with how those concessions would be accounted for under Topic 842 and Topic 840 as though enforceable rights and obligations for those concessions existed (regardless of whether those enforceable rights and obligations for the concessions explicitly exist in the contract). Also, in accordance with the FASB’s guidance, we apply this election for concessions related to the effects of the COVID-19 pandemic that do not result in a substantial increase in our obligations or in the rights of the landlord. We continued to recognize contractual rent expense while lease concessions are under negotiation with the respective landlord. The rent concessions are recognized in the period when the amendment is executed. COVID-19 related lease concessions decreased our contractual rent expense by approximately $34 million during Fiscal 2021. As of January 30, 2021, we had an accrued liability for unpaid rent related to the closed stores of $26.9 million. We continue to negotiate lease concessions with our landlords.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gridSpan w:val="2"/>
          </w:tcPr>
          <w:p>
            <w:pPr>
              <w:spacing w:after="0"/>
              <w:rPr>
                <w:sz w:val="20"/>
                <w:szCs w:val="20"/>
                <w:color w:val="auto"/>
              </w:rPr>
            </w:pPr>
            <w:r>
              <w:rPr>
                <w:rFonts w:ascii="Arial" w:cs="Arial" w:eastAsia="Arial" w:hAnsi="Arial"/>
                <w:sz w:val="18"/>
                <w:szCs w:val="18"/>
                <w:b w:val="1"/>
                <w:bCs w:val="1"/>
                <w:color w:val="auto"/>
              </w:rPr>
              <w:t>Note 11</w:t>
            </w:r>
          </w:p>
        </w:tc>
        <w:tc>
          <w:tcPr>
            <w:tcW w:w="7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3480" w:type="dxa"/>
            <w:vAlign w:val="bottom"/>
            <w:gridSpan w:val="2"/>
          </w:tcPr>
          <w:p>
            <w:pPr>
              <w:spacing w:after="0"/>
              <w:rPr>
                <w:sz w:val="20"/>
                <w:szCs w:val="20"/>
                <w:color w:val="auto"/>
              </w:rPr>
            </w:pPr>
            <w:r>
              <w:rPr>
                <w:rFonts w:ascii="Arial" w:cs="Arial" w:eastAsia="Arial" w:hAnsi="Arial"/>
                <w:sz w:val="18"/>
                <w:szCs w:val="18"/>
                <w:b w:val="1"/>
                <w:bCs w:val="1"/>
                <w:color w:val="auto"/>
              </w:rPr>
              <w:t>Equity</w:t>
            </w: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Non-Redeemable Preferred Stock</w:t>
            </w: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Number of Shares</w:t>
            </w:r>
          </w:p>
        </w:tc>
        <w:tc>
          <w:tcPr>
            <w:tcW w:w="7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Amounts in Thousands</w:t>
            </w: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00" w:type="dxa"/>
            <w:vAlign w:val="bottom"/>
          </w:tcPr>
          <w:p>
            <w:pPr>
              <w:jc w:val="right"/>
              <w:ind w:right="130"/>
              <w:spacing w:after="0" w:line="205" w:lineRule="exact"/>
              <w:rPr>
                <w:sz w:val="20"/>
                <w:szCs w:val="20"/>
                <w:color w:val="auto"/>
              </w:rPr>
            </w:pPr>
            <w:r>
              <w:rPr>
                <w:rFonts w:ascii="Arial" w:cs="Arial" w:eastAsia="Arial" w:hAnsi="Arial"/>
                <w:sz w:val="18"/>
                <w:szCs w:val="18"/>
                <w:b w:val="1"/>
                <w:bCs w:val="1"/>
                <w:color w:val="auto"/>
              </w:rPr>
              <w:t>Shares</w:t>
            </w:r>
          </w:p>
        </w:tc>
        <w:tc>
          <w:tcPr>
            <w:tcW w:w="1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Class</w:t>
            </w:r>
          </w:p>
        </w:tc>
        <w:tc>
          <w:tcPr>
            <w:tcW w:w="18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rPr>
              <w:t>Authorized</w:t>
            </w: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2020</w:t>
            </w:r>
          </w:p>
        </w:tc>
        <w:tc>
          <w:tcPr>
            <w:tcW w:w="4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09"/>
        </w:trPr>
        <w:tc>
          <w:tcPr>
            <w:tcW w:w="3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Employees’ Subordinated Convertible</w:t>
            </w:r>
          </w:p>
        </w:tc>
        <w:tc>
          <w:tcPr>
            <w:tcW w:w="7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40" w:type="dxa"/>
            <w:vAlign w:val="bottom"/>
            <w:vMerge w:val="restart"/>
            <w:shd w:val="clear" w:color="auto" w:fill="CFF0FC"/>
          </w:tcPr>
          <w:p>
            <w:pPr>
              <w:jc w:val="right"/>
              <w:ind w:right="170"/>
              <w:spacing w:after="0"/>
              <w:rPr>
                <w:sz w:val="20"/>
                <w:szCs w:val="20"/>
                <w:color w:val="auto"/>
              </w:rPr>
            </w:pPr>
            <w:r>
              <w:rPr>
                <w:rFonts w:ascii="Arial" w:cs="Arial" w:eastAsia="Arial" w:hAnsi="Arial"/>
                <w:sz w:val="18"/>
                <w:szCs w:val="18"/>
                <w:b w:val="1"/>
                <w:bCs w:val="1"/>
                <w:color w:val="auto"/>
              </w:rPr>
              <w:t>34,425</w:t>
            </w:r>
          </w:p>
        </w:tc>
        <w:tc>
          <w:tcPr>
            <w:tcW w:w="1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vMerge w:val="restart"/>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700" w:type="dxa"/>
            <w:vAlign w:val="bottom"/>
            <w:vMerge w:val="restart"/>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1,033</w:t>
            </w: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Preferred</w:t>
            </w:r>
          </w:p>
        </w:tc>
        <w:tc>
          <w:tcPr>
            <w:tcW w:w="18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5,000,000</w:t>
            </w:r>
          </w:p>
        </w:tc>
        <w:tc>
          <w:tcPr>
            <w:tcW w:w="1040" w:type="dxa"/>
            <w:vAlign w:val="bottom"/>
            <w:vMerge w:val="continue"/>
            <w:shd w:val="clear" w:color="auto" w:fill="CFF0FC"/>
          </w:tcPr>
          <w:p>
            <w:pPr>
              <w:spacing w:after="0"/>
              <w:rPr>
                <w:sz w:val="20"/>
                <w:szCs w:val="20"/>
                <w:color w:val="auto"/>
              </w:rPr>
            </w:pPr>
          </w:p>
        </w:tc>
        <w:tc>
          <w:tcPr>
            <w:tcW w:w="116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34,440</w:t>
            </w: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36,147</w:t>
            </w:r>
          </w:p>
        </w:tc>
        <w:tc>
          <w:tcPr>
            <w:tcW w:w="120" w:type="dxa"/>
            <w:vAlign w:val="bottom"/>
            <w:shd w:val="clear" w:color="auto" w:fill="CFF0FC"/>
          </w:tcPr>
          <w:p>
            <w:pPr>
              <w:spacing w:after="0"/>
              <w:rPr>
                <w:sz w:val="20"/>
                <w:szCs w:val="20"/>
                <w:color w:val="auto"/>
              </w:rPr>
            </w:pPr>
          </w:p>
        </w:tc>
        <w:tc>
          <w:tcPr>
            <w:tcW w:w="240" w:type="dxa"/>
            <w:vAlign w:val="bottom"/>
            <w:vMerge w:val="continue"/>
            <w:shd w:val="clear" w:color="auto" w:fill="CFF0FC"/>
          </w:tcPr>
          <w:p>
            <w:pPr>
              <w:spacing w:after="0"/>
              <w:rPr>
                <w:sz w:val="20"/>
                <w:szCs w:val="20"/>
                <w:color w:val="auto"/>
              </w:rPr>
            </w:pPr>
          </w:p>
        </w:tc>
        <w:tc>
          <w:tcPr>
            <w:tcW w:w="700" w:type="dxa"/>
            <w:vAlign w:val="bottom"/>
            <w:vMerge w:val="continue"/>
            <w:shd w:val="clear" w:color="auto" w:fill="CFF0FC"/>
          </w:tcPr>
          <w:p>
            <w:pPr>
              <w:spacing w:after="0"/>
              <w:rPr>
                <w:sz w:val="20"/>
                <w:szCs w:val="20"/>
                <w:color w:val="auto"/>
              </w:rPr>
            </w:pP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1,033</w:t>
            </w:r>
          </w:p>
        </w:tc>
        <w:tc>
          <w:tcPr>
            <w:tcW w:w="4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7"/>
              </w:rPr>
              <w:t>1,084</w:t>
            </w:r>
          </w:p>
        </w:tc>
        <w:tc>
          <w:tcPr>
            <w:tcW w:w="0" w:type="dxa"/>
            <w:vAlign w:val="bottom"/>
          </w:tcPr>
          <w:p>
            <w:pPr>
              <w:spacing w:after="0"/>
              <w:rPr>
                <w:sz w:val="1"/>
                <w:szCs w:val="1"/>
                <w:color w:val="auto"/>
              </w:rPr>
            </w:pPr>
          </w:p>
        </w:tc>
      </w:tr>
      <w:tr>
        <w:trPr>
          <w:trHeight w:val="223"/>
        </w:trPr>
        <w:tc>
          <w:tcPr>
            <w:tcW w:w="3480" w:type="dxa"/>
            <w:vAlign w:val="bottom"/>
            <w:gridSpan w:val="2"/>
          </w:tcPr>
          <w:p>
            <w:pPr>
              <w:spacing w:after="0"/>
              <w:rPr>
                <w:sz w:val="20"/>
                <w:szCs w:val="20"/>
                <w:color w:val="auto"/>
              </w:rPr>
            </w:pPr>
            <w:r>
              <w:rPr>
                <w:rFonts w:ascii="Arial" w:cs="Arial" w:eastAsia="Arial" w:hAnsi="Arial"/>
                <w:sz w:val="18"/>
                <w:szCs w:val="18"/>
                <w:color w:val="auto"/>
              </w:rPr>
              <w:t>Stated Value of Issued Shares</w:t>
            </w:r>
          </w:p>
        </w:tc>
        <w:tc>
          <w:tcPr>
            <w:tcW w:w="72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1,033</w:t>
            </w:r>
          </w:p>
        </w:tc>
        <w:tc>
          <w:tcPr>
            <w:tcW w:w="3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1,033</w:t>
            </w:r>
          </w:p>
        </w:tc>
        <w:tc>
          <w:tcPr>
            <w:tcW w:w="4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7"/>
              </w:rPr>
              <w:t>1,084</w:t>
            </w:r>
          </w:p>
        </w:tc>
        <w:tc>
          <w:tcPr>
            <w:tcW w:w="0" w:type="dxa"/>
            <w:vAlign w:val="bottom"/>
          </w:tcPr>
          <w:p>
            <w:pPr>
              <w:spacing w:after="0"/>
              <w:rPr>
                <w:sz w:val="1"/>
                <w:szCs w:val="1"/>
                <w:color w:val="auto"/>
              </w:rPr>
            </w:pPr>
          </w:p>
        </w:tc>
      </w:tr>
      <w:tr>
        <w:trPr>
          <w:trHeight w:val="215"/>
        </w:trPr>
        <w:tc>
          <w:tcPr>
            <w:tcW w:w="3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Employees’ Preferred Stock Purchase</w:t>
            </w:r>
          </w:p>
        </w:tc>
        <w:tc>
          <w:tcPr>
            <w:tcW w:w="7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(24)</w:t>
            </w: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Accounts</w:t>
            </w:r>
          </w:p>
        </w:tc>
        <w:tc>
          <w:tcPr>
            <w:tcW w:w="7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vMerge w:val="continue"/>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40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5"/>
        </w:trPr>
        <w:tc>
          <w:tcPr>
            <w:tcW w:w="348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Total Non-Redeemable Preferred</w:t>
            </w:r>
          </w:p>
        </w:tc>
        <w:tc>
          <w:tcPr>
            <w:tcW w:w="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80" w:type="dxa"/>
            <w:vAlign w:val="bottom"/>
            <w:gridSpan w:val="2"/>
          </w:tcPr>
          <w:p>
            <w:pPr>
              <w:ind w:left="140"/>
              <w:spacing w:after="0"/>
              <w:rPr>
                <w:sz w:val="20"/>
                <w:szCs w:val="20"/>
                <w:color w:val="auto"/>
              </w:rPr>
            </w:pPr>
            <w:r>
              <w:rPr>
                <w:rFonts w:ascii="Arial" w:cs="Arial" w:eastAsia="Arial" w:hAnsi="Arial"/>
                <w:sz w:val="18"/>
                <w:szCs w:val="18"/>
                <w:b w:val="1"/>
                <w:bCs w:val="1"/>
                <w:color w:val="auto"/>
              </w:rPr>
              <w:t>Stock</w:t>
            </w:r>
          </w:p>
        </w:tc>
        <w:tc>
          <w:tcPr>
            <w:tcW w:w="7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1,009</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1,009</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1,060</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Subordinated Serial Preferred Stock:</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charter permits the Board of Directors to issue Subordinated Serial Preferred Stock (3,000,000 shares, in aggregate, are authorized) in as many series, each with as many shares and such rights and preferences as the board may designate. We have shares authorized for $2.30 Series 1, $4.75 Series 3, $4.75 Series 4, Series 6 and $1.50 Subordinated Cumulative Preferred stocks in amounts of 64,368 shares, 40,449 shares, 53,764 shares, 800,000 shares and 5,000,000 shares, respectively. All of these preferred stocks were mandatorily redeemed by us in Fiscal 2014. As a result, there are no outstanding shares for any preferred issues of stock other than Employees' Subordinated Convertible Preferred stock shown in the table above.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 Subordinated Convertible Preferred Stock:</w:t>
      </w:r>
    </w:p>
    <w:p>
      <w:pPr>
        <w:spacing w:after="0" w:line="18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Stated and liquidation values are 88 times the average quarterly per share dividend paid on common stock for the previous eight quarters (if any), but in no event less than $30 per share. Each share of this issue of preferred stock is convertible into one share of common stock and has one vote per share.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Continued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Common stock-$1 par value. Authorized: 80,000,000 shares; issued: January 30, 2021 – 15,438,338 shares; February 1, 2020 –15,185,670 shares. There were 488,464 shares held in treasury at January 30, 2021 and February 1, 2020. Each outstanding share is entitled to one vote. At January 30, 2021, common shares were reserved as follows: 34,425 shares for conversion of preferred stock and 1,261,501 shares for the 2020 Genesco Inc. Equity Incentive Plan (the "2020 Plan").</w:t>
      </w:r>
    </w:p>
    <w:p>
      <w:pPr>
        <w:spacing w:after="0" w:line="16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For the year ended January 30, 2021, 428,362 shares of common stock were issued as restricted shares as part of the Second Amended and Restated 2009 Genesco Inc. Equity Incentive Plan (the “2009 Plan”); 38,723 shares were issued to directors in exchange for their services; 64,382 shares were withheld for taxes on restricted stock vested in Fiscal 2021; 150,050 shares of restricted stock were forfeited in Fiscal 2021; and 15 shares were issued in miscellaneous conversions of Employees’ Subordinated Convertible Preferred Stock. We did not repurchase any shares of common stock in Fiscal 2021. We have $89.7 million remaining under our current $100.0 million share repurchase authorization.</w:t>
      </w:r>
    </w:p>
    <w:p>
      <w:pPr>
        <w:spacing w:after="0" w:line="1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year ended February 1, 2020, 270,173 shares of common stock were issued as restricted shares as part of the 2009 Plan; 25,368 shares were issued to directors in exchange for their services; 55,598 shares were withheld for taxes on restricted stock vested in Fiscal 2020; 77,013 shares of restricted stock were forfeited in Fiscal 2020; and 1,707 shares were issued in miscellaneous conversions of Employees’ Subordinated Convertible Preferred Stock. In addition, the Company repurchased and retired 4,570,015 shares of common stock at an average weighted market price of $41.44 for a total of $189.4 million</w:t>
      </w:r>
    </w:p>
    <w:p>
      <w:pPr>
        <w:spacing w:after="0" w:line="14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the year ended February 2, 2019, 353,633 shares of common stock were issued as restricted shares as part of the 2009 Plan; 36,421 shares were issued to directors in exchange for their services; 69,762 shares were withheld for taxes on restricted stock vested in Fiscal 2019; 153,646 shares of restricted stock were forfeited in Fiscal 2019; and 524 shares were issued in miscellaneous conversions of Employees’ Subordinated Convertible Preferred Stock. In addition, the Company repurchased and retired 968,375 shares of common stock at an average weighted market price of $47.45 for a total of $45.9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on Dividends and Redemptions of Capital Stock:</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charter provides that no dividends may be paid and no shares of capital stock acquired for value if there are dividend or redemption arrearages on any senior or equally ranked stock. Exchanges of subordinated serial preferred stock for common stock or other stock junior to such exchanged stock are permitted.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Taxes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22, 2017, the Tax Cuts and Jobs Act (the “Act”) was enacted in the United States. The Act includes a number of changes to existing U.S. tax laws that impact us including the reduction of the U.S. corporate income tax rate from 35% to 21% for tax years beginning after December 31, 2017. The Act also provides for a one-time transition tax on indefinitely reinvested foreign earnings and the acceleration of depreciation for certain assets placed into service after September 27, 2017, as well as prospective changes beginning in 2018, including the elimination of certain domestic deductions and credits and additional limitations on the deductibility of executive compensation. While we consider our accounting for the Act to be complete, we continue to evaluate new guidance and legislation as it is issued.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Taxes, Continued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earnings from continuing operations before income taxes is comprised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8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7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2020</w:t>
            </w:r>
          </w:p>
        </w:tc>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r>
      <w:tr>
        <w:trPr>
          <w:trHeight w:val="223"/>
        </w:trPr>
        <w:tc>
          <w:tcPr>
            <w:tcW w:w="6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United States</w:t>
            </w:r>
          </w:p>
        </w:tc>
        <w:tc>
          <w:tcPr>
            <w:tcW w:w="860" w:type="dxa"/>
            <w:vAlign w:val="bottom"/>
            <w:shd w:val="clear" w:color="auto" w:fill="CFF0FC"/>
          </w:tcPr>
          <w:p>
            <w:pPr>
              <w:jc w:val="right"/>
              <w:ind w:right="19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(3,123)</w:t>
            </w:r>
          </w:p>
        </w:tc>
        <w:tc>
          <w:tcPr>
            <w:tcW w:w="76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83,871</w:t>
            </w:r>
          </w:p>
        </w:tc>
        <w:tc>
          <w:tcPr>
            <w:tcW w:w="54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84,807</w:t>
            </w:r>
          </w:p>
        </w:tc>
      </w:tr>
      <w:tr>
        <w:trPr>
          <w:trHeight w:val="230"/>
        </w:trPr>
        <w:tc>
          <w:tcPr>
            <w:tcW w:w="618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Foreign</w:t>
            </w:r>
          </w:p>
        </w:tc>
        <w:tc>
          <w:tcPr>
            <w:tcW w:w="8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(108,546)</w:t>
            </w:r>
          </w:p>
        </w:tc>
        <w:tc>
          <w:tcPr>
            <w:tcW w:w="7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(1,436)</w:t>
            </w: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(6,548)</w:t>
            </w:r>
          </w:p>
        </w:tc>
      </w:tr>
      <w:tr>
        <w:trPr>
          <w:trHeight w:val="223"/>
        </w:trPr>
        <w:tc>
          <w:tcPr>
            <w:tcW w:w="61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Total Earnings (Loss) from Continuing Operations before Income Taxes</w:t>
            </w:r>
          </w:p>
        </w:tc>
        <w:tc>
          <w:tcPr>
            <w:tcW w:w="86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(111,669)</w:t>
            </w:r>
          </w:p>
        </w:tc>
        <w:tc>
          <w:tcPr>
            <w:tcW w:w="760" w:type="dxa"/>
            <w:vAlign w:val="bottom"/>
            <w:tcBorders>
              <w:bottom w:val="single" w:sz="8" w:color="auto"/>
            </w:tcBorders>
            <w:shd w:val="clear" w:color="auto" w:fill="CFF0FC"/>
          </w:tcPr>
          <w:p>
            <w:pPr>
              <w:jc w:val="right"/>
              <w:ind w:right="4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82,435</w:t>
            </w:r>
          </w:p>
        </w:tc>
        <w:tc>
          <w:tcPr>
            <w:tcW w:w="54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78,259</w:t>
            </w:r>
          </w:p>
        </w:tc>
      </w:tr>
      <w:tr>
        <w:trPr>
          <w:trHeight w:val="20"/>
        </w:trPr>
        <w:tc>
          <w:tcPr>
            <w:tcW w:w="6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13"/>
        </w:trPr>
        <w:tc>
          <w:tcPr>
            <w:tcW w:w="6180" w:type="dxa"/>
            <w:vAlign w:val="bottom"/>
          </w:tcPr>
          <w:p>
            <w:pPr>
              <w:spacing w:after="0"/>
              <w:rPr>
                <w:sz w:val="20"/>
                <w:szCs w:val="20"/>
                <w:color w:val="auto"/>
              </w:rPr>
            </w:pPr>
            <w:r>
              <w:rPr>
                <w:rFonts w:ascii="Arial" w:cs="Arial" w:eastAsia="Arial" w:hAnsi="Arial"/>
                <w:sz w:val="18"/>
                <w:szCs w:val="18"/>
                <w:color w:val="auto"/>
              </w:rPr>
              <w:t>Income tax expense from continuing operations is comprised of the following:</w:t>
            </w:r>
          </w:p>
        </w:tc>
        <w:tc>
          <w:tcPr>
            <w:tcW w:w="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46"/>
        </w:trPr>
        <w:tc>
          <w:tcPr>
            <w:tcW w:w="6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8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7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2020</w:t>
            </w:r>
          </w:p>
        </w:tc>
        <w:tc>
          <w:tcPr>
            <w:tcW w:w="5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r>
      <w:tr>
        <w:trPr>
          <w:trHeight w:val="223"/>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8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30"/>
        </w:trPr>
        <w:tc>
          <w:tcPr>
            <w:tcW w:w="6180" w:type="dxa"/>
            <w:vAlign w:val="bottom"/>
          </w:tcPr>
          <w:p>
            <w:pPr>
              <w:ind w:left="260"/>
              <w:spacing w:after="0"/>
              <w:rPr>
                <w:sz w:val="20"/>
                <w:szCs w:val="20"/>
                <w:color w:val="auto"/>
              </w:rPr>
            </w:pPr>
            <w:r>
              <w:rPr>
                <w:rFonts w:ascii="Arial" w:cs="Arial" w:eastAsia="Arial" w:hAnsi="Arial"/>
                <w:sz w:val="18"/>
                <w:szCs w:val="18"/>
                <w:color w:val="auto"/>
              </w:rPr>
              <w:t>U.S. federal</w:t>
            </w:r>
          </w:p>
        </w:tc>
        <w:tc>
          <w:tcPr>
            <w:tcW w:w="86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(106,397)</w:t>
            </w:r>
          </w:p>
        </w:tc>
        <w:tc>
          <w:tcPr>
            <w:tcW w:w="7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16,313</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13,657</w:t>
            </w:r>
          </w:p>
        </w:tc>
      </w:tr>
      <w:tr>
        <w:trPr>
          <w:trHeight w:val="229"/>
        </w:trPr>
        <w:tc>
          <w:tcPr>
            <w:tcW w:w="6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International</w:t>
            </w:r>
          </w:p>
        </w:tc>
        <w:tc>
          <w:tcPr>
            <w:tcW w:w="8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0"/>
              <w:spacing w:after="0"/>
              <w:rPr>
                <w:sz w:val="20"/>
                <w:szCs w:val="20"/>
                <w:color w:val="auto"/>
              </w:rPr>
            </w:pPr>
            <w:r>
              <w:rPr>
                <w:rFonts w:ascii="Arial" w:cs="Arial" w:eastAsia="Arial" w:hAnsi="Arial"/>
                <w:sz w:val="18"/>
                <w:szCs w:val="18"/>
                <w:b w:val="1"/>
                <w:bCs w:val="1"/>
                <w:color w:val="auto"/>
              </w:rPr>
              <w:t>1,391</w:t>
            </w: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322</w:t>
            </w:r>
          </w:p>
        </w:tc>
        <w:tc>
          <w:tcPr>
            <w:tcW w:w="5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1,649</w:t>
            </w:r>
          </w:p>
        </w:tc>
      </w:tr>
      <w:tr>
        <w:trPr>
          <w:trHeight w:val="229"/>
        </w:trPr>
        <w:tc>
          <w:tcPr>
            <w:tcW w:w="618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State</w:t>
            </w:r>
          </w:p>
        </w:tc>
        <w:tc>
          <w:tcPr>
            <w:tcW w:w="8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10,223</w:t>
            </w:r>
          </w:p>
        </w:tc>
        <w:tc>
          <w:tcPr>
            <w:tcW w:w="7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3,383</w:t>
            </w: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4,029</w:t>
            </w:r>
          </w:p>
        </w:tc>
      </w:tr>
      <w:tr>
        <w:trPr>
          <w:trHeight w:val="223"/>
        </w:trPr>
        <w:tc>
          <w:tcPr>
            <w:tcW w:w="61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Total Current Income Tax Expense (Benefit)</w:t>
            </w:r>
          </w:p>
        </w:tc>
        <w:tc>
          <w:tcPr>
            <w:tcW w:w="8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(94,783)</w:t>
            </w:r>
          </w:p>
        </w:tc>
        <w:tc>
          <w:tcPr>
            <w:tcW w:w="7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20,018</w:t>
            </w:r>
          </w:p>
        </w:tc>
        <w:tc>
          <w:tcPr>
            <w:tcW w:w="5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19,335</w:t>
            </w:r>
          </w:p>
        </w:tc>
      </w:tr>
      <w:tr>
        <w:trPr>
          <w:trHeight w:val="223"/>
        </w:trPr>
        <w:tc>
          <w:tcPr>
            <w:tcW w:w="6180" w:type="dxa"/>
            <w:vAlign w:val="bottom"/>
          </w:tcPr>
          <w:p>
            <w:pPr>
              <w:spacing w:after="0"/>
              <w:rPr>
                <w:sz w:val="20"/>
                <w:szCs w:val="20"/>
                <w:color w:val="auto"/>
              </w:rPr>
            </w:pPr>
            <w:r>
              <w:rPr>
                <w:rFonts w:ascii="Arial" w:cs="Arial" w:eastAsia="Arial" w:hAnsi="Arial"/>
                <w:sz w:val="18"/>
                <w:szCs w:val="18"/>
                <w:color w:val="auto"/>
              </w:rPr>
              <w:t>Deferred</w:t>
            </w:r>
          </w:p>
        </w:tc>
        <w:tc>
          <w:tcPr>
            <w:tcW w:w="8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6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federal</w:t>
            </w:r>
          </w:p>
        </w:tc>
        <w:tc>
          <w:tcPr>
            <w:tcW w:w="8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0"/>
              <w:spacing w:after="0"/>
              <w:rPr>
                <w:sz w:val="20"/>
                <w:szCs w:val="20"/>
                <w:color w:val="auto"/>
              </w:rPr>
            </w:pPr>
            <w:r>
              <w:rPr>
                <w:rFonts w:ascii="Arial" w:cs="Arial" w:eastAsia="Arial" w:hAnsi="Arial"/>
                <w:sz w:val="18"/>
                <w:szCs w:val="18"/>
                <w:b w:val="1"/>
                <w:bCs w:val="1"/>
                <w:color w:val="auto"/>
              </w:rPr>
              <w:t>48,511</w:t>
            </w: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(463)</w:t>
            </w:r>
          </w:p>
        </w:tc>
        <w:tc>
          <w:tcPr>
            <w:tcW w:w="5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3,632</w:t>
            </w:r>
          </w:p>
        </w:tc>
      </w:tr>
      <w:tr>
        <w:trPr>
          <w:trHeight w:val="229"/>
        </w:trPr>
        <w:tc>
          <w:tcPr>
            <w:tcW w:w="6180" w:type="dxa"/>
            <w:vAlign w:val="bottom"/>
          </w:tcPr>
          <w:p>
            <w:pPr>
              <w:ind w:left="260"/>
              <w:spacing w:after="0"/>
              <w:rPr>
                <w:sz w:val="20"/>
                <w:szCs w:val="20"/>
                <w:color w:val="auto"/>
              </w:rPr>
            </w:pPr>
            <w:r>
              <w:rPr>
                <w:rFonts w:ascii="Arial" w:cs="Arial" w:eastAsia="Arial" w:hAnsi="Arial"/>
                <w:sz w:val="18"/>
                <w:szCs w:val="18"/>
                <w:color w:val="auto"/>
              </w:rPr>
              <w:t>International</w:t>
            </w:r>
          </w:p>
        </w:tc>
        <w:tc>
          <w:tcPr>
            <w:tcW w:w="86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b w:val="1"/>
                <w:bCs w:val="1"/>
                <w:color w:val="auto"/>
              </w:rPr>
              <w:t>2,773</w:t>
            </w:r>
          </w:p>
        </w:tc>
        <w:tc>
          <w:tcPr>
            <w:tcW w:w="760" w:type="dxa"/>
            <w:vAlign w:val="bottom"/>
          </w:tcPr>
          <w:p>
            <w:pPr>
              <w:spacing w:after="0"/>
              <w:rPr>
                <w:sz w:val="19"/>
                <w:szCs w:val="19"/>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1,145</w:t>
            </w:r>
          </w:p>
        </w:tc>
        <w:tc>
          <w:tcPr>
            <w:tcW w:w="5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2,594</w:t>
            </w:r>
          </w:p>
        </w:tc>
      </w:tr>
      <w:tr>
        <w:trPr>
          <w:trHeight w:val="230"/>
        </w:trPr>
        <w:tc>
          <w:tcPr>
            <w:tcW w:w="618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State</w:t>
            </w:r>
          </w:p>
        </w:tc>
        <w:tc>
          <w:tcPr>
            <w:tcW w:w="8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(12,142)</w:t>
            </w:r>
          </w:p>
        </w:tc>
        <w:tc>
          <w:tcPr>
            <w:tcW w:w="7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(22)</w:t>
            </w:r>
          </w:p>
        </w:tc>
        <w:tc>
          <w:tcPr>
            <w:tcW w:w="5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1,474</w:t>
            </w:r>
          </w:p>
        </w:tc>
      </w:tr>
      <w:tr>
        <w:trPr>
          <w:trHeight w:val="223"/>
        </w:trPr>
        <w:tc>
          <w:tcPr>
            <w:tcW w:w="6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Deferred Income Tax Expense</w:t>
            </w:r>
          </w:p>
        </w:tc>
        <w:tc>
          <w:tcPr>
            <w:tcW w:w="8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39,142</w:t>
            </w:r>
          </w:p>
        </w:tc>
        <w:tc>
          <w:tcPr>
            <w:tcW w:w="7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660</w:t>
            </w: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7,700</w:t>
            </w:r>
          </w:p>
        </w:tc>
      </w:tr>
      <w:tr>
        <w:trPr>
          <w:trHeight w:val="223"/>
        </w:trPr>
        <w:tc>
          <w:tcPr>
            <w:tcW w:w="61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Total Income Tax Expense (Benefit) – Continuing Operations</w:t>
            </w:r>
          </w:p>
        </w:tc>
        <w:tc>
          <w:tcPr>
            <w:tcW w:w="86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(55,641)</w:t>
            </w:r>
          </w:p>
        </w:tc>
        <w:tc>
          <w:tcPr>
            <w:tcW w:w="760" w:type="dxa"/>
            <w:vAlign w:val="bottom"/>
            <w:tcBorders>
              <w:bottom w:val="single" w:sz="8" w:color="auto"/>
            </w:tcBorders>
            <w:shd w:val="clear" w:color="auto" w:fill="CFF0FC"/>
          </w:tcPr>
          <w:p>
            <w:pPr>
              <w:jc w:val="right"/>
              <w:ind w:right="4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20,678</w:t>
            </w:r>
          </w:p>
        </w:tc>
        <w:tc>
          <w:tcPr>
            <w:tcW w:w="54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27,035</w:t>
            </w:r>
          </w:p>
        </w:tc>
      </w:tr>
      <w:tr>
        <w:trPr>
          <w:trHeight w:val="20"/>
        </w:trPr>
        <w:tc>
          <w:tcPr>
            <w:tcW w:w="8900" w:type="dxa"/>
            <w:vAlign w:val="bottom"/>
            <w:tcBorders>
              <w:bottom w:val="single" w:sz="8" w:color="auto"/>
            </w:tcBorders>
            <w:gridSpan w:val="4"/>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72"/>
        </w:trPr>
        <w:tc>
          <w:tcPr>
            <w:tcW w:w="8900" w:type="dxa"/>
            <w:vAlign w:val="bottom"/>
            <w:gridSpan w:val="4"/>
          </w:tcPr>
          <w:p>
            <w:pPr>
              <w:spacing w:after="0"/>
              <w:rPr>
                <w:sz w:val="20"/>
                <w:szCs w:val="20"/>
                <w:color w:val="auto"/>
              </w:rPr>
            </w:pPr>
            <w:r>
              <w:rPr>
                <w:rFonts w:ascii="Arial" w:cs="Arial" w:eastAsia="Arial" w:hAnsi="Arial"/>
                <w:sz w:val="18"/>
                <w:szCs w:val="18"/>
                <w:color w:val="auto"/>
                <w:w w:val="92"/>
              </w:rPr>
              <w:t>Reconciliation of the United States federal statutory rate to our effective tax rate from continuing operations is as follows:</w:t>
            </w: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45"/>
        </w:trPr>
        <w:tc>
          <w:tcPr>
            <w:tcW w:w="6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7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2020</w:t>
            </w:r>
          </w:p>
        </w:tc>
        <w:tc>
          <w:tcPr>
            <w:tcW w:w="5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2019</w:t>
            </w:r>
          </w:p>
        </w:tc>
      </w:tr>
      <w:tr>
        <w:trPr>
          <w:trHeight w:val="223"/>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U. S. federal statutory rate of tax</w:t>
            </w:r>
          </w:p>
        </w:tc>
        <w:tc>
          <w:tcPr>
            <w:tcW w:w="8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21.00%</w:t>
            </w: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21.00%</w:t>
            </w:r>
          </w:p>
        </w:tc>
        <w:tc>
          <w:tcPr>
            <w:tcW w:w="5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21.00%</w:t>
            </w: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State taxes (net of federal tax benefit)</w:t>
            </w:r>
          </w:p>
        </w:tc>
        <w:tc>
          <w:tcPr>
            <w:tcW w:w="86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1.35</w:t>
            </w:r>
          </w:p>
        </w:tc>
        <w:tc>
          <w:tcPr>
            <w:tcW w:w="760" w:type="dxa"/>
            <w:vAlign w:val="bottom"/>
          </w:tcPr>
          <w:p>
            <w:pPr>
              <w:spacing w:after="0"/>
              <w:rPr>
                <w:sz w:val="19"/>
                <w:szCs w:val="19"/>
                <w:color w:val="auto"/>
              </w:rPr>
            </w:pPr>
          </w:p>
        </w:tc>
        <w:tc>
          <w:tcPr>
            <w:tcW w:w="820" w:type="dxa"/>
            <w:vAlign w:val="bottom"/>
          </w:tcPr>
          <w:p>
            <w:pPr>
              <w:jc w:val="right"/>
              <w:ind w:right="190"/>
              <w:spacing w:after="0"/>
              <w:rPr>
                <w:sz w:val="20"/>
                <w:szCs w:val="20"/>
                <w:color w:val="auto"/>
              </w:rPr>
            </w:pPr>
            <w:r>
              <w:rPr>
                <w:rFonts w:ascii="Arial" w:cs="Arial" w:eastAsia="Arial" w:hAnsi="Arial"/>
                <w:sz w:val="18"/>
                <w:szCs w:val="18"/>
                <w:color w:val="auto"/>
              </w:rPr>
              <w:t>3.62</w:t>
            </w:r>
          </w:p>
        </w:tc>
        <w:tc>
          <w:tcPr>
            <w:tcW w:w="54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5.67</w:t>
            </w:r>
          </w:p>
        </w:tc>
      </w:tr>
      <w:tr>
        <w:trPr>
          <w:trHeight w:val="229"/>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Foreign rate differential</w:t>
            </w:r>
          </w:p>
        </w:tc>
        <w:tc>
          <w:tcPr>
            <w:tcW w:w="8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90"/>
              <w:spacing w:after="0"/>
              <w:rPr>
                <w:sz w:val="20"/>
                <w:szCs w:val="20"/>
                <w:color w:val="auto"/>
              </w:rPr>
            </w:pPr>
            <w:r>
              <w:rPr>
                <w:rFonts w:ascii="Arial" w:cs="Arial" w:eastAsia="Arial" w:hAnsi="Arial"/>
                <w:sz w:val="18"/>
                <w:szCs w:val="18"/>
                <w:b w:val="1"/>
                <w:bCs w:val="1"/>
                <w:color w:val="auto"/>
              </w:rPr>
              <w:t>(0.25)</w:t>
            </w: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(2.21)</w:t>
            </w:r>
          </w:p>
        </w:tc>
        <w:tc>
          <w:tcPr>
            <w:tcW w:w="5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(2.56)</w:t>
            </w: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860" w:type="dxa"/>
            <w:vAlign w:val="bottom"/>
          </w:tcPr>
          <w:p>
            <w:pPr>
              <w:spacing w:after="0"/>
              <w:rPr>
                <w:sz w:val="19"/>
                <w:szCs w:val="19"/>
                <w:color w:val="auto"/>
              </w:rPr>
            </w:pPr>
          </w:p>
        </w:tc>
        <w:tc>
          <w:tcPr>
            <w:tcW w:w="1100" w:type="dxa"/>
            <w:vAlign w:val="bottom"/>
          </w:tcPr>
          <w:p>
            <w:pPr>
              <w:jc w:val="right"/>
              <w:ind w:right="190"/>
              <w:spacing w:after="0"/>
              <w:rPr>
                <w:sz w:val="20"/>
                <w:szCs w:val="20"/>
                <w:color w:val="auto"/>
              </w:rPr>
            </w:pPr>
            <w:r>
              <w:rPr>
                <w:rFonts w:ascii="Arial" w:cs="Arial" w:eastAsia="Arial" w:hAnsi="Arial"/>
                <w:sz w:val="18"/>
                <w:szCs w:val="18"/>
                <w:b w:val="1"/>
                <w:bCs w:val="1"/>
                <w:color w:val="auto"/>
              </w:rPr>
              <w:t>(10.70)</w:t>
            </w:r>
          </w:p>
        </w:tc>
        <w:tc>
          <w:tcPr>
            <w:tcW w:w="760" w:type="dxa"/>
            <w:vAlign w:val="bottom"/>
          </w:tcPr>
          <w:p>
            <w:pPr>
              <w:spacing w:after="0"/>
              <w:rPr>
                <w:sz w:val="19"/>
                <w:szCs w:val="19"/>
                <w:color w:val="auto"/>
              </w:rPr>
            </w:pPr>
          </w:p>
        </w:tc>
        <w:tc>
          <w:tcPr>
            <w:tcW w:w="820" w:type="dxa"/>
            <w:vAlign w:val="bottom"/>
          </w:tcPr>
          <w:p>
            <w:pPr>
              <w:jc w:val="right"/>
              <w:ind w:right="190"/>
              <w:spacing w:after="0"/>
              <w:rPr>
                <w:sz w:val="20"/>
                <w:szCs w:val="20"/>
                <w:color w:val="auto"/>
              </w:rPr>
            </w:pPr>
            <w:r>
              <w:rPr>
                <w:rFonts w:ascii="Arial" w:cs="Arial" w:eastAsia="Arial" w:hAnsi="Arial"/>
                <w:sz w:val="18"/>
                <w:szCs w:val="18"/>
                <w:color w:val="auto"/>
              </w:rPr>
              <w:t>3.64</w:t>
            </w:r>
          </w:p>
        </w:tc>
        <w:tc>
          <w:tcPr>
            <w:tcW w:w="54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11.51</w:t>
            </w:r>
          </w:p>
        </w:tc>
      </w:tr>
      <w:tr>
        <w:trPr>
          <w:trHeight w:val="230"/>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Credits</w:t>
            </w:r>
          </w:p>
        </w:tc>
        <w:tc>
          <w:tcPr>
            <w:tcW w:w="8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270"/>
              <w:spacing w:after="0"/>
              <w:rPr>
                <w:sz w:val="20"/>
                <w:szCs w:val="20"/>
                <w:color w:val="auto"/>
              </w:rPr>
            </w:pPr>
            <w:r>
              <w:rPr>
                <w:rFonts w:ascii="Arial" w:cs="Arial" w:eastAsia="Arial" w:hAnsi="Arial"/>
                <w:sz w:val="18"/>
                <w:szCs w:val="18"/>
                <w:b w:val="1"/>
                <w:bCs w:val="1"/>
                <w:color w:val="auto"/>
              </w:rPr>
              <w:t>0.44</w:t>
            </w: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(0.93)</w:t>
            </w:r>
          </w:p>
        </w:tc>
        <w:tc>
          <w:tcPr>
            <w:tcW w:w="5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(2.65)</w:t>
            </w: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Permanent items</w:t>
            </w:r>
          </w:p>
        </w:tc>
        <w:tc>
          <w:tcPr>
            <w:tcW w:w="860" w:type="dxa"/>
            <w:vAlign w:val="bottom"/>
          </w:tcPr>
          <w:p>
            <w:pPr>
              <w:spacing w:after="0"/>
              <w:rPr>
                <w:sz w:val="19"/>
                <w:szCs w:val="19"/>
                <w:color w:val="auto"/>
              </w:rPr>
            </w:pPr>
          </w:p>
        </w:tc>
        <w:tc>
          <w:tcPr>
            <w:tcW w:w="1100" w:type="dxa"/>
            <w:vAlign w:val="bottom"/>
          </w:tcPr>
          <w:p>
            <w:pPr>
              <w:jc w:val="right"/>
              <w:ind w:right="190"/>
              <w:spacing w:after="0"/>
              <w:rPr>
                <w:sz w:val="20"/>
                <w:szCs w:val="20"/>
                <w:color w:val="auto"/>
              </w:rPr>
            </w:pPr>
            <w:r>
              <w:rPr>
                <w:rFonts w:ascii="Arial" w:cs="Arial" w:eastAsia="Arial" w:hAnsi="Arial"/>
                <w:sz w:val="18"/>
                <w:szCs w:val="18"/>
                <w:b w:val="1"/>
                <w:bCs w:val="1"/>
                <w:color w:val="auto"/>
              </w:rPr>
              <w:t>(0.66)</w:t>
            </w:r>
          </w:p>
        </w:tc>
        <w:tc>
          <w:tcPr>
            <w:tcW w:w="760" w:type="dxa"/>
            <w:vAlign w:val="bottom"/>
          </w:tcPr>
          <w:p>
            <w:pPr>
              <w:spacing w:after="0"/>
              <w:rPr>
                <w:sz w:val="19"/>
                <w:szCs w:val="19"/>
                <w:color w:val="auto"/>
              </w:rPr>
            </w:pPr>
          </w:p>
        </w:tc>
        <w:tc>
          <w:tcPr>
            <w:tcW w:w="820" w:type="dxa"/>
            <w:vAlign w:val="bottom"/>
          </w:tcPr>
          <w:p>
            <w:pPr>
              <w:jc w:val="right"/>
              <w:ind w:right="190"/>
              <w:spacing w:after="0"/>
              <w:rPr>
                <w:sz w:val="20"/>
                <w:szCs w:val="20"/>
                <w:color w:val="auto"/>
              </w:rPr>
            </w:pPr>
            <w:r>
              <w:rPr>
                <w:rFonts w:ascii="Arial" w:cs="Arial" w:eastAsia="Arial" w:hAnsi="Arial"/>
                <w:sz w:val="18"/>
                <w:szCs w:val="18"/>
                <w:color w:val="auto"/>
              </w:rPr>
              <w:t>1.72</w:t>
            </w:r>
          </w:p>
        </w:tc>
        <w:tc>
          <w:tcPr>
            <w:tcW w:w="54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2.27</w:t>
            </w:r>
          </w:p>
        </w:tc>
      </w:tr>
      <w:tr>
        <w:trPr>
          <w:trHeight w:val="229"/>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Uncertain federal, state and foreign tax positions</w:t>
            </w:r>
          </w:p>
        </w:tc>
        <w:tc>
          <w:tcPr>
            <w:tcW w:w="8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27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(2.01)</w:t>
            </w:r>
          </w:p>
        </w:tc>
        <w:tc>
          <w:tcPr>
            <w:tcW w:w="5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(1.68)</w:t>
            </w: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Transition tax</w:t>
            </w:r>
          </w:p>
        </w:tc>
        <w:tc>
          <w:tcPr>
            <w:tcW w:w="86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spacing w:after="0"/>
              <w:rPr>
                <w:sz w:val="19"/>
                <w:szCs w:val="19"/>
                <w:color w:val="auto"/>
              </w:rPr>
            </w:pPr>
          </w:p>
        </w:tc>
        <w:tc>
          <w:tcPr>
            <w:tcW w:w="8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2.23</w:t>
            </w:r>
          </w:p>
        </w:tc>
      </w:tr>
      <w:tr>
        <w:trPr>
          <w:trHeight w:val="230"/>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CARES Act</w:t>
            </w:r>
          </w:p>
        </w:tc>
        <w:tc>
          <w:tcPr>
            <w:tcW w:w="8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270"/>
              <w:spacing w:after="0"/>
              <w:rPr>
                <w:sz w:val="20"/>
                <w:szCs w:val="20"/>
                <w:color w:val="auto"/>
              </w:rPr>
            </w:pPr>
            <w:r>
              <w:rPr>
                <w:rFonts w:ascii="Arial" w:cs="Arial" w:eastAsia="Arial" w:hAnsi="Arial"/>
                <w:sz w:val="18"/>
                <w:szCs w:val="18"/>
                <w:b w:val="1"/>
                <w:bCs w:val="1"/>
                <w:color w:val="auto"/>
              </w:rPr>
              <w:t>41.53</w:t>
            </w: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Outside Basis Difference - IRC Section 165(g) 3</w:t>
            </w:r>
          </w:p>
        </w:tc>
        <w:tc>
          <w:tcPr>
            <w:tcW w:w="86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10.34</w:t>
            </w:r>
          </w:p>
        </w:tc>
        <w:tc>
          <w:tcPr>
            <w:tcW w:w="760" w:type="dxa"/>
            <w:vAlign w:val="bottom"/>
          </w:tcPr>
          <w:p>
            <w:pPr>
              <w:spacing w:after="0"/>
              <w:rPr>
                <w:sz w:val="19"/>
                <w:szCs w:val="19"/>
                <w:color w:val="auto"/>
              </w:rPr>
            </w:pPr>
          </w:p>
        </w:tc>
        <w:tc>
          <w:tcPr>
            <w:tcW w:w="8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29"/>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Goodwill Impairment</w:t>
            </w:r>
          </w:p>
        </w:tc>
        <w:tc>
          <w:tcPr>
            <w:tcW w:w="8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90"/>
              <w:spacing w:after="0"/>
              <w:rPr>
                <w:sz w:val="20"/>
                <w:szCs w:val="20"/>
                <w:color w:val="auto"/>
              </w:rPr>
            </w:pPr>
            <w:r>
              <w:rPr>
                <w:rFonts w:ascii="Arial" w:cs="Arial" w:eastAsia="Arial" w:hAnsi="Arial"/>
                <w:sz w:val="18"/>
                <w:szCs w:val="18"/>
                <w:b w:val="1"/>
                <w:bCs w:val="1"/>
                <w:color w:val="auto"/>
              </w:rPr>
              <w:t>(13.50)</w:t>
            </w: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r>
      <w:tr>
        <w:trPr>
          <w:trHeight w:val="230"/>
        </w:trPr>
        <w:tc>
          <w:tcPr>
            <w:tcW w:w="6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8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0.28</w:t>
            </w:r>
          </w:p>
        </w:tc>
        <w:tc>
          <w:tcPr>
            <w:tcW w:w="7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0.25</w:t>
            </w: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(1.24)</w:t>
            </w:r>
          </w:p>
        </w:tc>
      </w:tr>
      <w:tr>
        <w:trPr>
          <w:trHeight w:val="223"/>
        </w:trPr>
        <w:tc>
          <w:tcPr>
            <w:tcW w:w="61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Effective Tax Rate</w:t>
            </w:r>
          </w:p>
        </w:tc>
        <w:tc>
          <w:tcPr>
            <w:tcW w:w="8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49.83%</w:t>
            </w:r>
          </w:p>
        </w:tc>
        <w:tc>
          <w:tcPr>
            <w:tcW w:w="7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25.08%</w:t>
            </w:r>
          </w:p>
        </w:tc>
        <w:tc>
          <w:tcPr>
            <w:tcW w:w="5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34.55%</w:t>
            </w:r>
          </w:p>
        </w:tc>
      </w:tr>
      <w:tr>
        <w:trPr>
          <w:trHeight w:val="20"/>
        </w:trPr>
        <w:tc>
          <w:tcPr>
            <w:tcW w:w="6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629"/>
        </w:trPr>
        <w:tc>
          <w:tcPr>
            <w:tcW w:w="6180" w:type="dxa"/>
            <w:vAlign w:val="bottom"/>
          </w:tcPr>
          <w:p>
            <w:pPr>
              <w:ind w:left="5540"/>
              <w:spacing w:after="0"/>
              <w:rPr>
                <w:sz w:val="20"/>
                <w:szCs w:val="20"/>
                <w:color w:val="auto"/>
              </w:rPr>
            </w:pPr>
            <w:r>
              <w:rPr>
                <w:rFonts w:ascii="Arial" w:cs="Arial" w:eastAsia="Arial" w:hAnsi="Arial"/>
                <w:sz w:val="18"/>
                <w:szCs w:val="18"/>
                <w:color w:val="auto"/>
              </w:rPr>
              <w:t>69</w:t>
            </w:r>
          </w:p>
        </w:tc>
        <w:tc>
          <w:tcPr>
            <w:tcW w:w="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15"/>
        </w:trPr>
        <w:tc>
          <w:tcPr>
            <w:tcW w:w="6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Taxes, Continued</w:t>
      </w:r>
    </w:p>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Fiscal 2021 effective tax rate reflects the favorable impact of the CARES Act, enacted on March 27, 2020. Due to the net operating loss provisions of the CARES Act, we realized a $46.4 million tax benefit in Fiscal 2021. A change to our international operations that took effect in January 2021 resulted in an additional $12.8 million tax benefit in Fiscal 2021. These tax benefits were offset partially by an increase in the valuation allowance in foreign jurisdictions and a non-deductible goodwill impairment charge.</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subject to a tax on global intangible low-tax income (“GILTI”). GILTI taxes foreign income in excess of deemed return on tangible assets of a foreign corporation and we elected to treat this tax as a period cost. Because of tax losses in foreign jurisdictions, there was no liability for GILTI in any period.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20" w:type="dxa"/>
            <w:vAlign w:val="bottom"/>
          </w:tcPr>
          <w:p>
            <w:pPr>
              <w:spacing w:after="0"/>
              <w:rPr>
                <w:sz w:val="20"/>
                <w:szCs w:val="20"/>
                <w:color w:val="auto"/>
              </w:rPr>
            </w:pPr>
            <w:r>
              <w:rPr>
                <w:rFonts w:ascii="Arial" w:cs="Arial" w:eastAsia="Arial" w:hAnsi="Arial"/>
                <w:sz w:val="18"/>
                <w:szCs w:val="18"/>
                <w:color w:val="auto"/>
              </w:rPr>
              <w:t>Deferred tax assets and liabilities are comprised of the following:</w:t>
            </w:r>
          </w:p>
        </w:tc>
        <w:tc>
          <w:tcPr>
            <w:tcW w:w="18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41"/>
        </w:trPr>
        <w:tc>
          <w:tcPr>
            <w:tcW w:w="6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b w:val="1"/>
                <w:bCs w:val="1"/>
                <w:color w:val="auto"/>
              </w:rPr>
              <w:t>January 30,</w:t>
            </w:r>
          </w:p>
        </w:tc>
        <w:tc>
          <w:tcPr>
            <w:tcW w:w="500" w:type="dxa"/>
            <w:vAlign w:val="bottom"/>
          </w:tcPr>
          <w:p>
            <w:pPr>
              <w:spacing w:after="0"/>
              <w:rPr>
                <w:sz w:val="24"/>
                <w:szCs w:val="24"/>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February 1,</w:t>
            </w:r>
          </w:p>
        </w:tc>
      </w:tr>
      <w:tr>
        <w:trPr>
          <w:trHeight w:val="234"/>
        </w:trPr>
        <w:tc>
          <w:tcPr>
            <w:tcW w:w="6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18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2020</w:t>
            </w:r>
          </w:p>
        </w:tc>
      </w:tr>
      <w:tr>
        <w:trPr>
          <w:trHeight w:val="223"/>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Pensions</w:t>
            </w:r>
          </w:p>
        </w:tc>
        <w:tc>
          <w:tcPr>
            <w:tcW w:w="1860" w:type="dxa"/>
            <w:vAlign w:val="bottom"/>
            <w:shd w:val="clear" w:color="auto" w:fill="CFF0FC"/>
          </w:tcPr>
          <w:p>
            <w:pPr>
              <w:jc w:val="right"/>
              <w:ind w:right="170"/>
              <w:spacing w:after="0"/>
              <w:rPr>
                <w:sz w:val="20"/>
                <w:szCs w:val="20"/>
                <w:color w:val="auto"/>
              </w:rPr>
            </w:pPr>
            <w:r>
              <w:rPr>
                <w:rFonts w:ascii="Arial" w:cs="Arial" w:eastAsia="Arial" w:hAnsi="Arial"/>
                <w:sz w:val="18"/>
                <w:szCs w:val="18"/>
                <w:b w:val="1"/>
                <w:bCs w:val="1"/>
                <w:color w:val="auto"/>
              </w:rPr>
              <w:t>$</w:t>
            </w:r>
          </w:p>
        </w:tc>
        <w:tc>
          <w:tcPr>
            <w:tcW w:w="1380" w:type="dxa"/>
            <w:vAlign w:val="bottom"/>
            <w:shd w:val="clear" w:color="auto" w:fill="CFF0FC"/>
          </w:tcPr>
          <w:p>
            <w:pPr>
              <w:jc w:val="right"/>
              <w:ind w:right="110"/>
              <w:spacing w:after="0"/>
              <w:rPr>
                <w:sz w:val="20"/>
                <w:szCs w:val="20"/>
                <w:color w:val="auto"/>
              </w:rPr>
            </w:pPr>
            <w:r>
              <w:rPr>
                <w:rFonts w:ascii="Arial" w:cs="Arial" w:eastAsia="Arial" w:hAnsi="Arial"/>
                <w:sz w:val="18"/>
                <w:szCs w:val="18"/>
                <w:b w:val="1"/>
                <w:bCs w:val="1"/>
                <w:color w:val="auto"/>
              </w:rPr>
              <w:t>229</w:t>
            </w:r>
          </w:p>
        </w:tc>
        <w:tc>
          <w:tcPr>
            <w:tcW w:w="5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332</w:t>
            </w:r>
          </w:p>
        </w:tc>
      </w:tr>
      <w:tr>
        <w:trPr>
          <w:trHeight w:val="229"/>
        </w:trPr>
        <w:tc>
          <w:tcPr>
            <w:tcW w:w="6220" w:type="dxa"/>
            <w:vAlign w:val="bottom"/>
          </w:tcPr>
          <w:p>
            <w:pPr>
              <w:spacing w:after="0"/>
              <w:rPr>
                <w:sz w:val="20"/>
                <w:szCs w:val="20"/>
                <w:color w:val="auto"/>
              </w:rPr>
            </w:pPr>
            <w:r>
              <w:rPr>
                <w:rFonts w:ascii="Arial" w:cs="Arial" w:eastAsia="Arial" w:hAnsi="Arial"/>
                <w:sz w:val="18"/>
                <w:szCs w:val="18"/>
                <w:color w:val="auto"/>
              </w:rPr>
              <w:t>Lease obligation</w:t>
            </w:r>
          </w:p>
        </w:tc>
        <w:tc>
          <w:tcPr>
            <w:tcW w:w="1860" w:type="dxa"/>
            <w:vAlign w:val="bottom"/>
          </w:tcPr>
          <w:p>
            <w:pPr>
              <w:spacing w:after="0"/>
              <w:rPr>
                <w:sz w:val="19"/>
                <w:szCs w:val="19"/>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b w:val="1"/>
                <w:bCs w:val="1"/>
                <w:color w:val="auto"/>
              </w:rPr>
              <w:t>175,113</w:t>
            </w:r>
          </w:p>
        </w:tc>
        <w:tc>
          <w:tcPr>
            <w:tcW w:w="500" w:type="dxa"/>
            <w:vAlign w:val="bottom"/>
          </w:tcPr>
          <w:p>
            <w:pPr>
              <w:spacing w:after="0"/>
              <w:rPr>
                <w:sz w:val="19"/>
                <w:szCs w:val="19"/>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188,590</w:t>
            </w:r>
          </w:p>
        </w:tc>
      </w:tr>
      <w:tr>
        <w:trPr>
          <w:trHeight w:val="230"/>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Book over tax depreciation</w:t>
            </w:r>
          </w:p>
        </w:tc>
        <w:tc>
          <w:tcPr>
            <w:tcW w:w="186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110"/>
              <w:spacing w:after="0"/>
              <w:rPr>
                <w:sz w:val="20"/>
                <w:szCs w:val="20"/>
                <w:color w:val="auto"/>
              </w:rPr>
            </w:pPr>
            <w:r>
              <w:rPr>
                <w:rFonts w:ascii="Arial" w:cs="Arial" w:eastAsia="Arial" w:hAnsi="Arial"/>
                <w:sz w:val="18"/>
                <w:szCs w:val="18"/>
                <w:b w:val="1"/>
                <w:bCs w:val="1"/>
                <w:color w:val="auto"/>
              </w:rPr>
              <w:t>13,528</w:t>
            </w:r>
          </w:p>
        </w:tc>
        <w:tc>
          <w:tcPr>
            <w:tcW w:w="5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4,558</w:t>
            </w:r>
          </w:p>
        </w:tc>
      </w:tr>
      <w:tr>
        <w:trPr>
          <w:trHeight w:val="229"/>
        </w:trPr>
        <w:tc>
          <w:tcPr>
            <w:tcW w:w="6220" w:type="dxa"/>
            <w:vAlign w:val="bottom"/>
          </w:tcPr>
          <w:p>
            <w:pPr>
              <w:spacing w:after="0"/>
              <w:rPr>
                <w:sz w:val="20"/>
                <w:szCs w:val="20"/>
                <w:color w:val="auto"/>
              </w:rPr>
            </w:pPr>
            <w:r>
              <w:rPr>
                <w:rFonts w:ascii="Arial" w:cs="Arial" w:eastAsia="Arial" w:hAnsi="Arial"/>
                <w:sz w:val="18"/>
                <w:szCs w:val="18"/>
                <w:color w:val="auto"/>
              </w:rPr>
              <w:t>Expense accruals</w:t>
            </w:r>
          </w:p>
        </w:tc>
        <w:tc>
          <w:tcPr>
            <w:tcW w:w="1860" w:type="dxa"/>
            <w:vAlign w:val="bottom"/>
          </w:tcPr>
          <w:p>
            <w:pPr>
              <w:spacing w:after="0"/>
              <w:rPr>
                <w:sz w:val="19"/>
                <w:szCs w:val="19"/>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b w:val="1"/>
                <w:bCs w:val="1"/>
                <w:color w:val="auto"/>
              </w:rPr>
              <w:t>10,388</w:t>
            </w:r>
          </w:p>
        </w:tc>
        <w:tc>
          <w:tcPr>
            <w:tcW w:w="500" w:type="dxa"/>
            <w:vAlign w:val="bottom"/>
          </w:tcPr>
          <w:p>
            <w:pPr>
              <w:spacing w:after="0"/>
              <w:rPr>
                <w:sz w:val="19"/>
                <w:szCs w:val="19"/>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7,386</w:t>
            </w:r>
          </w:p>
        </w:tc>
      </w:tr>
      <w:tr>
        <w:trPr>
          <w:trHeight w:val="230"/>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Uniform capitalization costs</w:t>
            </w:r>
          </w:p>
        </w:tc>
        <w:tc>
          <w:tcPr>
            <w:tcW w:w="186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110"/>
              <w:spacing w:after="0"/>
              <w:rPr>
                <w:sz w:val="20"/>
                <w:szCs w:val="20"/>
                <w:color w:val="auto"/>
              </w:rPr>
            </w:pPr>
            <w:r>
              <w:rPr>
                <w:rFonts w:ascii="Arial" w:cs="Arial" w:eastAsia="Arial" w:hAnsi="Arial"/>
                <w:sz w:val="18"/>
                <w:szCs w:val="18"/>
                <w:b w:val="1"/>
                <w:bCs w:val="1"/>
                <w:color w:val="auto"/>
              </w:rPr>
              <w:t>4,886</w:t>
            </w:r>
          </w:p>
        </w:tc>
        <w:tc>
          <w:tcPr>
            <w:tcW w:w="5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7,292</w:t>
            </w:r>
          </w:p>
        </w:tc>
      </w:tr>
      <w:tr>
        <w:trPr>
          <w:trHeight w:val="230"/>
        </w:trPr>
        <w:tc>
          <w:tcPr>
            <w:tcW w:w="6220" w:type="dxa"/>
            <w:vAlign w:val="bottom"/>
          </w:tcPr>
          <w:p>
            <w:pPr>
              <w:spacing w:after="0"/>
              <w:rPr>
                <w:sz w:val="20"/>
                <w:szCs w:val="20"/>
                <w:color w:val="auto"/>
              </w:rPr>
            </w:pPr>
            <w:r>
              <w:rPr>
                <w:rFonts w:ascii="Arial" w:cs="Arial" w:eastAsia="Arial" w:hAnsi="Arial"/>
                <w:sz w:val="18"/>
                <w:szCs w:val="18"/>
                <w:color w:val="auto"/>
              </w:rPr>
              <w:t>Provisions for discontinued operations and restructurings</w:t>
            </w:r>
          </w:p>
        </w:tc>
        <w:tc>
          <w:tcPr>
            <w:tcW w:w="1860" w:type="dxa"/>
            <w:vAlign w:val="bottom"/>
          </w:tcPr>
          <w:p>
            <w:pPr>
              <w:spacing w:after="0"/>
              <w:rPr>
                <w:sz w:val="19"/>
                <w:szCs w:val="19"/>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b w:val="1"/>
                <w:bCs w:val="1"/>
                <w:color w:val="auto"/>
              </w:rPr>
              <w:t>650</w:t>
            </w:r>
          </w:p>
        </w:tc>
        <w:tc>
          <w:tcPr>
            <w:tcW w:w="500" w:type="dxa"/>
            <w:vAlign w:val="bottom"/>
          </w:tcPr>
          <w:p>
            <w:pPr>
              <w:spacing w:after="0"/>
              <w:rPr>
                <w:sz w:val="19"/>
                <w:szCs w:val="19"/>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674</w:t>
            </w:r>
          </w:p>
        </w:tc>
      </w:tr>
      <w:tr>
        <w:trPr>
          <w:trHeight w:val="230"/>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Inventory valuation</w:t>
            </w:r>
          </w:p>
        </w:tc>
        <w:tc>
          <w:tcPr>
            <w:tcW w:w="186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110"/>
              <w:spacing w:after="0"/>
              <w:rPr>
                <w:sz w:val="20"/>
                <w:szCs w:val="20"/>
                <w:color w:val="auto"/>
              </w:rPr>
            </w:pPr>
            <w:r>
              <w:rPr>
                <w:rFonts w:ascii="Arial" w:cs="Arial" w:eastAsia="Arial" w:hAnsi="Arial"/>
                <w:sz w:val="18"/>
                <w:szCs w:val="18"/>
                <w:b w:val="1"/>
                <w:bCs w:val="1"/>
                <w:color w:val="auto"/>
              </w:rPr>
              <w:t>2,242</w:t>
            </w:r>
          </w:p>
        </w:tc>
        <w:tc>
          <w:tcPr>
            <w:tcW w:w="5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810</w:t>
            </w:r>
          </w:p>
        </w:tc>
      </w:tr>
      <w:tr>
        <w:trPr>
          <w:trHeight w:val="229"/>
        </w:trPr>
        <w:tc>
          <w:tcPr>
            <w:tcW w:w="6220" w:type="dxa"/>
            <w:vAlign w:val="bottom"/>
          </w:tcPr>
          <w:p>
            <w:pPr>
              <w:spacing w:after="0"/>
              <w:rPr>
                <w:sz w:val="20"/>
                <w:szCs w:val="20"/>
                <w:color w:val="auto"/>
              </w:rPr>
            </w:pPr>
            <w:r>
              <w:rPr>
                <w:rFonts w:ascii="Arial" w:cs="Arial" w:eastAsia="Arial" w:hAnsi="Arial"/>
                <w:sz w:val="18"/>
                <w:szCs w:val="18"/>
                <w:color w:val="auto"/>
              </w:rPr>
              <w:t>Tax net operating loss and credit carryforwards</w:t>
            </w:r>
          </w:p>
        </w:tc>
        <w:tc>
          <w:tcPr>
            <w:tcW w:w="1860" w:type="dxa"/>
            <w:vAlign w:val="bottom"/>
          </w:tcPr>
          <w:p>
            <w:pPr>
              <w:spacing w:after="0"/>
              <w:rPr>
                <w:sz w:val="19"/>
                <w:szCs w:val="19"/>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b w:val="1"/>
                <w:bCs w:val="1"/>
                <w:color w:val="auto"/>
              </w:rPr>
              <w:t>39,829</w:t>
            </w:r>
          </w:p>
        </w:tc>
        <w:tc>
          <w:tcPr>
            <w:tcW w:w="500" w:type="dxa"/>
            <w:vAlign w:val="bottom"/>
          </w:tcPr>
          <w:p>
            <w:pPr>
              <w:spacing w:after="0"/>
              <w:rPr>
                <w:sz w:val="19"/>
                <w:szCs w:val="19"/>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11,972</w:t>
            </w:r>
          </w:p>
        </w:tc>
      </w:tr>
      <w:tr>
        <w:trPr>
          <w:trHeight w:val="230"/>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Allowances for bad debts and notes</w:t>
            </w:r>
          </w:p>
        </w:tc>
        <w:tc>
          <w:tcPr>
            <w:tcW w:w="186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110"/>
              <w:spacing w:after="0"/>
              <w:rPr>
                <w:sz w:val="20"/>
                <w:szCs w:val="20"/>
                <w:color w:val="auto"/>
              </w:rPr>
            </w:pPr>
            <w:r>
              <w:rPr>
                <w:rFonts w:ascii="Arial" w:cs="Arial" w:eastAsia="Arial" w:hAnsi="Arial"/>
                <w:sz w:val="18"/>
                <w:szCs w:val="18"/>
                <w:b w:val="1"/>
                <w:bCs w:val="1"/>
                <w:color w:val="auto"/>
              </w:rPr>
              <w:t>888</w:t>
            </w:r>
          </w:p>
        </w:tc>
        <w:tc>
          <w:tcPr>
            <w:tcW w:w="5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181</w:t>
            </w:r>
          </w:p>
        </w:tc>
      </w:tr>
      <w:tr>
        <w:trPr>
          <w:trHeight w:val="230"/>
        </w:trPr>
        <w:tc>
          <w:tcPr>
            <w:tcW w:w="6220" w:type="dxa"/>
            <w:vAlign w:val="bottom"/>
          </w:tcPr>
          <w:p>
            <w:pPr>
              <w:spacing w:after="0"/>
              <w:rPr>
                <w:sz w:val="20"/>
                <w:szCs w:val="20"/>
                <w:color w:val="auto"/>
              </w:rPr>
            </w:pPr>
            <w:r>
              <w:rPr>
                <w:rFonts w:ascii="Arial" w:cs="Arial" w:eastAsia="Arial" w:hAnsi="Arial"/>
                <w:sz w:val="18"/>
                <w:szCs w:val="18"/>
                <w:color w:val="auto"/>
              </w:rPr>
              <w:t>Deferred compensation and restricted stock</w:t>
            </w:r>
          </w:p>
        </w:tc>
        <w:tc>
          <w:tcPr>
            <w:tcW w:w="1860" w:type="dxa"/>
            <w:vAlign w:val="bottom"/>
          </w:tcPr>
          <w:p>
            <w:pPr>
              <w:spacing w:after="0"/>
              <w:rPr>
                <w:sz w:val="19"/>
                <w:szCs w:val="19"/>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b w:val="1"/>
                <w:bCs w:val="1"/>
                <w:color w:val="auto"/>
              </w:rPr>
              <w:t>2,945</w:t>
            </w:r>
          </w:p>
        </w:tc>
        <w:tc>
          <w:tcPr>
            <w:tcW w:w="500" w:type="dxa"/>
            <w:vAlign w:val="bottom"/>
          </w:tcPr>
          <w:p>
            <w:pPr>
              <w:spacing w:after="0"/>
              <w:rPr>
                <w:sz w:val="19"/>
                <w:szCs w:val="19"/>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3,344</w:t>
            </w:r>
          </w:p>
        </w:tc>
      </w:tr>
      <w:tr>
        <w:trPr>
          <w:trHeight w:val="230"/>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Identified intangibles</w:t>
            </w:r>
          </w:p>
        </w:tc>
        <w:tc>
          <w:tcPr>
            <w:tcW w:w="186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110"/>
              <w:spacing w:after="0"/>
              <w:rPr>
                <w:sz w:val="20"/>
                <w:szCs w:val="20"/>
                <w:color w:val="auto"/>
              </w:rPr>
            </w:pPr>
            <w:r>
              <w:rPr>
                <w:rFonts w:ascii="Arial" w:cs="Arial" w:eastAsia="Arial" w:hAnsi="Arial"/>
                <w:sz w:val="18"/>
                <w:szCs w:val="18"/>
                <w:b w:val="1"/>
                <w:bCs w:val="1"/>
                <w:color w:val="auto"/>
              </w:rPr>
              <w:t>1,586</w:t>
            </w:r>
          </w:p>
        </w:tc>
        <w:tc>
          <w:tcPr>
            <w:tcW w:w="5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29"/>
        </w:trPr>
        <w:tc>
          <w:tcPr>
            <w:tcW w:w="6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8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34</w:t>
            </w:r>
          </w:p>
        </w:tc>
        <w:tc>
          <w:tcPr>
            <w:tcW w:w="5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144</w:t>
            </w:r>
          </w:p>
        </w:tc>
      </w:tr>
      <w:tr>
        <w:trPr>
          <w:trHeight w:val="223"/>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Gross deferred tax assets</w:t>
            </w:r>
          </w:p>
        </w:tc>
        <w:tc>
          <w:tcPr>
            <w:tcW w:w="186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110"/>
              <w:spacing w:after="0"/>
              <w:rPr>
                <w:sz w:val="20"/>
                <w:szCs w:val="20"/>
                <w:color w:val="auto"/>
              </w:rPr>
            </w:pPr>
            <w:r>
              <w:rPr>
                <w:rFonts w:ascii="Arial" w:cs="Arial" w:eastAsia="Arial" w:hAnsi="Arial"/>
                <w:sz w:val="18"/>
                <w:szCs w:val="18"/>
                <w:b w:val="1"/>
                <w:bCs w:val="1"/>
                <w:color w:val="auto"/>
              </w:rPr>
              <w:t>252,318</w:t>
            </w:r>
          </w:p>
        </w:tc>
        <w:tc>
          <w:tcPr>
            <w:tcW w:w="5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225,283</w:t>
            </w:r>
          </w:p>
        </w:tc>
      </w:tr>
      <w:tr>
        <w:trPr>
          <w:trHeight w:val="229"/>
        </w:trPr>
        <w:tc>
          <w:tcPr>
            <w:tcW w:w="6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tax asset valuation allowance</w:t>
            </w:r>
          </w:p>
        </w:tc>
        <w:tc>
          <w:tcPr>
            <w:tcW w:w="18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(36,561)</w:t>
            </w:r>
          </w:p>
        </w:tc>
        <w:tc>
          <w:tcPr>
            <w:tcW w:w="5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(23,333)</w:t>
            </w:r>
          </w:p>
        </w:tc>
      </w:tr>
      <w:tr>
        <w:trPr>
          <w:trHeight w:val="223"/>
        </w:trPr>
        <w:tc>
          <w:tcPr>
            <w:tcW w:w="6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Deferred tax asset net of valuation allowance</w:t>
            </w:r>
          </w:p>
        </w:tc>
        <w:tc>
          <w:tcPr>
            <w:tcW w:w="18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auto"/>
              </w:rPr>
              <w:t>215,757</w:t>
            </w:r>
          </w:p>
        </w:tc>
        <w:tc>
          <w:tcPr>
            <w:tcW w:w="5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201,950</w:t>
            </w:r>
          </w:p>
        </w:tc>
      </w:tr>
      <w:tr>
        <w:trPr>
          <w:trHeight w:val="223"/>
        </w:trPr>
        <w:tc>
          <w:tcPr>
            <w:tcW w:w="6220" w:type="dxa"/>
            <w:vAlign w:val="bottom"/>
          </w:tcPr>
          <w:p>
            <w:pPr>
              <w:spacing w:after="0"/>
              <w:rPr>
                <w:sz w:val="20"/>
                <w:szCs w:val="20"/>
                <w:color w:val="auto"/>
              </w:rPr>
            </w:pPr>
            <w:r>
              <w:rPr>
                <w:rFonts w:ascii="Arial" w:cs="Arial" w:eastAsia="Arial" w:hAnsi="Arial"/>
                <w:sz w:val="18"/>
                <w:szCs w:val="18"/>
                <w:color w:val="auto"/>
              </w:rPr>
              <w:t>Identified intangibles</w:t>
            </w:r>
          </w:p>
        </w:tc>
        <w:tc>
          <w:tcPr>
            <w:tcW w:w="186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(4,677)</w:t>
            </w: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(3,616)</w:t>
            </w:r>
          </w:p>
        </w:tc>
      </w:tr>
      <w:tr>
        <w:trPr>
          <w:trHeight w:val="229"/>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Prepaids</w:t>
            </w:r>
          </w:p>
        </w:tc>
        <w:tc>
          <w:tcPr>
            <w:tcW w:w="186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(1,765)</w:t>
            </w:r>
          </w:p>
        </w:tc>
        <w:tc>
          <w:tcPr>
            <w:tcW w:w="5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(1,929)</w:t>
            </w:r>
          </w:p>
        </w:tc>
      </w:tr>
      <w:tr>
        <w:trPr>
          <w:trHeight w:val="230"/>
        </w:trPr>
        <w:tc>
          <w:tcPr>
            <w:tcW w:w="6220" w:type="dxa"/>
            <w:vAlign w:val="bottom"/>
          </w:tcPr>
          <w:p>
            <w:pPr>
              <w:spacing w:after="0"/>
              <w:rPr>
                <w:sz w:val="20"/>
                <w:szCs w:val="20"/>
                <w:color w:val="auto"/>
              </w:rPr>
            </w:pPr>
            <w:r>
              <w:rPr>
                <w:rFonts w:ascii="Arial" w:cs="Arial" w:eastAsia="Arial" w:hAnsi="Arial"/>
                <w:sz w:val="18"/>
                <w:szCs w:val="18"/>
                <w:color w:val="auto"/>
              </w:rPr>
              <w:t>Right of use asset</w:t>
            </w:r>
          </w:p>
        </w:tc>
        <w:tc>
          <w:tcPr>
            <w:tcW w:w="186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(163,674)</w:t>
            </w: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(176,930)</w:t>
            </w:r>
          </w:p>
        </w:tc>
      </w:tr>
      <w:tr>
        <w:trPr>
          <w:trHeight w:val="230"/>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Tax over book depreciation</w:t>
            </w:r>
          </w:p>
        </w:tc>
        <w:tc>
          <w:tcPr>
            <w:tcW w:w="186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(64,009)</w:t>
            </w:r>
          </w:p>
        </w:tc>
        <w:tc>
          <w:tcPr>
            <w:tcW w:w="5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6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8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(1,120)</w:t>
            </w:r>
          </w:p>
        </w:tc>
        <w:tc>
          <w:tcPr>
            <w:tcW w:w="5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r>
      <w:tr>
        <w:trPr>
          <w:trHeight w:val="223"/>
        </w:trPr>
        <w:tc>
          <w:tcPr>
            <w:tcW w:w="6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Gross deferred tax liabilities</w:t>
            </w:r>
          </w:p>
        </w:tc>
        <w:tc>
          <w:tcPr>
            <w:tcW w:w="18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(235,245)</w:t>
            </w:r>
          </w:p>
        </w:tc>
        <w:tc>
          <w:tcPr>
            <w:tcW w:w="5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(182,475)</w:t>
            </w:r>
          </w:p>
        </w:tc>
      </w:tr>
      <w:tr>
        <w:trPr>
          <w:trHeight w:val="223"/>
        </w:trPr>
        <w:tc>
          <w:tcPr>
            <w:tcW w:w="6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Deferred Tax Assets (Liabilities)</w:t>
            </w:r>
          </w:p>
        </w:tc>
        <w:tc>
          <w:tcPr>
            <w:tcW w:w="1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(19,488)</w:t>
            </w:r>
          </w:p>
        </w:tc>
        <w:tc>
          <w:tcPr>
            <w:tcW w:w="5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19,475</w:t>
            </w:r>
          </w:p>
        </w:tc>
      </w:tr>
      <w:tr>
        <w:trPr>
          <w:trHeight w:val="20"/>
        </w:trPr>
        <w:tc>
          <w:tcPr>
            <w:tcW w:w="6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have an income tax receivable of $108.6 million included in prepaids and other current assets on the Consolidated Balance Sheets as of January 30, 2021.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60" w:type="dxa"/>
            <w:vAlign w:val="bottom"/>
          </w:tcPr>
          <w:p>
            <w:pPr>
              <w:spacing w:after="0"/>
              <w:rPr>
                <w:sz w:val="20"/>
                <w:szCs w:val="20"/>
                <w:color w:val="auto"/>
              </w:rPr>
            </w:pPr>
            <w:r>
              <w:rPr>
                <w:rFonts w:ascii="Arial" w:cs="Arial" w:eastAsia="Arial" w:hAnsi="Arial"/>
                <w:sz w:val="18"/>
                <w:szCs w:val="18"/>
                <w:color w:val="auto"/>
                <w:w w:val="95"/>
              </w:rPr>
              <w:t>The deferred tax balances have been classified in our Consolidated Balance Sheets as follows:</w:t>
            </w:r>
          </w:p>
        </w:tc>
        <w:tc>
          <w:tcPr>
            <w:tcW w:w="10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45"/>
        </w:trPr>
        <w:tc>
          <w:tcPr>
            <w:tcW w:w="7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6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2020</w:t>
            </w:r>
          </w:p>
        </w:tc>
      </w:tr>
      <w:tr>
        <w:trPr>
          <w:trHeight w:val="223"/>
        </w:trPr>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Net non-current asset</w:t>
            </w:r>
          </w:p>
        </w:tc>
        <w:tc>
          <w:tcPr>
            <w:tcW w:w="1000" w:type="dxa"/>
            <w:vAlign w:val="bottom"/>
            <w:shd w:val="clear" w:color="auto" w:fill="CFF0FC"/>
          </w:tcPr>
          <w:p>
            <w:pPr>
              <w:jc w:val="right"/>
              <w:ind w:right="35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FF0FC"/>
          </w:tcPr>
          <w:p>
            <w:pPr>
              <w:jc w:val="right"/>
              <w:ind w:right="11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19,475</w:t>
            </w:r>
          </w:p>
        </w:tc>
      </w:tr>
      <w:tr>
        <w:trPr>
          <w:trHeight w:val="230"/>
        </w:trPr>
        <w:tc>
          <w:tcPr>
            <w:tcW w:w="7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non-current liability</w:t>
            </w:r>
          </w:p>
        </w:tc>
        <w:tc>
          <w:tcPr>
            <w:tcW w:w="10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(19,488)</w:t>
            </w:r>
          </w:p>
        </w:tc>
        <w:tc>
          <w:tcPr>
            <w:tcW w:w="6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r>
      <w:tr>
        <w:trPr>
          <w:trHeight w:val="223"/>
        </w:trPr>
        <w:tc>
          <w:tcPr>
            <w:tcW w:w="72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Net Deferred Tax Assets</w:t>
            </w:r>
          </w:p>
        </w:tc>
        <w:tc>
          <w:tcPr>
            <w:tcW w:w="100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(19,488)</w:t>
            </w:r>
          </w:p>
        </w:tc>
        <w:tc>
          <w:tcPr>
            <w:tcW w:w="6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19,475</w:t>
            </w:r>
          </w:p>
        </w:tc>
      </w:tr>
      <w:tr>
        <w:trPr>
          <w:trHeight w:val="20"/>
        </w:trPr>
        <w:tc>
          <w:tcPr>
            <w:tcW w:w="7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Taxes, Continued</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January 30, 2021 and February 1, 2020, we had state net operating loss carryforwards of $22.4 million and $3.4 million, respectively. We provided a valuation allowance against these attributes of $3.2 million as of January 30, 2021 and February 1, 2020. The attributes expire in fiscal years 2022 through 2039.</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January 30, 2021 and February 1, 2020, we had state tax credits of $0.5 million and $0.6 million, respectively. These credits expire in fiscal years 2022 through 2026.</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January 30, 2021 and February 1, 2020, we had foreign net operating loss carryforwards of $57.6 million and $29.5 million, respectively, which have a carryforward period at least 18 years.</w:t>
      </w:r>
    </w:p>
    <w:p>
      <w:pPr>
        <w:spacing w:after="0" w:line="14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January 30, 2021, we have provided a total valuation allowance of approximately $36.6 million on deferred tax assets associated primarily with foreign and state net operating losses for which management has determined it is more likely than not that the deferred tax assets will not be realized. The $13.3 million net increase in valuation allowance during Fiscal 2021 from the $23.3 million provided for as of February 1, 2020 relates primarily to foreign tax attributes. Management believes that it is more likely than not that the remaining deferred tax assets will be fully realized.</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January 30, 2021, no deferred taxes have been provided on the accumulated undistributed earnings of our foreign operations beyond the amounts recorded for deemed repatriation of such earnings, as required in the Act. An actual repatriation of earnings from our foreign operations could still be subject to additional foreign withholding and U.S. state taxes. Based upon evaluation of our foreign operations, undistributed earnings are intended to remain permanently reinvested to finance anticipated future growth and expansion, and accordingly, deferred taxes have not been provided. If undistributed earnings of our foreign operations were not considered permanently reinvested as of January 30, 2021, an immaterial amount of additional deferred taxes would have been provided.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tabular reconciliation of the total amounts of unrecognized tax benefits for Fiscal 2021, 2020 and 2019.</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15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2020</w:t>
            </w:r>
          </w:p>
        </w:tc>
        <w:tc>
          <w:tcPr>
            <w:tcW w:w="5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r>
      <w:tr>
        <w:trPr>
          <w:trHeight w:val="223"/>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Unrecognized Tax Benefit – Beginning of Period</w:t>
            </w:r>
          </w:p>
        </w:tc>
        <w:tc>
          <w:tcPr>
            <w:tcW w:w="1540" w:type="dxa"/>
            <w:vAlign w:val="bottom"/>
            <w:shd w:val="clear" w:color="auto" w:fill="CFF0FC"/>
          </w:tcPr>
          <w:p>
            <w:pPr>
              <w:jc w:val="right"/>
              <w:ind w:right="33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178</w:t>
            </w:r>
          </w:p>
        </w:tc>
        <w:tc>
          <w:tcPr>
            <w:tcW w:w="62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1,835</w:t>
            </w:r>
          </w:p>
        </w:tc>
        <w:tc>
          <w:tcPr>
            <w:tcW w:w="56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3,701</w:t>
            </w: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Gross Increases (Decreases) – Tax Positions in a Current Period</w:t>
            </w:r>
          </w:p>
        </w:tc>
        <w:tc>
          <w:tcPr>
            <w:tcW w:w="154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178</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(638)</w:t>
            </w:r>
          </w:p>
        </w:tc>
      </w:tr>
      <w:tr>
        <w:trPr>
          <w:trHeight w:val="230"/>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Settlements</w:t>
            </w:r>
          </w:p>
        </w:tc>
        <w:tc>
          <w:tcPr>
            <w:tcW w:w="15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(931)</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Lapse of Statutes of Limitations</w:t>
            </w:r>
          </w:p>
        </w:tc>
        <w:tc>
          <w:tcPr>
            <w:tcW w:w="1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(904)</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w:t>
            </w:r>
          </w:p>
        </w:tc>
      </w:tr>
      <w:tr>
        <w:trPr>
          <w:trHeight w:val="223"/>
        </w:trPr>
        <w:tc>
          <w:tcPr>
            <w:tcW w:w="56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Unrecognized Tax Benefit – End of Period</w:t>
            </w:r>
          </w:p>
        </w:tc>
        <w:tc>
          <w:tcPr>
            <w:tcW w:w="154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178</w:t>
            </w:r>
          </w:p>
        </w:tc>
        <w:tc>
          <w:tcPr>
            <w:tcW w:w="62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178</w:t>
            </w:r>
          </w:p>
        </w:tc>
        <w:tc>
          <w:tcPr>
            <w:tcW w:w="56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1,835</w:t>
            </w:r>
          </w:p>
        </w:tc>
      </w:tr>
      <w:tr>
        <w:trPr>
          <w:trHeight w:val="20"/>
        </w:trPr>
        <w:tc>
          <w:tcPr>
            <w:tcW w:w="56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amount of unrecognized tax benefits as of January 30, 2021, February 1, 2020 and February 2, 2019 which would impact the annual effective rate if recognized were $0.2 million, $0.2 million and $0.6 million, respectively. The amount of unrecognized tax benefits may change during the next twelve months but we do not believe the change, if any, will be material to our consolidated financial position or results of operations.</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 interest expense and penalties related to the above unrecognized tax benefits within income tax expense on the Consolidated Statements of Operations and it was not material for Fiscal 2021, 2020 or 2019.</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file income tax returns in federal and in many state and local jurisdictions as well as foreign jurisdictions. With few exceptions, our state and local income tax returns for fiscal years ended January 31, 2018 and beyond remain subject to examination. In addition, we have subsidiaries in various foreign jurisdictions that have statutes of limitation generally ranging from two to six years. Our US federal income tax returns for fiscal years ended January 31, 2018 and beyond remain subject to examination.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Postretirement Benefit Plans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provide health care benefits for early retirees that meet certain age and years of service criteria and life insurance benefits for certain retirees. Under the health care plan, early retirees are eligible for benefits until age 65. Employees who met certain requirements are eligible for life insurance benefits. We accrue such benefits during the period in which the employee renders service.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Obligations and Funded Status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measurement date of the assets and liabilities for postretirement medical and life insurance plans is the month-end date that is closest to our fiscal year end.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 in Benefit Obligation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color w:val="auto"/>
              </w:rPr>
              <w:t>Other Benefits</w:t>
            </w:r>
          </w:p>
        </w:tc>
        <w:tc>
          <w:tcPr>
            <w:tcW w:w="940" w:type="dxa"/>
            <w:vAlign w:val="bottom"/>
            <w:tcBorders>
              <w:bottom w:val="single" w:sz="8" w:color="auto"/>
            </w:tcBorders>
          </w:tcPr>
          <w:p>
            <w:pPr>
              <w:spacing w:after="0"/>
              <w:rPr>
                <w:sz w:val="20"/>
                <w:szCs w:val="20"/>
                <w:color w:val="auto"/>
              </w:rPr>
            </w:pPr>
          </w:p>
        </w:tc>
      </w:tr>
      <w:tr>
        <w:trPr>
          <w:trHeight w:val="223"/>
        </w:trPr>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16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8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2020</w:t>
            </w:r>
          </w:p>
        </w:tc>
      </w:tr>
      <w:tr>
        <w:trPr>
          <w:trHeight w:val="223"/>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Benefit obligation at beginning of year</w:t>
            </w:r>
          </w:p>
        </w:tc>
        <w:tc>
          <w:tcPr>
            <w:tcW w:w="1600" w:type="dxa"/>
            <w:vAlign w:val="bottom"/>
            <w:shd w:val="clear" w:color="auto" w:fill="CFF0FC"/>
          </w:tcPr>
          <w:p>
            <w:pPr>
              <w:jc w:val="right"/>
              <w:ind w:right="41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FF0FC"/>
          </w:tcPr>
          <w:p>
            <w:pPr>
              <w:jc w:val="right"/>
              <w:ind w:right="110"/>
              <w:spacing w:after="0"/>
              <w:rPr>
                <w:sz w:val="20"/>
                <w:szCs w:val="20"/>
                <w:color w:val="auto"/>
              </w:rPr>
            </w:pPr>
            <w:r>
              <w:rPr>
                <w:rFonts w:ascii="Arial" w:cs="Arial" w:eastAsia="Arial" w:hAnsi="Arial"/>
                <w:sz w:val="18"/>
                <w:szCs w:val="18"/>
                <w:b w:val="1"/>
                <w:bCs w:val="1"/>
                <w:color w:val="auto"/>
              </w:rPr>
              <w:t>7,025</w:t>
            </w:r>
          </w:p>
        </w:tc>
        <w:tc>
          <w:tcPr>
            <w:tcW w:w="840" w:type="dxa"/>
            <w:vAlign w:val="bottom"/>
            <w:shd w:val="clear" w:color="auto" w:fill="CFF0FC"/>
          </w:tcPr>
          <w:p>
            <w:pPr>
              <w:jc w:val="right"/>
              <w:ind w:right="5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4,525</w:t>
            </w:r>
          </w:p>
        </w:tc>
      </w:tr>
      <w:tr>
        <w:trPr>
          <w:trHeight w:val="229"/>
        </w:trPr>
        <w:tc>
          <w:tcPr>
            <w:tcW w:w="6720" w:type="dxa"/>
            <w:vAlign w:val="bottom"/>
          </w:tcPr>
          <w:p>
            <w:pPr>
              <w:spacing w:after="0"/>
              <w:rPr>
                <w:sz w:val="20"/>
                <w:szCs w:val="20"/>
                <w:color w:val="auto"/>
              </w:rPr>
            </w:pPr>
            <w:r>
              <w:rPr>
                <w:rFonts w:ascii="Arial" w:cs="Arial" w:eastAsia="Arial" w:hAnsi="Arial"/>
                <w:sz w:val="18"/>
                <w:szCs w:val="18"/>
                <w:color w:val="auto"/>
              </w:rPr>
              <w:t>Service cost</w:t>
            </w:r>
          </w:p>
        </w:tc>
        <w:tc>
          <w:tcPr>
            <w:tcW w:w="1600" w:type="dxa"/>
            <w:vAlign w:val="bottom"/>
          </w:tcPr>
          <w:p>
            <w:pPr>
              <w:spacing w:after="0"/>
              <w:rPr>
                <w:sz w:val="19"/>
                <w:szCs w:val="19"/>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b w:val="1"/>
                <w:bCs w:val="1"/>
                <w:color w:val="auto"/>
              </w:rPr>
              <w:t>89</w:t>
            </w:r>
          </w:p>
        </w:tc>
        <w:tc>
          <w:tcPr>
            <w:tcW w:w="84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89</w:t>
            </w:r>
          </w:p>
        </w:tc>
      </w:tr>
      <w:tr>
        <w:trPr>
          <w:trHeight w:val="229"/>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Interest cost</w:t>
            </w:r>
          </w:p>
        </w:tc>
        <w:tc>
          <w:tcPr>
            <w:tcW w:w="16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10"/>
              <w:spacing w:after="0"/>
              <w:rPr>
                <w:sz w:val="20"/>
                <w:szCs w:val="20"/>
                <w:color w:val="auto"/>
              </w:rPr>
            </w:pPr>
            <w:r>
              <w:rPr>
                <w:rFonts w:ascii="Arial" w:cs="Arial" w:eastAsia="Arial" w:hAnsi="Arial"/>
                <w:sz w:val="18"/>
                <w:szCs w:val="18"/>
                <w:b w:val="1"/>
                <w:bCs w:val="1"/>
                <w:color w:val="auto"/>
              </w:rPr>
              <w:t>124</w:t>
            </w:r>
          </w:p>
        </w:tc>
        <w:tc>
          <w:tcPr>
            <w:tcW w:w="8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151</w:t>
            </w: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Plan participants’ contributions</w:t>
            </w:r>
          </w:p>
        </w:tc>
        <w:tc>
          <w:tcPr>
            <w:tcW w:w="1600" w:type="dxa"/>
            <w:vAlign w:val="bottom"/>
          </w:tcPr>
          <w:p>
            <w:pPr>
              <w:spacing w:after="0"/>
              <w:rPr>
                <w:sz w:val="19"/>
                <w:szCs w:val="19"/>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b w:val="1"/>
                <w:bCs w:val="1"/>
                <w:color w:val="auto"/>
              </w:rPr>
              <w:t>134</w:t>
            </w:r>
          </w:p>
        </w:tc>
        <w:tc>
          <w:tcPr>
            <w:tcW w:w="84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111</w:t>
            </w:r>
          </w:p>
        </w:tc>
      </w:tr>
      <w:tr>
        <w:trPr>
          <w:trHeight w:val="229"/>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Asset transfer</w:t>
            </w:r>
          </w:p>
        </w:tc>
        <w:tc>
          <w:tcPr>
            <w:tcW w:w="16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1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29"/>
        </w:trPr>
        <w:tc>
          <w:tcPr>
            <w:tcW w:w="6720" w:type="dxa"/>
            <w:vAlign w:val="bottom"/>
          </w:tcPr>
          <w:p>
            <w:pPr>
              <w:spacing w:after="0"/>
              <w:rPr>
                <w:sz w:val="20"/>
                <w:szCs w:val="20"/>
                <w:color w:val="auto"/>
              </w:rPr>
            </w:pPr>
            <w:r>
              <w:rPr>
                <w:rFonts w:ascii="Arial" w:cs="Arial" w:eastAsia="Arial" w:hAnsi="Arial"/>
                <w:sz w:val="18"/>
                <w:szCs w:val="18"/>
                <w:color w:val="auto"/>
              </w:rPr>
              <w:t>Benefits paid</w:t>
            </w:r>
          </w:p>
        </w:tc>
        <w:tc>
          <w:tcPr>
            <w:tcW w:w="16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(550)</w:t>
            </w:r>
          </w:p>
        </w:tc>
        <w:tc>
          <w:tcPr>
            <w:tcW w:w="8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(591)</w:t>
            </w:r>
          </w:p>
        </w:tc>
      </w:tr>
      <w:tr>
        <w:trPr>
          <w:trHeight w:val="230"/>
        </w:trPr>
        <w:tc>
          <w:tcPr>
            <w:tcW w:w="67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Actuarial (gain) loss</w:t>
            </w:r>
          </w:p>
        </w:tc>
        <w:tc>
          <w:tcPr>
            <w:tcW w:w="16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(1,216)</w:t>
            </w:r>
          </w:p>
        </w:tc>
        <w:tc>
          <w:tcPr>
            <w:tcW w:w="8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2,740</w:t>
            </w:r>
          </w:p>
        </w:tc>
      </w:tr>
      <w:tr>
        <w:trPr>
          <w:trHeight w:val="223"/>
        </w:trPr>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Benefit Obligation at End of Year</w:t>
            </w:r>
          </w:p>
        </w:tc>
        <w:tc>
          <w:tcPr>
            <w:tcW w:w="1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5,606</w:t>
            </w:r>
          </w:p>
        </w:tc>
        <w:tc>
          <w:tcPr>
            <w:tcW w:w="8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7,025</w:t>
            </w:r>
          </w:p>
        </w:tc>
      </w:tr>
      <w:tr>
        <w:trPr>
          <w:trHeight w:val="223"/>
        </w:trPr>
        <w:tc>
          <w:tcPr>
            <w:tcW w:w="67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Funded Status at End of Year</w:t>
            </w:r>
          </w:p>
        </w:tc>
        <w:tc>
          <w:tcPr>
            <w:tcW w:w="1600" w:type="dxa"/>
            <w:vAlign w:val="bottom"/>
            <w:tcBorders>
              <w:bottom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(5,606)</w:t>
            </w:r>
          </w:p>
        </w:tc>
        <w:tc>
          <w:tcPr>
            <w:tcW w:w="840" w:type="dxa"/>
            <w:vAlign w:val="bottom"/>
            <w:tcBorders>
              <w:bottom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(7,025)</w:t>
            </w:r>
          </w:p>
        </w:tc>
      </w:tr>
      <w:tr>
        <w:trPr>
          <w:trHeight w:val="20"/>
        </w:trPr>
        <w:tc>
          <w:tcPr>
            <w:tcW w:w="67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13"/>
        </w:trPr>
        <w:tc>
          <w:tcPr>
            <w:tcW w:w="6720" w:type="dxa"/>
            <w:vAlign w:val="bottom"/>
          </w:tcPr>
          <w:p>
            <w:pPr>
              <w:spacing w:after="0"/>
              <w:rPr>
                <w:sz w:val="20"/>
                <w:szCs w:val="20"/>
                <w:color w:val="auto"/>
              </w:rPr>
            </w:pPr>
            <w:r>
              <w:rPr>
                <w:rFonts w:ascii="Arial" w:cs="Arial" w:eastAsia="Arial" w:hAnsi="Arial"/>
                <w:sz w:val="18"/>
                <w:szCs w:val="18"/>
                <w:color w:val="auto"/>
              </w:rPr>
              <w:t>Amounts recognized in the Consolidated Balance Sheets consist of:</w:t>
            </w:r>
          </w:p>
        </w:tc>
        <w:tc>
          <w:tcPr>
            <w:tcW w:w="1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45"/>
        </w:trPr>
        <w:tc>
          <w:tcPr>
            <w:tcW w:w="67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color w:val="auto"/>
              </w:rPr>
              <w:t>Other Benefits</w:t>
            </w:r>
          </w:p>
        </w:tc>
        <w:tc>
          <w:tcPr>
            <w:tcW w:w="940" w:type="dxa"/>
            <w:vAlign w:val="bottom"/>
            <w:tcBorders>
              <w:bottom w:val="single" w:sz="8" w:color="auto"/>
            </w:tcBorders>
          </w:tcPr>
          <w:p>
            <w:pPr>
              <w:spacing w:after="0"/>
              <w:rPr>
                <w:sz w:val="24"/>
                <w:szCs w:val="24"/>
                <w:color w:val="auto"/>
              </w:rPr>
            </w:pPr>
          </w:p>
        </w:tc>
      </w:tr>
      <w:tr>
        <w:trPr>
          <w:trHeight w:val="223"/>
        </w:trPr>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16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8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2020</w:t>
            </w:r>
          </w:p>
        </w:tc>
      </w:tr>
      <w:tr>
        <w:trPr>
          <w:trHeight w:val="223"/>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600" w:type="dxa"/>
            <w:vAlign w:val="bottom"/>
            <w:shd w:val="clear" w:color="auto" w:fill="CFF0FC"/>
          </w:tcPr>
          <w:p>
            <w:pPr>
              <w:jc w:val="right"/>
              <w:ind w:right="41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(708)</w:t>
            </w:r>
          </w:p>
        </w:tc>
        <w:tc>
          <w:tcPr>
            <w:tcW w:w="840" w:type="dxa"/>
            <w:vAlign w:val="bottom"/>
            <w:shd w:val="clear" w:color="auto" w:fill="CFF0FC"/>
          </w:tcPr>
          <w:p>
            <w:pPr>
              <w:jc w:val="right"/>
              <w:ind w:right="5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w:t>
            </w:r>
          </w:p>
        </w:tc>
      </w:tr>
      <w:tr>
        <w:trPr>
          <w:trHeight w:val="230"/>
        </w:trPr>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Noncurrent liabilities</w:t>
            </w:r>
          </w:p>
        </w:tc>
        <w:tc>
          <w:tcPr>
            <w:tcW w:w="16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(4,898)</w:t>
            </w:r>
          </w:p>
        </w:tc>
        <w:tc>
          <w:tcPr>
            <w:tcW w:w="8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(6,422)</w:t>
            </w:r>
          </w:p>
        </w:tc>
      </w:tr>
      <w:tr>
        <w:trPr>
          <w:trHeight w:val="223"/>
        </w:trPr>
        <w:tc>
          <w:tcPr>
            <w:tcW w:w="67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Net Amount Recognized</w:t>
            </w:r>
          </w:p>
        </w:tc>
        <w:tc>
          <w:tcPr>
            <w:tcW w:w="1600" w:type="dxa"/>
            <w:vAlign w:val="bottom"/>
            <w:tcBorders>
              <w:bottom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(5,606)</w:t>
            </w:r>
          </w:p>
        </w:tc>
        <w:tc>
          <w:tcPr>
            <w:tcW w:w="840" w:type="dxa"/>
            <w:vAlign w:val="bottom"/>
            <w:tcBorders>
              <w:bottom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(7,025)</w:t>
            </w:r>
          </w:p>
        </w:tc>
      </w:tr>
      <w:tr>
        <w:trPr>
          <w:trHeight w:val="20"/>
        </w:trPr>
        <w:tc>
          <w:tcPr>
            <w:tcW w:w="67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13"/>
        </w:trPr>
        <w:tc>
          <w:tcPr>
            <w:tcW w:w="6720" w:type="dxa"/>
            <w:vAlign w:val="bottom"/>
          </w:tcPr>
          <w:p>
            <w:pPr>
              <w:spacing w:after="0"/>
              <w:rPr>
                <w:sz w:val="20"/>
                <w:szCs w:val="20"/>
                <w:color w:val="auto"/>
              </w:rPr>
            </w:pPr>
            <w:r>
              <w:rPr>
                <w:rFonts w:ascii="Arial" w:cs="Arial" w:eastAsia="Arial" w:hAnsi="Arial"/>
                <w:sz w:val="18"/>
                <w:szCs w:val="18"/>
                <w:color w:val="auto"/>
              </w:rPr>
              <w:t>Amounts recognized in accumulated other comprehensive income consist of:</w:t>
            </w:r>
          </w:p>
        </w:tc>
        <w:tc>
          <w:tcPr>
            <w:tcW w:w="1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45"/>
        </w:trPr>
        <w:tc>
          <w:tcPr>
            <w:tcW w:w="67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color w:val="auto"/>
              </w:rPr>
              <w:t>Other Benefits</w:t>
            </w:r>
          </w:p>
        </w:tc>
        <w:tc>
          <w:tcPr>
            <w:tcW w:w="940" w:type="dxa"/>
            <w:vAlign w:val="bottom"/>
            <w:tcBorders>
              <w:bottom w:val="single" w:sz="8" w:color="auto"/>
            </w:tcBorders>
          </w:tcPr>
          <w:p>
            <w:pPr>
              <w:spacing w:after="0"/>
              <w:rPr>
                <w:sz w:val="24"/>
                <w:szCs w:val="24"/>
                <w:color w:val="auto"/>
              </w:rPr>
            </w:pPr>
          </w:p>
        </w:tc>
      </w:tr>
      <w:tr>
        <w:trPr>
          <w:trHeight w:val="223"/>
        </w:trPr>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16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8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2020</w:t>
            </w:r>
          </w:p>
        </w:tc>
      </w:tr>
      <w:tr>
        <w:trPr>
          <w:trHeight w:val="223"/>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Prior service cost</w:t>
            </w:r>
          </w:p>
        </w:tc>
        <w:tc>
          <w:tcPr>
            <w:tcW w:w="1600" w:type="dxa"/>
            <w:vAlign w:val="bottom"/>
            <w:shd w:val="clear" w:color="auto" w:fill="CFF0FC"/>
          </w:tcPr>
          <w:p>
            <w:pPr>
              <w:jc w:val="right"/>
              <w:ind w:right="41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(322)</w:t>
            </w:r>
          </w:p>
        </w:tc>
        <w:tc>
          <w:tcPr>
            <w:tcW w:w="840" w:type="dxa"/>
            <w:vAlign w:val="bottom"/>
            <w:shd w:val="clear" w:color="auto" w:fill="CFF0FC"/>
          </w:tcPr>
          <w:p>
            <w:pPr>
              <w:jc w:val="right"/>
              <w:ind w:right="5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(1,244)</w:t>
            </w:r>
          </w:p>
        </w:tc>
      </w:tr>
      <w:tr>
        <w:trPr>
          <w:trHeight w:val="229"/>
        </w:trPr>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loss (gain)</w:t>
            </w:r>
          </w:p>
        </w:tc>
        <w:tc>
          <w:tcPr>
            <w:tcW w:w="16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1,040</w:t>
            </w:r>
          </w:p>
        </w:tc>
        <w:tc>
          <w:tcPr>
            <w:tcW w:w="8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2,384</w:t>
            </w:r>
          </w:p>
        </w:tc>
      </w:tr>
      <w:tr>
        <w:trPr>
          <w:trHeight w:val="223"/>
        </w:trPr>
        <w:tc>
          <w:tcPr>
            <w:tcW w:w="67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Total Recognized in Accumulated Other Comprehensive Loss</w:t>
            </w:r>
          </w:p>
        </w:tc>
        <w:tc>
          <w:tcPr>
            <w:tcW w:w="1600" w:type="dxa"/>
            <w:vAlign w:val="bottom"/>
            <w:tcBorders>
              <w:bottom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auto"/>
              </w:rPr>
              <w:t>718</w:t>
            </w:r>
          </w:p>
        </w:tc>
        <w:tc>
          <w:tcPr>
            <w:tcW w:w="840" w:type="dxa"/>
            <w:vAlign w:val="bottom"/>
            <w:tcBorders>
              <w:bottom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1,140</w:t>
            </w:r>
          </w:p>
        </w:tc>
      </w:tr>
      <w:tr>
        <w:trPr>
          <w:trHeight w:val="20"/>
        </w:trPr>
        <w:tc>
          <w:tcPr>
            <w:tcW w:w="67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629"/>
        </w:trPr>
        <w:tc>
          <w:tcPr>
            <w:tcW w:w="6720" w:type="dxa"/>
            <w:vAlign w:val="bottom"/>
          </w:tcPr>
          <w:p>
            <w:pPr>
              <w:ind w:left="5540"/>
              <w:spacing w:after="0"/>
              <w:rPr>
                <w:sz w:val="20"/>
                <w:szCs w:val="20"/>
                <w:color w:val="auto"/>
              </w:rPr>
            </w:pPr>
            <w:r>
              <w:rPr>
                <w:rFonts w:ascii="Arial" w:cs="Arial" w:eastAsia="Arial" w:hAnsi="Arial"/>
                <w:sz w:val="18"/>
                <w:szCs w:val="18"/>
                <w:color w:val="auto"/>
              </w:rPr>
              <w:t>72</w:t>
            </w:r>
          </w:p>
        </w:tc>
        <w:tc>
          <w:tcPr>
            <w:tcW w:w="1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15"/>
        </w:trPr>
        <w:tc>
          <w:tcPr>
            <w:tcW w:w="672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Postretirement Benefit Plans, Continued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Net Periodic Benefit Cost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Periodic Benefit Cost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2"/>
              </w:rPr>
              <w:t>Other Benefits</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223"/>
        </w:trPr>
        <w:tc>
          <w:tcPr>
            <w:tcW w:w="64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(In thousands)</w:t>
            </w:r>
          </w:p>
        </w:tc>
        <w:tc>
          <w:tcPr>
            <w:tcW w:w="10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2020</w:t>
            </w:r>
          </w:p>
        </w:tc>
        <w:tc>
          <w:tcPr>
            <w:tcW w:w="2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2019</w:t>
            </w:r>
          </w:p>
        </w:tc>
      </w:tr>
      <w:tr>
        <w:trPr>
          <w:trHeight w:val="223"/>
        </w:trPr>
        <w:tc>
          <w:tcPr>
            <w:tcW w:w="6440" w:type="dxa"/>
            <w:vAlign w:val="bottom"/>
          </w:tcPr>
          <w:p>
            <w:pPr>
              <w:spacing w:after="0"/>
              <w:rPr>
                <w:sz w:val="20"/>
                <w:szCs w:val="20"/>
                <w:color w:val="auto"/>
              </w:rPr>
            </w:pPr>
            <w:r>
              <w:rPr>
                <w:rFonts w:ascii="Arial" w:cs="Arial" w:eastAsia="Arial" w:hAnsi="Arial"/>
                <w:sz w:val="18"/>
                <w:szCs w:val="18"/>
                <w:color w:val="auto"/>
              </w:rPr>
              <w:t>Service cost</w:t>
            </w:r>
          </w:p>
        </w:tc>
        <w:tc>
          <w:tcPr>
            <w:tcW w:w="100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90"/>
              <w:spacing w:after="0"/>
              <w:rPr>
                <w:sz w:val="20"/>
                <w:szCs w:val="20"/>
                <w:color w:val="auto"/>
              </w:rPr>
            </w:pPr>
            <w:r>
              <w:rPr>
                <w:rFonts w:ascii="Arial" w:cs="Arial" w:eastAsia="Arial" w:hAnsi="Arial"/>
                <w:sz w:val="18"/>
                <w:szCs w:val="18"/>
                <w:b w:val="1"/>
                <w:bCs w:val="1"/>
                <w:color w:val="auto"/>
              </w:rPr>
              <w:t>89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89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409</w:t>
            </w:r>
          </w:p>
        </w:tc>
      </w:tr>
      <w:tr>
        <w:trPr>
          <w:trHeight w:val="229"/>
        </w:trPr>
        <w:tc>
          <w:tcPr>
            <w:tcW w:w="64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Interest cost</w:t>
            </w:r>
          </w:p>
        </w:tc>
        <w:tc>
          <w:tcPr>
            <w:tcW w:w="1000" w:type="dxa"/>
            <w:vAlign w:val="bottom"/>
          </w:tcPr>
          <w:p>
            <w:pPr>
              <w:spacing w:after="0"/>
              <w:rPr>
                <w:sz w:val="19"/>
                <w:szCs w:val="19"/>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b w:val="1"/>
                <w:bCs w:val="1"/>
                <w:color w:val="auto"/>
              </w:rPr>
              <w:t>124</w:t>
            </w:r>
          </w:p>
        </w:tc>
        <w:tc>
          <w:tcPr>
            <w:tcW w:w="200" w:type="dxa"/>
            <w:vAlign w:val="bottom"/>
          </w:tcPr>
          <w:p>
            <w:pPr>
              <w:spacing w:after="0"/>
              <w:rPr>
                <w:sz w:val="19"/>
                <w:szCs w:val="19"/>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151</w:t>
            </w:r>
          </w:p>
        </w:tc>
        <w:tc>
          <w:tcPr>
            <w:tcW w:w="26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214</w:t>
            </w:r>
          </w:p>
        </w:tc>
      </w:tr>
      <w:tr>
        <w:trPr>
          <w:trHeight w:val="229"/>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Amortization:</w:t>
            </w:r>
          </w:p>
        </w:tc>
        <w:tc>
          <w:tcPr>
            <w:tcW w:w="10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r>
      <w:tr>
        <w:trPr>
          <w:trHeight w:val="229"/>
        </w:trPr>
        <w:tc>
          <w:tcPr>
            <w:tcW w:w="6440" w:type="dxa"/>
            <w:vAlign w:val="bottom"/>
          </w:tcPr>
          <w:p>
            <w:pPr>
              <w:ind w:left="260"/>
              <w:spacing w:after="0"/>
              <w:rPr>
                <w:sz w:val="20"/>
                <w:szCs w:val="20"/>
                <w:color w:val="auto"/>
              </w:rPr>
            </w:pPr>
            <w:r>
              <w:rPr>
                <w:rFonts w:ascii="Arial" w:cs="Arial" w:eastAsia="Arial" w:hAnsi="Arial"/>
                <w:sz w:val="18"/>
                <w:szCs w:val="18"/>
                <w:color w:val="auto"/>
              </w:rPr>
              <w:t>Prior service cost</w:t>
            </w:r>
          </w:p>
        </w:tc>
        <w:tc>
          <w:tcPr>
            <w:tcW w:w="100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b w:val="1"/>
                <w:bCs w:val="1"/>
                <w:color w:val="auto"/>
              </w:rPr>
              <w:t>(921)</w:t>
            </w:r>
          </w:p>
        </w:tc>
        <w:tc>
          <w:tcPr>
            <w:tcW w:w="200" w:type="dxa"/>
            <w:vAlign w:val="bottom"/>
          </w:tcPr>
          <w:p>
            <w:pPr>
              <w:spacing w:after="0"/>
              <w:rPr>
                <w:sz w:val="19"/>
                <w:szCs w:val="19"/>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(921)</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30"/>
        </w:trPr>
        <w:tc>
          <w:tcPr>
            <w:tcW w:w="644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Losses</w:t>
            </w:r>
          </w:p>
        </w:tc>
        <w:tc>
          <w:tcPr>
            <w:tcW w:w="10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rPr>
              <w:t>128</w:t>
            </w: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22</w:t>
            </w:r>
          </w:p>
        </w:tc>
        <w:tc>
          <w:tcPr>
            <w:tcW w:w="2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37</w:t>
            </w:r>
          </w:p>
        </w:tc>
      </w:tr>
      <w:tr>
        <w:trPr>
          <w:trHeight w:val="223"/>
        </w:trPr>
        <w:tc>
          <w:tcPr>
            <w:tcW w:w="64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Net amortization</w:t>
            </w:r>
          </w:p>
        </w:tc>
        <w:tc>
          <w:tcPr>
            <w:tcW w:w="10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(793)</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(899)</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r>
      <w:tr>
        <w:trPr>
          <w:trHeight w:val="223"/>
        </w:trPr>
        <w:tc>
          <w:tcPr>
            <w:tcW w:w="64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Other components of net periodic benefit cost</w:t>
            </w:r>
          </w:p>
        </w:tc>
        <w:tc>
          <w:tcPr>
            <w:tcW w:w="1000" w:type="dxa"/>
            <w:vAlign w:val="bottom"/>
            <w:tcBorders>
              <w:bottom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(669)</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(748)</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20</w:t>
            </w:r>
          </w:p>
        </w:tc>
      </w:tr>
      <w:tr>
        <w:trPr>
          <w:trHeight w:val="263"/>
        </w:trPr>
        <w:tc>
          <w:tcPr>
            <w:tcW w:w="6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Periodic Benefit Cost - Ongoing Operations</w:t>
            </w:r>
          </w:p>
        </w:tc>
        <w:tc>
          <w:tcPr>
            <w:tcW w:w="10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(580)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429</w:t>
            </w:r>
          </w:p>
        </w:tc>
      </w:tr>
      <w:tr>
        <w:trPr>
          <w:trHeight w:val="192"/>
        </w:trPr>
        <w:tc>
          <w:tcPr>
            <w:tcW w:w="6440" w:type="dxa"/>
            <w:vAlign w:val="bottom"/>
            <w:shd w:val="clear" w:color="auto" w:fill="CFF0FC"/>
          </w:tcPr>
          <w:p>
            <w:pPr>
              <w:spacing w:after="0" w:line="192" w:lineRule="exact"/>
              <w:rPr>
                <w:sz w:val="20"/>
                <w:szCs w:val="20"/>
                <w:color w:val="auto"/>
              </w:rPr>
            </w:pPr>
            <w:r>
              <w:rPr>
                <w:rFonts w:ascii="Arial" w:cs="Arial" w:eastAsia="Arial" w:hAnsi="Arial"/>
                <w:sz w:val="18"/>
                <w:szCs w:val="18"/>
                <w:b w:val="1"/>
                <w:bCs w:val="1"/>
                <w:color w:val="auto"/>
              </w:rPr>
              <w:t>Net Periodic Benefit Cost - Discontinued</w:t>
            </w:r>
          </w:p>
        </w:tc>
        <w:tc>
          <w:tcPr>
            <w:tcW w:w="10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r>
      <w:tr>
        <w:trPr>
          <w:trHeight w:val="234"/>
        </w:trPr>
        <w:tc>
          <w:tcPr>
            <w:tcW w:w="644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8"/>
                <w:szCs w:val="18"/>
                <w:b w:val="1"/>
                <w:bCs w:val="1"/>
                <w:color w:val="auto"/>
              </w:rPr>
              <w:t>Operations</w:t>
            </w:r>
          </w:p>
        </w:tc>
        <w:tc>
          <w:tcPr>
            <w:tcW w:w="1000" w:type="dxa"/>
            <w:vAlign w:val="bottom"/>
            <w:tcBorders>
              <w:bottom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(877)</w:t>
            </w:r>
          </w:p>
        </w:tc>
      </w:tr>
      <w:tr>
        <w:trPr>
          <w:trHeight w:val="20"/>
        </w:trPr>
        <w:tc>
          <w:tcPr>
            <w:tcW w:w="6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13"/>
        </w:trPr>
        <w:tc>
          <w:tcPr>
            <w:tcW w:w="6440" w:type="dxa"/>
            <w:vAlign w:val="bottom"/>
          </w:tcPr>
          <w:p>
            <w:pPr>
              <w:spacing w:after="0"/>
              <w:rPr>
                <w:sz w:val="20"/>
                <w:szCs w:val="20"/>
                <w:color w:val="auto"/>
              </w:rPr>
            </w:pPr>
            <w:r>
              <w:rPr>
                <w:rFonts w:ascii="Arial" w:cs="Arial" w:eastAsia="Arial" w:hAnsi="Arial"/>
                <w:sz w:val="18"/>
                <w:szCs w:val="18"/>
                <w:b w:val="1"/>
                <w:bCs w:val="1"/>
                <w:i w:val="1"/>
                <w:iCs w:val="1"/>
                <w:color w:val="auto"/>
              </w:rPr>
              <w:t>Reconciliation of Accumulated Other Comprehensive Income</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45"/>
        </w:trPr>
        <w:tc>
          <w:tcPr>
            <w:tcW w:w="6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Other Benefits</w:t>
            </w:r>
          </w:p>
        </w:tc>
      </w:tr>
      <w:tr>
        <w:trPr>
          <w:trHeight w:val="223"/>
        </w:trPr>
        <w:tc>
          <w:tcPr>
            <w:tcW w:w="64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(In thousands)</w:t>
            </w:r>
          </w:p>
        </w:tc>
        <w:tc>
          <w:tcPr>
            <w:tcW w:w="10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2021</w:t>
            </w:r>
          </w:p>
        </w:tc>
      </w:tr>
      <w:tr>
        <w:trPr>
          <w:trHeight w:val="223"/>
        </w:trPr>
        <w:tc>
          <w:tcPr>
            <w:tcW w:w="6440" w:type="dxa"/>
            <w:vAlign w:val="bottom"/>
          </w:tcPr>
          <w:p>
            <w:pPr>
              <w:spacing w:after="0"/>
              <w:rPr>
                <w:sz w:val="20"/>
                <w:szCs w:val="20"/>
                <w:color w:val="auto"/>
              </w:rPr>
            </w:pPr>
            <w:r>
              <w:rPr>
                <w:rFonts w:ascii="Arial" w:cs="Arial" w:eastAsia="Arial" w:hAnsi="Arial"/>
                <w:sz w:val="18"/>
                <w:szCs w:val="18"/>
                <w:color w:val="auto"/>
              </w:rPr>
              <w:t>Net (gain) loss</w:t>
            </w: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(1,216)</w:t>
            </w:r>
          </w:p>
        </w:tc>
      </w:tr>
      <w:tr>
        <w:trPr>
          <w:trHeight w:val="229"/>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prior service cost</w:t>
            </w:r>
          </w:p>
        </w:tc>
        <w:tc>
          <w:tcPr>
            <w:tcW w:w="10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921</w:t>
            </w:r>
          </w:p>
        </w:tc>
      </w:tr>
      <w:tr>
        <w:trPr>
          <w:trHeight w:val="230"/>
        </w:trPr>
        <w:tc>
          <w:tcPr>
            <w:tcW w:w="6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Amortization of net actuarial loss</w:t>
            </w:r>
          </w:p>
        </w:tc>
        <w:tc>
          <w:tcPr>
            <w:tcW w:w="10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w:t>
            </w:r>
          </w:p>
        </w:tc>
      </w:tr>
      <w:tr>
        <w:trPr>
          <w:trHeight w:val="223"/>
        </w:trPr>
        <w:tc>
          <w:tcPr>
            <w:tcW w:w="64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Total Recognized in Other Comprehensive Income</w:t>
            </w:r>
          </w:p>
        </w:tc>
        <w:tc>
          <w:tcPr>
            <w:tcW w:w="10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(423)</w:t>
            </w:r>
          </w:p>
        </w:tc>
      </w:tr>
      <w:tr>
        <w:trPr>
          <w:trHeight w:val="20"/>
        </w:trPr>
        <w:tc>
          <w:tcPr>
            <w:tcW w:w="6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10"/>
        </w:trPr>
        <w:tc>
          <w:tcPr>
            <w:tcW w:w="6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Total Recognized in Net Periodic Benefit Cost and Other Comprehensive Income</w:t>
            </w:r>
          </w:p>
        </w:tc>
        <w:tc>
          <w:tcPr>
            <w:tcW w:w="10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(1,003)</w:t>
            </w:r>
          </w:p>
        </w:tc>
      </w:tr>
      <w:tr>
        <w:trPr>
          <w:trHeight w:val="20"/>
        </w:trPr>
        <w:tc>
          <w:tcPr>
            <w:tcW w:w="6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13"/>
        </w:trPr>
        <w:tc>
          <w:tcPr>
            <w:tcW w:w="6440" w:type="dxa"/>
            <w:vAlign w:val="bottom"/>
          </w:tcPr>
          <w:p>
            <w:pPr>
              <w:spacing w:after="0"/>
              <w:rPr>
                <w:sz w:val="20"/>
                <w:szCs w:val="20"/>
                <w:color w:val="auto"/>
              </w:rPr>
            </w:pPr>
            <w:r>
              <w:rPr>
                <w:rFonts w:ascii="Arial" w:cs="Arial" w:eastAsia="Arial" w:hAnsi="Arial"/>
                <w:sz w:val="18"/>
                <w:szCs w:val="18"/>
                <w:b w:val="1"/>
                <w:bCs w:val="1"/>
                <w:i w:val="1"/>
                <w:iCs w:val="1"/>
                <w:color w:val="auto"/>
              </w:rPr>
              <w:t>Weighted-average assumptions used to determine benefit obligations</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45"/>
        </w:trPr>
        <w:tc>
          <w:tcPr>
            <w:tcW w:w="6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Other Benefits</w:t>
            </w:r>
          </w:p>
        </w:tc>
        <w:tc>
          <w:tcPr>
            <w:tcW w:w="1260" w:type="dxa"/>
            <w:vAlign w:val="bottom"/>
            <w:tcBorders>
              <w:bottom w:val="single" w:sz="8" w:color="auto"/>
            </w:tcBorders>
          </w:tcPr>
          <w:p>
            <w:pPr>
              <w:spacing w:after="0"/>
              <w:rPr>
                <w:sz w:val="24"/>
                <w:szCs w:val="24"/>
                <w:color w:val="auto"/>
              </w:rPr>
            </w:pPr>
          </w:p>
        </w:tc>
      </w:tr>
      <w:tr>
        <w:trPr>
          <w:trHeight w:val="223"/>
        </w:trPr>
        <w:tc>
          <w:tcPr>
            <w:tcW w:w="6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2020</w:t>
            </w:r>
          </w:p>
        </w:tc>
      </w:tr>
      <w:tr>
        <w:trPr>
          <w:trHeight w:val="223"/>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Discount rate</w:t>
            </w:r>
          </w:p>
        </w:tc>
        <w:tc>
          <w:tcPr>
            <w:tcW w:w="10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10"/>
              <w:spacing w:after="0"/>
              <w:rPr>
                <w:sz w:val="20"/>
                <w:szCs w:val="20"/>
                <w:color w:val="auto"/>
              </w:rPr>
            </w:pPr>
            <w:r>
              <w:rPr>
                <w:rFonts w:ascii="Arial" w:cs="Arial" w:eastAsia="Arial" w:hAnsi="Arial"/>
                <w:sz w:val="18"/>
                <w:szCs w:val="18"/>
                <w:b w:val="1"/>
                <w:bCs w:val="1"/>
                <w:color w:val="auto"/>
              </w:rPr>
              <w:t>1.49%</w:t>
            </w: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w:t>
            </w:r>
          </w:p>
        </w:tc>
      </w:tr>
      <w:tr>
        <w:trPr>
          <w:trHeight w:val="234"/>
        </w:trPr>
        <w:tc>
          <w:tcPr>
            <w:tcW w:w="6440" w:type="dxa"/>
            <w:vAlign w:val="bottom"/>
          </w:tcPr>
          <w:p>
            <w:pPr>
              <w:spacing w:after="0"/>
              <w:rPr>
                <w:sz w:val="20"/>
                <w:szCs w:val="20"/>
                <w:color w:val="auto"/>
              </w:rPr>
            </w:pPr>
            <w:r>
              <w:rPr>
                <w:rFonts w:ascii="Arial" w:cs="Arial" w:eastAsia="Arial" w:hAnsi="Arial"/>
                <w:sz w:val="18"/>
                <w:szCs w:val="18"/>
                <w:color w:val="auto"/>
              </w:rPr>
              <w:t>Rate of compensation increase</w:t>
            </w:r>
          </w:p>
        </w:tc>
        <w:tc>
          <w:tcPr>
            <w:tcW w:w="1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NA</w:t>
            </w:r>
          </w:p>
        </w:tc>
        <w:tc>
          <w:tcPr>
            <w:tcW w:w="260" w:type="dxa"/>
            <w:vAlign w:val="bottom"/>
          </w:tcPr>
          <w:p>
            <w:pPr>
              <w:spacing w:after="0"/>
              <w:rPr>
                <w:sz w:val="20"/>
                <w:szCs w:val="20"/>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NA</w:t>
            </w:r>
          </w:p>
        </w:tc>
      </w:tr>
    </w:tbl>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Fiscal 2021 and 2020, the discount rate was based on a yield curve of high-quality corporate bonds with cash flows matching our planned expected benefit payments.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Weighted-average assumptions used to determine net periodic benefit costs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Other Benefits</w:t>
            </w:r>
          </w:p>
        </w:tc>
        <w:tc>
          <w:tcPr>
            <w:tcW w:w="1100" w:type="dxa"/>
            <w:vAlign w:val="bottom"/>
            <w:tcBorders>
              <w:bottom w:val="single" w:sz="8" w:color="auto"/>
            </w:tcBorders>
          </w:tcPr>
          <w:p>
            <w:pPr>
              <w:spacing w:after="0"/>
              <w:rPr>
                <w:sz w:val="20"/>
                <w:szCs w:val="20"/>
                <w:color w:val="auto"/>
              </w:rPr>
            </w:pPr>
          </w:p>
        </w:tc>
      </w:tr>
      <w:tr>
        <w:trPr>
          <w:trHeight w:val="223"/>
        </w:trPr>
        <w:tc>
          <w:tcPr>
            <w:tcW w:w="4500" w:type="dxa"/>
            <w:vAlign w:val="bottom"/>
            <w:tcBorders>
              <w:bottom w:val="single" w:sz="8" w:color="auto"/>
            </w:tcBorders>
          </w:tcPr>
          <w:p>
            <w:pPr>
              <w:spacing w:after="0"/>
              <w:rPr>
                <w:sz w:val="19"/>
                <w:szCs w:val="19"/>
                <w:color w:val="auto"/>
              </w:rPr>
            </w:pPr>
          </w:p>
        </w:tc>
        <w:tc>
          <w:tcPr>
            <w:tcW w:w="36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0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2020</w:t>
            </w: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2019</w:t>
            </w:r>
          </w:p>
        </w:tc>
      </w:tr>
      <w:tr>
        <w:trPr>
          <w:trHeight w:val="22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Discount rate</w:t>
            </w:r>
          </w:p>
        </w:tc>
        <w:tc>
          <w:tcPr>
            <w:tcW w:w="362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1.49%</w:t>
            </w:r>
          </w:p>
        </w:tc>
        <w:tc>
          <w:tcPr>
            <w:tcW w:w="2020" w:type="dxa"/>
            <w:vAlign w:val="bottom"/>
            <w:shd w:val="clear" w:color="auto" w:fill="CFF0FC"/>
          </w:tcPr>
          <w:p>
            <w:pPr>
              <w:jc w:val="right"/>
              <w:ind w:right="450"/>
              <w:spacing w:after="0"/>
              <w:rPr>
                <w:sz w:val="20"/>
                <w:szCs w:val="20"/>
                <w:color w:val="auto"/>
              </w:rPr>
            </w:pPr>
            <w:r>
              <w:rPr>
                <w:rFonts w:ascii="Arial" w:cs="Arial" w:eastAsia="Arial" w:hAnsi="Arial"/>
                <w:sz w:val="18"/>
                <w:szCs w:val="18"/>
                <w:color w:val="auto"/>
              </w:rPr>
              <w:t>3.48%</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w:t>
            </w:r>
          </w:p>
        </w:tc>
      </w:tr>
      <w:tr>
        <w:trPr>
          <w:trHeight w:val="229"/>
        </w:trPr>
        <w:tc>
          <w:tcPr>
            <w:tcW w:w="4500" w:type="dxa"/>
            <w:vAlign w:val="bottom"/>
          </w:tcPr>
          <w:p>
            <w:pPr>
              <w:spacing w:after="0"/>
              <w:rPr>
                <w:sz w:val="20"/>
                <w:szCs w:val="20"/>
                <w:color w:val="auto"/>
              </w:rPr>
            </w:pPr>
            <w:r>
              <w:rPr>
                <w:rFonts w:ascii="Arial" w:cs="Arial" w:eastAsia="Arial" w:hAnsi="Arial"/>
                <w:sz w:val="18"/>
                <w:szCs w:val="18"/>
                <w:color w:val="auto"/>
              </w:rPr>
              <w:t>Expected long-term rate of return on plan assets</w:t>
            </w:r>
          </w:p>
        </w:tc>
        <w:tc>
          <w:tcPr>
            <w:tcW w:w="3620" w:type="dxa"/>
            <w:vAlign w:val="bottom"/>
          </w:tcPr>
          <w:p>
            <w:pPr>
              <w:jc w:val="right"/>
              <w:ind w:right="250"/>
              <w:spacing w:after="0"/>
              <w:rPr>
                <w:sz w:val="20"/>
                <w:szCs w:val="20"/>
                <w:color w:val="auto"/>
              </w:rPr>
            </w:pPr>
            <w:r>
              <w:rPr>
                <w:rFonts w:ascii="Arial" w:cs="Arial" w:eastAsia="Arial" w:hAnsi="Arial"/>
                <w:sz w:val="18"/>
                <w:szCs w:val="18"/>
                <w:b w:val="1"/>
                <w:bCs w:val="1"/>
                <w:color w:val="auto"/>
              </w:rPr>
              <w:t>NA</w:t>
            </w:r>
          </w:p>
        </w:tc>
        <w:tc>
          <w:tcPr>
            <w:tcW w:w="2020" w:type="dxa"/>
            <w:vAlign w:val="bottom"/>
          </w:tcPr>
          <w:p>
            <w:pPr>
              <w:jc w:val="right"/>
              <w:ind w:right="610"/>
              <w:spacing w:after="0"/>
              <w:rPr>
                <w:sz w:val="20"/>
                <w:szCs w:val="20"/>
                <w:color w:val="auto"/>
              </w:rPr>
            </w:pPr>
            <w:r>
              <w:rPr>
                <w:rFonts w:ascii="Arial" w:cs="Arial" w:eastAsia="Arial" w:hAnsi="Arial"/>
                <w:sz w:val="18"/>
                <w:szCs w:val="18"/>
                <w:color w:val="auto"/>
              </w:rPr>
              <w:t>NA</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NA</w:t>
            </w: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Rate of compensation increase</w:t>
            </w:r>
          </w:p>
        </w:tc>
        <w:tc>
          <w:tcPr>
            <w:tcW w:w="3620" w:type="dxa"/>
            <w:vAlign w:val="bottom"/>
            <w:shd w:val="clear" w:color="auto" w:fill="CFF0FC"/>
          </w:tcPr>
          <w:p>
            <w:pPr>
              <w:jc w:val="right"/>
              <w:ind w:right="250"/>
              <w:spacing w:after="0"/>
              <w:rPr>
                <w:sz w:val="20"/>
                <w:szCs w:val="20"/>
                <w:color w:val="auto"/>
              </w:rPr>
            </w:pPr>
            <w:r>
              <w:rPr>
                <w:rFonts w:ascii="Arial" w:cs="Arial" w:eastAsia="Arial" w:hAnsi="Arial"/>
                <w:sz w:val="18"/>
                <w:szCs w:val="18"/>
                <w:b w:val="1"/>
                <w:bCs w:val="1"/>
                <w:color w:val="auto"/>
              </w:rPr>
              <w:t>NA</w:t>
            </w:r>
          </w:p>
        </w:tc>
        <w:tc>
          <w:tcPr>
            <w:tcW w:w="202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rPr>
              <w:t>NA</w:t>
            </w:r>
          </w:p>
        </w:tc>
        <w:tc>
          <w:tcPr>
            <w:tcW w:w="11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NA</w:t>
            </w:r>
          </w:p>
        </w:tc>
      </w:tr>
      <w:tr>
        <w:trPr>
          <w:trHeight w:val="648"/>
        </w:trPr>
        <w:tc>
          <w:tcPr>
            <w:tcW w:w="4500" w:type="dxa"/>
            <w:vAlign w:val="bottom"/>
          </w:tcPr>
          <w:p>
            <w:pPr>
              <w:spacing w:after="0"/>
              <w:rPr>
                <w:sz w:val="24"/>
                <w:szCs w:val="24"/>
                <w:color w:val="auto"/>
              </w:rPr>
            </w:pPr>
          </w:p>
        </w:tc>
        <w:tc>
          <w:tcPr>
            <w:tcW w:w="3620" w:type="dxa"/>
            <w:vAlign w:val="bottom"/>
          </w:tcPr>
          <w:p>
            <w:pPr>
              <w:jc w:val="right"/>
              <w:ind w:right="2310"/>
              <w:spacing w:after="0"/>
              <w:rPr>
                <w:sz w:val="20"/>
                <w:szCs w:val="20"/>
                <w:color w:val="auto"/>
              </w:rPr>
            </w:pPr>
            <w:r>
              <w:rPr>
                <w:rFonts w:ascii="Arial" w:cs="Arial" w:eastAsia="Arial" w:hAnsi="Arial"/>
                <w:sz w:val="18"/>
                <w:szCs w:val="18"/>
                <w:color w:val="auto"/>
              </w:rPr>
              <w:t>73</w:t>
            </w:r>
          </w:p>
        </w:tc>
        <w:tc>
          <w:tcPr>
            <w:tcW w:w="20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450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80" w:type="dxa"/>
            <w:vAlign w:val="bottom"/>
            <w:gridSpan w:val="2"/>
          </w:tcPr>
          <w:p>
            <w:pPr>
              <w:spacing w:after="0"/>
              <w:rPr>
                <w:sz w:val="20"/>
                <w:szCs w:val="20"/>
                <w:color w:val="auto"/>
              </w:rPr>
            </w:pPr>
            <w:r>
              <w:rPr>
                <w:rFonts w:ascii="Arial" w:cs="Arial" w:eastAsia="Arial" w:hAnsi="Arial"/>
                <w:sz w:val="18"/>
                <w:szCs w:val="18"/>
                <w:b w:val="1"/>
                <w:bCs w:val="1"/>
                <w:color w:val="auto"/>
              </w:rPr>
              <w:t>Note 13</w:t>
            </w:r>
          </w:p>
        </w:tc>
        <w:tc>
          <w:tcPr>
            <w:tcW w:w="124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51"/>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Other Postretirement Benefit Plans, Continued</w:t>
            </w:r>
          </w:p>
        </w:tc>
        <w:tc>
          <w:tcPr>
            <w:tcW w:w="4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26"/>
        </w:trPr>
        <w:tc>
          <w:tcPr>
            <w:tcW w:w="84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Assumed health care cost trend rates</w:t>
            </w: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45"/>
        </w:trPr>
        <w:tc>
          <w:tcPr>
            <w:tcW w:w="362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5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2020</w:t>
            </w:r>
          </w:p>
        </w:tc>
      </w:tr>
      <w:tr>
        <w:trPr>
          <w:trHeight w:val="223"/>
        </w:trPr>
        <w:tc>
          <w:tcPr>
            <w:tcW w:w="8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Health care cost trend rate assumed for next year</w:t>
            </w:r>
          </w:p>
        </w:tc>
        <w:tc>
          <w:tcPr>
            <w:tcW w:w="1240" w:type="dxa"/>
            <w:vAlign w:val="bottom"/>
            <w:shd w:val="clear" w:color="auto" w:fill="CFF0FC"/>
          </w:tcPr>
          <w:p>
            <w:pPr>
              <w:jc w:val="right"/>
              <w:ind w:right="310"/>
              <w:spacing w:after="0"/>
              <w:rPr>
                <w:sz w:val="20"/>
                <w:szCs w:val="20"/>
                <w:color w:val="auto"/>
              </w:rPr>
            </w:pPr>
            <w:r>
              <w:rPr>
                <w:rFonts w:ascii="Arial" w:cs="Arial" w:eastAsia="Arial" w:hAnsi="Arial"/>
                <w:sz w:val="18"/>
                <w:szCs w:val="18"/>
                <w:b w:val="1"/>
                <w:bCs w:val="1"/>
                <w:color w:val="auto"/>
              </w:rPr>
              <w:t>6.25%</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w:t>
            </w:r>
          </w:p>
        </w:tc>
      </w:tr>
      <w:tr>
        <w:trPr>
          <w:trHeight w:val="229"/>
        </w:trPr>
        <w:tc>
          <w:tcPr>
            <w:tcW w:w="8480" w:type="dxa"/>
            <w:vAlign w:val="bottom"/>
            <w:gridSpan w:val="2"/>
          </w:tcPr>
          <w:p>
            <w:pPr>
              <w:spacing w:after="0"/>
              <w:rPr>
                <w:sz w:val="20"/>
                <w:szCs w:val="20"/>
                <w:color w:val="auto"/>
              </w:rPr>
            </w:pPr>
            <w:r>
              <w:rPr>
                <w:rFonts w:ascii="Arial" w:cs="Arial" w:eastAsia="Arial" w:hAnsi="Arial"/>
                <w:sz w:val="18"/>
                <w:szCs w:val="18"/>
                <w:color w:val="auto"/>
              </w:rPr>
              <w:t>Rate to which the cost trend rate is assumed to decline (the ultimate trend rate)</w:t>
            </w:r>
          </w:p>
        </w:tc>
        <w:tc>
          <w:tcPr>
            <w:tcW w:w="1240" w:type="dxa"/>
            <w:vAlign w:val="bottom"/>
          </w:tcPr>
          <w:p>
            <w:pPr>
              <w:jc w:val="right"/>
              <w:ind w:right="310"/>
              <w:spacing w:after="0"/>
              <w:rPr>
                <w:sz w:val="20"/>
                <w:szCs w:val="20"/>
                <w:color w:val="auto"/>
              </w:rPr>
            </w:pPr>
            <w:r>
              <w:rPr>
                <w:rFonts w:ascii="Arial" w:cs="Arial" w:eastAsia="Arial" w:hAnsi="Arial"/>
                <w:sz w:val="18"/>
                <w:szCs w:val="18"/>
                <w:b w:val="1"/>
                <w:bCs w:val="1"/>
                <w:color w:val="auto"/>
              </w:rPr>
              <w:t>5.75%</w:t>
            </w:r>
          </w:p>
        </w:tc>
        <w:tc>
          <w:tcPr>
            <w:tcW w:w="1520" w:type="dxa"/>
            <w:vAlign w:val="bottom"/>
          </w:tcPr>
          <w:p>
            <w:pPr>
              <w:jc w:val="right"/>
              <w:spacing w:after="0"/>
              <w:rPr>
                <w:sz w:val="20"/>
                <w:szCs w:val="20"/>
                <w:color w:val="auto"/>
              </w:rPr>
            </w:pPr>
            <w:r>
              <w:rPr>
                <w:rFonts w:ascii="Arial" w:cs="Arial" w:eastAsia="Arial" w:hAnsi="Arial"/>
                <w:sz w:val="18"/>
                <w:szCs w:val="18"/>
                <w:color w:val="auto"/>
              </w:rPr>
              <w:t>6.25%</w:t>
            </w:r>
          </w:p>
        </w:tc>
      </w:tr>
      <w:tr>
        <w:trPr>
          <w:trHeight w:val="229"/>
        </w:trPr>
        <w:tc>
          <w:tcPr>
            <w:tcW w:w="8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Year that the rate reaches the ultimate trend rate</w:t>
            </w:r>
          </w:p>
        </w:tc>
        <w:tc>
          <w:tcPr>
            <w:tcW w:w="1240" w:type="dxa"/>
            <w:vAlign w:val="bottom"/>
            <w:shd w:val="clear" w:color="auto" w:fill="CFF0FC"/>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5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2024</w:t>
            </w:r>
          </w:p>
        </w:tc>
      </w:tr>
      <w:tr>
        <w:trPr>
          <w:trHeight w:val="392"/>
        </w:trPr>
        <w:tc>
          <w:tcPr>
            <w:tcW w:w="8480" w:type="dxa"/>
            <w:vAlign w:val="bottom"/>
            <w:gridSpan w:val="2"/>
          </w:tcPr>
          <w:p>
            <w:pPr>
              <w:spacing w:after="0"/>
              <w:rPr>
                <w:sz w:val="20"/>
                <w:szCs w:val="20"/>
                <w:color w:val="auto"/>
              </w:rPr>
            </w:pPr>
            <w:r>
              <w:rPr>
                <w:rFonts w:ascii="Arial" w:cs="Arial" w:eastAsia="Arial" w:hAnsi="Arial"/>
                <w:sz w:val="18"/>
                <w:szCs w:val="18"/>
                <w:b w:val="1"/>
                <w:bCs w:val="1"/>
                <w:color w:val="auto"/>
              </w:rPr>
              <w:t>Estimated Future Benefit Payments</w:t>
            </w: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92"/>
        </w:trPr>
        <w:tc>
          <w:tcPr>
            <w:tcW w:w="8480" w:type="dxa"/>
            <w:vAlign w:val="bottom"/>
            <w:gridSpan w:val="2"/>
          </w:tcPr>
          <w:p>
            <w:pPr>
              <w:spacing w:after="0"/>
              <w:rPr>
                <w:sz w:val="20"/>
                <w:szCs w:val="20"/>
                <w:color w:val="auto"/>
              </w:rPr>
            </w:pPr>
            <w:r>
              <w:rPr>
                <w:rFonts w:ascii="Arial" w:cs="Arial" w:eastAsia="Arial" w:hAnsi="Arial"/>
                <w:sz w:val="18"/>
                <w:szCs w:val="18"/>
                <w:color w:val="auto"/>
                <w:w w:val="94"/>
              </w:rPr>
              <w:t>Expected benefit payments for other postretirement benefits, paid from the employee benefit trust, are as follows:</w:t>
            </w: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31"/>
        </w:trPr>
        <w:tc>
          <w:tcPr>
            <w:tcW w:w="36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Other</w:t>
            </w:r>
          </w:p>
        </w:tc>
      </w:tr>
      <w:tr>
        <w:trPr>
          <w:trHeight w:val="216"/>
        </w:trPr>
        <w:tc>
          <w:tcPr>
            <w:tcW w:w="36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Benefits</w:t>
            </w:r>
          </w:p>
        </w:tc>
      </w:tr>
      <w:tr>
        <w:trPr>
          <w:trHeight w:val="230"/>
        </w:trPr>
        <w:tc>
          <w:tcPr>
            <w:tcW w:w="8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Estimated future payments</w:t>
            </w:r>
          </w:p>
        </w:tc>
        <w:tc>
          <w:tcPr>
            <w:tcW w:w="1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 in millions)</w:t>
            </w:r>
          </w:p>
        </w:tc>
      </w:tr>
      <w:tr>
        <w:trPr>
          <w:trHeight w:val="223"/>
        </w:trPr>
        <w:tc>
          <w:tcPr>
            <w:tcW w:w="3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2021</w:t>
            </w:r>
          </w:p>
        </w:tc>
        <w:tc>
          <w:tcPr>
            <w:tcW w:w="486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0.7</w:t>
            </w:r>
          </w:p>
        </w:tc>
      </w:tr>
      <w:tr>
        <w:trPr>
          <w:trHeight w:val="230"/>
        </w:trPr>
        <w:tc>
          <w:tcPr>
            <w:tcW w:w="3620" w:type="dxa"/>
            <w:vAlign w:val="bottom"/>
          </w:tcPr>
          <w:p>
            <w:pPr>
              <w:ind w:left="260"/>
              <w:spacing w:after="0"/>
              <w:rPr>
                <w:sz w:val="20"/>
                <w:szCs w:val="20"/>
                <w:color w:val="auto"/>
              </w:rPr>
            </w:pPr>
            <w:r>
              <w:rPr>
                <w:rFonts w:ascii="Arial" w:cs="Arial" w:eastAsia="Arial" w:hAnsi="Arial"/>
                <w:sz w:val="18"/>
                <w:szCs w:val="18"/>
                <w:color w:val="auto"/>
              </w:rPr>
              <w:t>2022</w:t>
            </w:r>
          </w:p>
        </w:tc>
        <w:tc>
          <w:tcPr>
            <w:tcW w:w="48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0.6</w:t>
            </w:r>
          </w:p>
        </w:tc>
      </w:tr>
      <w:tr>
        <w:trPr>
          <w:trHeight w:val="229"/>
        </w:trPr>
        <w:tc>
          <w:tcPr>
            <w:tcW w:w="3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2023</w:t>
            </w:r>
          </w:p>
        </w:tc>
        <w:tc>
          <w:tcPr>
            <w:tcW w:w="48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0.6</w:t>
            </w:r>
          </w:p>
        </w:tc>
      </w:tr>
      <w:tr>
        <w:trPr>
          <w:trHeight w:val="230"/>
        </w:trPr>
        <w:tc>
          <w:tcPr>
            <w:tcW w:w="3620" w:type="dxa"/>
            <w:vAlign w:val="bottom"/>
          </w:tcPr>
          <w:p>
            <w:pPr>
              <w:ind w:left="260"/>
              <w:spacing w:after="0"/>
              <w:rPr>
                <w:sz w:val="20"/>
                <w:szCs w:val="20"/>
                <w:color w:val="auto"/>
              </w:rPr>
            </w:pPr>
            <w:r>
              <w:rPr>
                <w:rFonts w:ascii="Arial" w:cs="Arial" w:eastAsia="Arial" w:hAnsi="Arial"/>
                <w:sz w:val="18"/>
                <w:szCs w:val="18"/>
                <w:color w:val="auto"/>
              </w:rPr>
              <w:t>2024</w:t>
            </w:r>
          </w:p>
        </w:tc>
        <w:tc>
          <w:tcPr>
            <w:tcW w:w="48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0.5</w:t>
            </w:r>
          </w:p>
        </w:tc>
      </w:tr>
      <w:tr>
        <w:trPr>
          <w:trHeight w:val="229"/>
        </w:trPr>
        <w:tc>
          <w:tcPr>
            <w:tcW w:w="3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2025</w:t>
            </w:r>
          </w:p>
        </w:tc>
        <w:tc>
          <w:tcPr>
            <w:tcW w:w="48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0.5</w:t>
            </w:r>
          </w:p>
        </w:tc>
      </w:tr>
      <w:tr>
        <w:trPr>
          <w:trHeight w:val="230"/>
        </w:trPr>
        <w:tc>
          <w:tcPr>
            <w:tcW w:w="8480" w:type="dxa"/>
            <w:vAlign w:val="bottom"/>
            <w:gridSpan w:val="2"/>
          </w:tcPr>
          <w:p>
            <w:pPr>
              <w:ind w:left="260"/>
              <w:spacing w:after="0"/>
              <w:rPr>
                <w:sz w:val="20"/>
                <w:szCs w:val="20"/>
                <w:color w:val="auto"/>
              </w:rPr>
            </w:pPr>
            <w:r>
              <w:rPr>
                <w:rFonts w:ascii="Arial" w:cs="Arial" w:eastAsia="Arial" w:hAnsi="Arial"/>
                <w:sz w:val="18"/>
                <w:szCs w:val="18"/>
                <w:color w:val="auto"/>
              </w:rPr>
              <w:t>2026 – 2030</w:t>
            </w:r>
          </w:p>
        </w:tc>
        <w:tc>
          <w:tcPr>
            <w:tcW w:w="124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2.0</w:t>
            </w:r>
          </w:p>
        </w:tc>
      </w:tr>
    </w:tbl>
    <w:p>
      <w:pPr>
        <w:spacing w:after="0" w:line="3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401(k) Savings Plan</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a Section 401(k) Savings Plan available to all employees, including retail employees who have completed 500 hours of service within the first six months of employment, and are age 18 or older.</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Since January 1, 2005, we have matched 100% of each employee’s contribution of up to 3% of salary and 50% of the next 2% of salary. In addition, for those employees hired before December 31, 2004, who were eligible for our cash balance retirement plan before it was frozen, we annually make an additional contribution of 2 1/2 % of salary to each employee’s account. Participants are immediately vested in their contributions and our matching contribution plus actual earnings thereon. Our contribution expense for the matching program was approximately $2.9 million for Fiscal 2021, $5.3 million for Fiscal 2020 and $5.6 million for Fiscal 2019. As a result of the COVID-19 pandemic, we suspended our match of employee contributions as of May 1, 2020. The match was reinstated on January 1,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Per Share</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Basic earnings per share excludes dilution and is computed by dividing income available to common shareholders by the weighted average number of common shares outstanding for the period. Diluted earnings per share reflects the potential dilution that could occur if securities to issue common stock were exercised or converted to common stock.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Per Share, Continued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number of shares used for earnings per share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Fiscal Year</w:t>
            </w:r>
          </w:p>
        </w:tc>
        <w:tc>
          <w:tcPr>
            <w:tcW w:w="1160" w:type="dxa"/>
            <w:vAlign w:val="bottom"/>
            <w:tcBorders>
              <w:bottom w:val="single" w:sz="8" w:color="auto"/>
            </w:tcBorders>
          </w:tcPr>
          <w:p>
            <w:pPr>
              <w:spacing w:after="0"/>
              <w:rPr>
                <w:sz w:val="20"/>
                <w:szCs w:val="20"/>
                <w:color w:val="auto"/>
              </w:rPr>
            </w:pPr>
          </w:p>
        </w:tc>
      </w:tr>
      <w:tr>
        <w:trPr>
          <w:trHeight w:val="223"/>
        </w:trPr>
        <w:tc>
          <w:tcPr>
            <w:tcW w:w="53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(Shares in thousands)</w:t>
            </w:r>
          </w:p>
        </w:tc>
        <w:tc>
          <w:tcPr>
            <w:tcW w:w="28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1860" w:type="dxa"/>
            <w:vAlign w:val="bottom"/>
            <w:tcBorders>
              <w:bottom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color w:val="auto"/>
              </w:rPr>
              <w:t>2020</w:t>
            </w: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2019</w:t>
            </w: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Weighted-average number of shares - basic</w:t>
            </w:r>
          </w:p>
        </w:tc>
        <w:tc>
          <w:tcPr>
            <w:tcW w:w="2860" w:type="dxa"/>
            <w:vAlign w:val="bottom"/>
          </w:tcPr>
          <w:p>
            <w:pPr>
              <w:jc w:val="right"/>
              <w:ind w:right="170"/>
              <w:spacing w:after="0"/>
              <w:rPr>
                <w:sz w:val="20"/>
                <w:szCs w:val="20"/>
                <w:color w:val="auto"/>
              </w:rPr>
            </w:pPr>
            <w:r>
              <w:rPr>
                <w:rFonts w:ascii="Arial" w:cs="Arial" w:eastAsia="Arial" w:hAnsi="Arial"/>
                <w:sz w:val="18"/>
                <w:szCs w:val="18"/>
                <w:b w:val="1"/>
                <w:bCs w:val="1"/>
                <w:color w:val="auto"/>
              </w:rPr>
              <w:t>14,216</w:t>
            </w:r>
          </w:p>
        </w:tc>
        <w:tc>
          <w:tcPr>
            <w:tcW w:w="1860" w:type="dxa"/>
            <w:vAlign w:val="bottom"/>
          </w:tcPr>
          <w:p>
            <w:pPr>
              <w:jc w:val="right"/>
              <w:ind w:right="450"/>
              <w:spacing w:after="0"/>
              <w:rPr>
                <w:sz w:val="20"/>
                <w:szCs w:val="20"/>
                <w:color w:val="auto"/>
              </w:rPr>
            </w:pPr>
            <w:r>
              <w:rPr>
                <w:rFonts w:ascii="Arial" w:cs="Arial" w:eastAsia="Arial" w:hAnsi="Arial"/>
                <w:sz w:val="18"/>
                <w:szCs w:val="18"/>
                <w:color w:val="auto"/>
              </w:rPr>
              <w:t>15,544</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19,351</w:t>
            </w:r>
          </w:p>
        </w:tc>
      </w:tr>
      <w:tr>
        <w:trPr>
          <w:trHeight w:val="229"/>
        </w:trPr>
        <w:tc>
          <w:tcPr>
            <w:tcW w:w="53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Common stock equivalents</w:t>
            </w:r>
          </w:p>
        </w:tc>
        <w:tc>
          <w:tcPr>
            <w:tcW w:w="28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b w:val="1"/>
                <w:bCs w:val="1"/>
                <w:color w:val="auto"/>
              </w:rPr>
              <w:t>—</w:t>
            </w:r>
          </w:p>
        </w:tc>
        <w:tc>
          <w:tcPr>
            <w:tcW w:w="1860" w:type="dxa"/>
            <w:vAlign w:val="bottom"/>
            <w:tcBorders>
              <w:bottom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color w:val="auto"/>
              </w:rPr>
              <w:t>127</w:t>
            </w: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144</w:t>
            </w:r>
          </w:p>
        </w:tc>
      </w:tr>
      <w:tr>
        <w:trPr>
          <w:trHeight w:val="223"/>
        </w:trPr>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Weighted-average number of shares - diluted</w:t>
            </w:r>
          </w:p>
        </w:tc>
        <w:tc>
          <w:tcPr>
            <w:tcW w:w="2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14,216</w:t>
            </w:r>
          </w:p>
        </w:tc>
        <w:tc>
          <w:tcPr>
            <w:tcW w:w="18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15,671</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19,495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Common stock equivalents are excluded in Fiscal 2021 due to the loss from continuing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Share-Based Compensation Plans</w:t>
      </w:r>
    </w:p>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share-based compensation covering certain members of management and non-employee directors. The fair value of employee restricted stock is determined based on the closing price of our stock on the date of grant. Forfeitures for restricted stock are recognized as they occur.</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and Cash Incentive Plans</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Under the 2020 Plan, which became effective June 25, 2020, we may grant options, restricted shares, performance awards and other stock-based awards to our key employees, non-employee directors and consultants for up to 1.8 million shares of common stock. The 2020 Plan replaced our Second Amended and Restated 2009 Equity Incentive Plan (the “2009 Plan”). There will be no future awards under the 2009 Plan. Under both plans, the exercise price of each option equals the market price of our stock on the date of grant, and an option’s maximum term is 10 years. Options granted under the plan primarily vest 25% per year over four years. Restricted share grants deplete the shares available for future grants at a ratio of 2.0 shares per restricted share grant.</w:t>
      </w:r>
    </w:p>
    <w:p>
      <w:pPr>
        <w:spacing w:after="0" w:line="13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we established the 2020 Restricted Cash Incentive Program (the “Program”) in Fiscal 2021 to attract and retain executive officers and key employees. Total cash of $2.7 million was granted in June 2020 under this Program. Cash granted under the Program will primarily vest 25% per year over four years. Only employees that were employed as of the grant date were eligible for the Program. The compensation paid under the Program is taxable and subject to applicable tax withholding requirements. Compensation expense recognized in selling and administrative expenses in the accompanying Consolidated Statements of Operations, for this cash grant was $0.4 million for Fiscal 2021.</w:t>
      </w:r>
    </w:p>
    <w:p>
      <w:pPr>
        <w:spacing w:after="0" w:line="13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On February 5, 2020, our new chief executive officer was issued a one-time grant of stock options under the 2009 Plan of 26,620 shares with a grant date fair value of $500,000. The fair value of the one-time stock option is recognized as compensation expense ratably over the vesting period. We estimated the fair value of the stock option award as of the date of the grant by applying a </w:t>
      </w:r>
      <w:r>
        <w:rPr>
          <w:rFonts w:ascii="Arial" w:cs="Arial" w:eastAsia="Arial" w:hAnsi="Arial"/>
          <w:sz w:val="17"/>
          <w:szCs w:val="17"/>
          <w:i w:val="1"/>
          <w:iCs w:val="1"/>
          <w:color w:val="auto"/>
        </w:rPr>
        <w:t>Black-Scholes</w:t>
      </w:r>
      <w:r>
        <w:rPr>
          <w:rFonts w:ascii="Arial" w:cs="Arial" w:eastAsia="Arial" w:hAnsi="Arial"/>
          <w:sz w:val="17"/>
          <w:szCs w:val="17"/>
          <w:color w:val="auto"/>
        </w:rPr>
        <w:t xml:space="preserve"> pricing valuation model. The application of this valuation model involves assumptions that are judgmental and highly sensitive in the determination of compensation expense. The key assumptions used in determining the fair value of the stock option award granted during Fiscal 2021 were expected price volatility of 45.0%, a risk-free rate of 1.52% and a weighted average term of 6.25 years. This resulted in a fair value of $18.78 per share for this one-time stock option.</w:t>
      </w:r>
    </w:p>
    <w:p>
      <w:pPr>
        <w:spacing w:after="0" w:line="13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recognized $0.1 million of stock option related share-based compensation in Fiscal 2021 in selling and administrative expenses in the accompanying Consolidated Statements of Operations. As of January 30, 2021, there was $0.4 million of unrecognized compensation expense related to these stock options under the 2009 Plan. For Fiscal 2020 and 2019, we did not recognize any stock option related share-based compensation for our stock incentive plans as all such amounts were fully recognized in earlier periods. We did not capitalize any share-based compensation expense.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Share-Based Compensation Plans, Continued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Incentive Plans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Director Restricted Stock</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2020 Plan permits grants to non-employee directors on such terms as the Board of Directors may approve. Restricted stock awards were made to independent directors on the date of the annual meeting of shareholders in each of Fiscal 2021, 2020 and 2019. The shares granted in each award vested on the earlier of the first anniversary of the grant date and the date of the next annual meeting of shareholders, subject to the director's continued service through that date. For awards made prior to Fiscal 2021, the director is restricted from selling, transferring, pledging or assigning the shares for three years from the grant date unless he or she earlier leaves the board.</w:t>
      </w:r>
    </w:p>
    <w:p>
      <w:pPr>
        <w:spacing w:after="0" w:line="1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grants for Fiscal 2021, 2020 and 2019 were valued at $91,375 for each year, per director, with the exception of two new directors with a grant valued at $106,605 each in Fiscal 2019, based on the average closing price of the stock for the first five trading days of the month in which they were granted and vested on the first anniversary of the grant date. In addition, we issued 1,338 shares to a newly elected director in Fiscal 2021. For Fiscal 2021, 2020 and 2019, we issued 28,266 shares, 14,455 shares and 22,042 shares, respectively, of director restricted stock.</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the 2009 Plan permitted an outside director to elect irrevocably to receive all or a specified portion of his annual retainers for board membership and any committee chairmanship for the following fiscal year in a number of shares of restricted stock (the "Retainer Stock"). Shares of the Retainer Stock were granted as of the first business day of the fiscal year as to which the election was effective, subject to forfeiture to the extent not earned upon the outside director's ceasing to serve as a director or committee chairman during such fiscal year. Once the shares were earned, the director is restricted from selling, transferring, pledging or assigning the shares for an additional three years. The 2020 Plan does not permit the issuance of retainer stock. For Fiscal 2021, 2020 and 2019, we issued 10,457 shares, 10,913 shares and 14,379 shares, respectively, of Retainer Stock. Director retainer fees were reduced during Fiscal 2021 primarily related to the COVID-19 pandemic. In connection with the fee reduction, 2,965 shares of Retainer Stock were forfeited during Fiscal 2021.</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recognized $0.9 million, $1.3 million and $1.3 million of director restricted stock related share-based compensation in Fiscal 2021, 2020 and 2019 in selling and administrative expenses in the accompanying Consolidated Statements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Restricted Stock</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the 2009 Plan, we issued 427,741 shares, 269,816 shares and 352,060 shares of employee restricted stock in Fiscal 2021, 2020 and 2019, respectively. Shares of employee restricted stock issued in Fiscal 2021, 2020 and 2019 primarily vest 25% per year over four years, provided that on such date the grantee has remained continuously employed by the Company since the date of grant. In addition, we issued 621, 1,800 and 4,388 restricted stock units in Fiscal 2021, 2020 and 2019, respectively, to certain employees at no cost that vest over three years. The fair value of employee restricted stock is charged against income as compensation expense over the vesting period. Compensation expense recognized in selling and administrative expenses in the accompanying Consolidated Statements of Operations for these shares was $7.4 million, $8.8 million and $12.1 million for Fiscal 2021, 2020 and 2019, respectively, and is inclusive of discontinued operations of $2.0 million in Fiscal 2019.</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Share-Based Compensation Plans, Continued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status of our nonvested shares of our employee restricted stock as of January 30, 2021 is presented below: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jc w:val="center"/>
              <w:ind w:right="290"/>
              <w:spacing w:after="0"/>
              <w:rPr>
                <w:sz w:val="20"/>
                <w:szCs w:val="20"/>
                <w:color w:val="auto"/>
              </w:rPr>
            </w:pPr>
            <w:r>
              <w:rPr>
                <w:rFonts w:ascii="Arial" w:cs="Arial" w:eastAsia="Arial" w:hAnsi="Arial"/>
                <w:sz w:val="18"/>
                <w:szCs w:val="18"/>
                <w:color w:val="auto"/>
                <w:w w:val="90"/>
              </w:rPr>
              <w:t>Weighted-</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jc w:val="center"/>
              <w:ind w:right="270"/>
              <w:spacing w:after="0"/>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216"/>
        </w:trPr>
        <w:tc>
          <w:tcPr>
            <w:tcW w:w="5320" w:type="dxa"/>
            <w:vAlign w:val="bottom"/>
            <w:vMerge w:val="restart"/>
          </w:tcPr>
          <w:p>
            <w:pPr>
              <w:spacing w:after="0"/>
              <w:rPr>
                <w:sz w:val="20"/>
                <w:szCs w:val="20"/>
                <w:color w:val="auto"/>
              </w:rPr>
            </w:pPr>
            <w:r>
              <w:rPr>
                <w:rFonts w:ascii="Arial" w:cs="Arial" w:eastAsia="Arial" w:hAnsi="Arial"/>
                <w:sz w:val="18"/>
                <w:szCs w:val="18"/>
                <w:b w:val="1"/>
                <w:bCs w:val="1"/>
                <w:color w:val="auto"/>
              </w:rPr>
              <w:t>Nonvested Restricted Shares</w:t>
            </w:r>
          </w:p>
        </w:tc>
        <w:tc>
          <w:tcPr>
            <w:tcW w:w="4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jc w:val="center"/>
              <w:ind w:right="270"/>
              <w:spacing w:after="0"/>
              <w:rPr>
                <w:sz w:val="20"/>
                <w:szCs w:val="20"/>
                <w:color w:val="auto"/>
              </w:rPr>
            </w:pPr>
            <w:r>
              <w:rPr>
                <w:rFonts w:ascii="Arial" w:cs="Arial" w:eastAsia="Arial" w:hAnsi="Arial"/>
                <w:sz w:val="18"/>
                <w:szCs w:val="18"/>
                <w:color w:val="auto"/>
                <w:w w:val="89"/>
              </w:rPr>
              <w:t>Grant-Date</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auto"/>
            </w:tcBorders>
            <w:vMerge w:val="continue"/>
          </w:tcPr>
          <w:p>
            <w:pPr>
              <w:spacing w:after="0"/>
              <w:rPr>
                <w:sz w:val="20"/>
                <w:szCs w:val="20"/>
                <w:color w:val="auto"/>
              </w:rPr>
            </w:pPr>
          </w:p>
        </w:tc>
        <w:tc>
          <w:tcPr>
            <w:tcW w:w="41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Shares</w:t>
            </w: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color w:val="auto"/>
                <w:w w:val="90"/>
              </w:rPr>
              <w:t>Fair Value</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Nonvested at February 3, 2018</w:t>
            </w:r>
          </w:p>
        </w:tc>
        <w:tc>
          <w:tcPr>
            <w:tcW w:w="414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640,080</w:t>
            </w:r>
          </w:p>
        </w:tc>
        <w:tc>
          <w:tcPr>
            <w:tcW w:w="3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48.37</w:t>
            </w: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Granted</w:t>
            </w:r>
          </w:p>
        </w:tc>
        <w:tc>
          <w:tcPr>
            <w:tcW w:w="4140" w:type="dxa"/>
            <w:vAlign w:val="bottom"/>
          </w:tcPr>
          <w:p>
            <w:pPr>
              <w:jc w:val="right"/>
              <w:ind w:right="110"/>
              <w:spacing w:after="0"/>
              <w:rPr>
                <w:sz w:val="20"/>
                <w:szCs w:val="20"/>
                <w:color w:val="auto"/>
              </w:rPr>
            </w:pPr>
            <w:r>
              <w:rPr>
                <w:rFonts w:ascii="Arial" w:cs="Arial" w:eastAsia="Arial" w:hAnsi="Arial"/>
                <w:sz w:val="18"/>
                <w:szCs w:val="18"/>
                <w:color w:val="auto"/>
              </w:rPr>
              <w:t>352,060</w:t>
            </w:r>
          </w:p>
        </w:tc>
        <w:tc>
          <w:tcPr>
            <w:tcW w:w="340" w:type="dxa"/>
            <w:vAlign w:val="bottom"/>
          </w:tcPr>
          <w:p>
            <w:pPr>
              <w:spacing w:after="0"/>
              <w:rPr>
                <w:sz w:val="19"/>
                <w:szCs w:val="19"/>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40.90</w:t>
            </w:r>
          </w:p>
        </w:tc>
        <w:tc>
          <w:tcPr>
            <w:tcW w:w="0" w:type="dxa"/>
            <w:vAlign w:val="bottom"/>
          </w:tcPr>
          <w:p>
            <w:pPr>
              <w:spacing w:after="0"/>
              <w:rPr>
                <w:sz w:val="1"/>
                <w:szCs w:val="1"/>
                <w:color w:val="auto"/>
              </w:rPr>
            </w:pPr>
          </w:p>
        </w:tc>
      </w:tr>
      <w:tr>
        <w:trPr>
          <w:trHeight w:val="229"/>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4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(177,394)</w:t>
            </w:r>
          </w:p>
        </w:tc>
        <w:tc>
          <w:tcPr>
            <w:tcW w:w="3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54.12</w:t>
            </w:r>
          </w:p>
        </w:tc>
        <w:tc>
          <w:tcPr>
            <w:tcW w:w="0" w:type="dxa"/>
            <w:vAlign w:val="bottom"/>
          </w:tcPr>
          <w:p>
            <w:pPr>
              <w:spacing w:after="0"/>
              <w:rPr>
                <w:sz w:val="1"/>
                <w:szCs w:val="1"/>
                <w:color w:val="auto"/>
              </w:rPr>
            </w:pPr>
          </w:p>
        </w:tc>
      </w:tr>
      <w:tr>
        <w:trPr>
          <w:trHeight w:val="229"/>
        </w:trPr>
        <w:tc>
          <w:tcPr>
            <w:tcW w:w="5320" w:type="dxa"/>
            <w:vAlign w:val="bottom"/>
          </w:tcPr>
          <w:p>
            <w:pPr>
              <w:spacing w:after="0"/>
              <w:rPr>
                <w:sz w:val="20"/>
                <w:szCs w:val="20"/>
                <w:color w:val="auto"/>
              </w:rPr>
            </w:pPr>
            <w:r>
              <w:rPr>
                <w:rFonts w:ascii="Arial" w:cs="Arial" w:eastAsia="Arial" w:hAnsi="Arial"/>
                <w:sz w:val="18"/>
                <w:szCs w:val="18"/>
                <w:color w:val="auto"/>
              </w:rPr>
              <w:t>Withheld for federal taxes</w:t>
            </w:r>
          </w:p>
        </w:tc>
        <w:tc>
          <w:tcPr>
            <w:tcW w:w="4140" w:type="dxa"/>
            <w:vAlign w:val="bottom"/>
          </w:tcPr>
          <w:p>
            <w:pPr>
              <w:jc w:val="right"/>
              <w:ind w:right="30"/>
              <w:spacing w:after="0"/>
              <w:rPr>
                <w:sz w:val="20"/>
                <w:szCs w:val="20"/>
                <w:color w:val="auto"/>
              </w:rPr>
            </w:pPr>
            <w:r>
              <w:rPr>
                <w:rFonts w:ascii="Arial" w:cs="Arial" w:eastAsia="Arial" w:hAnsi="Arial"/>
                <w:sz w:val="18"/>
                <w:szCs w:val="18"/>
                <w:color w:val="auto"/>
              </w:rPr>
              <w:t>(69,762)</w:t>
            </w:r>
          </w:p>
        </w:tc>
        <w:tc>
          <w:tcPr>
            <w:tcW w:w="340" w:type="dxa"/>
            <w:vAlign w:val="bottom"/>
          </w:tcPr>
          <w:p>
            <w:pPr>
              <w:spacing w:after="0"/>
              <w:rPr>
                <w:sz w:val="19"/>
                <w:szCs w:val="19"/>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54.26</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Forfeited</w:t>
            </w:r>
          </w:p>
        </w:tc>
        <w:tc>
          <w:tcPr>
            <w:tcW w:w="4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(153,646)</w:t>
            </w:r>
          </w:p>
        </w:tc>
        <w:tc>
          <w:tcPr>
            <w:tcW w:w="3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42.66</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Nonvested at February 2, 2019</w:t>
            </w:r>
          </w:p>
        </w:tc>
        <w:tc>
          <w:tcPr>
            <w:tcW w:w="4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591,338</w:t>
            </w: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42.99</w:t>
            </w:r>
          </w:p>
        </w:tc>
        <w:tc>
          <w:tcPr>
            <w:tcW w:w="0" w:type="dxa"/>
            <w:vAlign w:val="bottom"/>
          </w:tcPr>
          <w:p>
            <w:pPr>
              <w:spacing w:after="0"/>
              <w:rPr>
                <w:sz w:val="1"/>
                <w:szCs w:val="1"/>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41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269,816</w:t>
            </w:r>
          </w:p>
        </w:tc>
        <w:tc>
          <w:tcPr>
            <w:tcW w:w="3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42.48</w:t>
            </w:r>
          </w:p>
        </w:tc>
        <w:tc>
          <w:tcPr>
            <w:tcW w:w="0" w:type="dxa"/>
            <w:vAlign w:val="bottom"/>
          </w:tcPr>
          <w:p>
            <w:pPr>
              <w:spacing w:after="0"/>
              <w:rPr>
                <w:sz w:val="1"/>
                <w:szCs w:val="1"/>
                <w:color w:val="auto"/>
              </w:rPr>
            </w:pPr>
          </w:p>
        </w:tc>
      </w:tr>
      <w:tr>
        <w:trPr>
          <w:trHeight w:val="229"/>
        </w:trPr>
        <w:tc>
          <w:tcPr>
            <w:tcW w:w="5320" w:type="dxa"/>
            <w:vAlign w:val="bottom"/>
          </w:tcPr>
          <w:p>
            <w:pPr>
              <w:spacing w:after="0"/>
              <w:rPr>
                <w:sz w:val="20"/>
                <w:szCs w:val="20"/>
                <w:color w:val="auto"/>
              </w:rPr>
            </w:pPr>
            <w:r>
              <w:rPr>
                <w:rFonts w:ascii="Arial" w:cs="Arial" w:eastAsia="Arial" w:hAnsi="Arial"/>
                <w:sz w:val="18"/>
                <w:szCs w:val="18"/>
                <w:color w:val="auto"/>
              </w:rPr>
              <w:t>Vested</w:t>
            </w:r>
          </w:p>
        </w:tc>
        <w:tc>
          <w:tcPr>
            <w:tcW w:w="4140" w:type="dxa"/>
            <w:vAlign w:val="bottom"/>
          </w:tcPr>
          <w:p>
            <w:pPr>
              <w:jc w:val="right"/>
              <w:ind w:right="30"/>
              <w:spacing w:after="0"/>
              <w:rPr>
                <w:sz w:val="20"/>
                <w:szCs w:val="20"/>
                <w:color w:val="auto"/>
              </w:rPr>
            </w:pPr>
            <w:r>
              <w:rPr>
                <w:rFonts w:ascii="Arial" w:cs="Arial" w:eastAsia="Arial" w:hAnsi="Arial"/>
                <w:sz w:val="18"/>
                <w:szCs w:val="18"/>
                <w:color w:val="auto"/>
              </w:rPr>
              <w:t>(138,765)</w:t>
            </w:r>
          </w:p>
        </w:tc>
        <w:tc>
          <w:tcPr>
            <w:tcW w:w="340" w:type="dxa"/>
            <w:vAlign w:val="bottom"/>
          </w:tcPr>
          <w:p>
            <w:pPr>
              <w:spacing w:after="0"/>
              <w:rPr>
                <w:sz w:val="19"/>
                <w:szCs w:val="19"/>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47.56</w:t>
            </w: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Withheld for federal taxes</w:t>
            </w:r>
          </w:p>
        </w:tc>
        <w:tc>
          <w:tcPr>
            <w:tcW w:w="4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(55,598)</w:t>
            </w:r>
          </w:p>
        </w:tc>
        <w:tc>
          <w:tcPr>
            <w:tcW w:w="3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46.51</w:t>
            </w:r>
          </w:p>
        </w:tc>
        <w:tc>
          <w:tcPr>
            <w:tcW w:w="0" w:type="dxa"/>
            <w:vAlign w:val="bottom"/>
          </w:tcPr>
          <w:p>
            <w:pPr>
              <w:spacing w:after="0"/>
              <w:rPr>
                <w:sz w:val="1"/>
                <w:szCs w:val="1"/>
                <w:color w:val="auto"/>
              </w:rPr>
            </w:pPr>
          </w:p>
        </w:tc>
      </w:tr>
      <w:tr>
        <w:trPr>
          <w:trHeight w:val="229"/>
        </w:trPr>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Forfeited</w:t>
            </w:r>
          </w:p>
        </w:tc>
        <w:tc>
          <w:tcPr>
            <w:tcW w:w="4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(77,013)</w:t>
            </w: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42.19</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Nonvested at February 1, 2020</w:t>
            </w:r>
          </w:p>
        </w:tc>
        <w:tc>
          <w:tcPr>
            <w:tcW w:w="414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589,778</w:t>
            </w:r>
          </w:p>
        </w:tc>
        <w:tc>
          <w:tcPr>
            <w:tcW w:w="3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41.46</w:t>
            </w: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b w:val="1"/>
                <w:bCs w:val="1"/>
                <w:color w:val="auto"/>
              </w:rPr>
              <w:t>Granted</w:t>
            </w:r>
          </w:p>
        </w:tc>
        <w:tc>
          <w:tcPr>
            <w:tcW w:w="4140" w:type="dxa"/>
            <w:vAlign w:val="bottom"/>
          </w:tcPr>
          <w:p>
            <w:pPr>
              <w:jc w:val="right"/>
              <w:ind w:right="110"/>
              <w:spacing w:after="0"/>
              <w:rPr>
                <w:sz w:val="20"/>
                <w:szCs w:val="20"/>
                <w:color w:val="auto"/>
              </w:rPr>
            </w:pPr>
            <w:r>
              <w:rPr>
                <w:rFonts w:ascii="Arial" w:cs="Arial" w:eastAsia="Arial" w:hAnsi="Arial"/>
                <w:sz w:val="18"/>
                <w:szCs w:val="18"/>
                <w:b w:val="1"/>
                <w:bCs w:val="1"/>
                <w:color w:val="auto"/>
              </w:rPr>
              <w:t>427,741</w:t>
            </w:r>
          </w:p>
        </w:tc>
        <w:tc>
          <w:tcPr>
            <w:tcW w:w="340" w:type="dxa"/>
            <w:vAlign w:val="bottom"/>
          </w:tcPr>
          <w:p>
            <w:pPr>
              <w:spacing w:after="0"/>
              <w:rPr>
                <w:sz w:val="19"/>
                <w:szCs w:val="19"/>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b w:val="1"/>
                <w:bCs w:val="1"/>
                <w:color w:val="auto"/>
              </w:rPr>
              <w:t>19.62</w:t>
            </w: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Vested</w:t>
            </w:r>
          </w:p>
        </w:tc>
        <w:tc>
          <w:tcPr>
            <w:tcW w:w="41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(139,962)</w:t>
            </w:r>
          </w:p>
        </w:tc>
        <w:tc>
          <w:tcPr>
            <w:tcW w:w="3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50.35</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b w:val="1"/>
                <w:bCs w:val="1"/>
                <w:color w:val="auto"/>
              </w:rPr>
              <w:t>Withheld for federal taxes</w:t>
            </w:r>
          </w:p>
        </w:tc>
        <w:tc>
          <w:tcPr>
            <w:tcW w:w="4140" w:type="dxa"/>
            <w:vAlign w:val="bottom"/>
          </w:tcPr>
          <w:p>
            <w:pPr>
              <w:jc w:val="right"/>
              <w:ind w:right="30"/>
              <w:spacing w:after="0"/>
              <w:rPr>
                <w:sz w:val="20"/>
                <w:szCs w:val="20"/>
                <w:color w:val="auto"/>
              </w:rPr>
            </w:pPr>
            <w:r>
              <w:rPr>
                <w:rFonts w:ascii="Arial" w:cs="Arial" w:eastAsia="Arial" w:hAnsi="Arial"/>
                <w:sz w:val="18"/>
                <w:szCs w:val="18"/>
                <w:b w:val="1"/>
                <w:bCs w:val="1"/>
                <w:color w:val="auto"/>
              </w:rPr>
              <w:t>(64,382)</w:t>
            </w:r>
          </w:p>
        </w:tc>
        <w:tc>
          <w:tcPr>
            <w:tcW w:w="340" w:type="dxa"/>
            <w:vAlign w:val="bottom"/>
          </w:tcPr>
          <w:p>
            <w:pPr>
              <w:spacing w:after="0"/>
              <w:rPr>
                <w:sz w:val="19"/>
                <w:szCs w:val="19"/>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b w:val="1"/>
                <w:bCs w:val="1"/>
                <w:color w:val="auto"/>
              </w:rPr>
              <w:t>50.29</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Forfeited</w:t>
            </w:r>
          </w:p>
        </w:tc>
        <w:tc>
          <w:tcPr>
            <w:tcW w:w="4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(147,085)</w:t>
            </w:r>
          </w:p>
        </w:tc>
        <w:tc>
          <w:tcPr>
            <w:tcW w:w="3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36.62</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Nonvested at January 30, 2021</w:t>
            </w:r>
          </w:p>
        </w:tc>
        <w:tc>
          <w:tcPr>
            <w:tcW w:w="4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666,090</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27.98</w:t>
            </w:r>
          </w:p>
        </w:tc>
        <w:tc>
          <w:tcPr>
            <w:tcW w:w="0" w:type="dxa"/>
            <w:vAlign w:val="bottom"/>
          </w:tcPr>
          <w:p>
            <w:pPr>
              <w:spacing w:after="0"/>
              <w:rPr>
                <w:sz w:val="1"/>
                <w:szCs w:val="1"/>
                <w:color w:val="auto"/>
              </w:rPr>
            </w:pP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4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January 30, 2021, we had $14.5 million of total unrecognized compensation expense related to nonvested share-based compensation arrangements for restricted stock discussed above. That cost is expected to be recognized over a weighted average period of 1.77 years.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Proceedings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York State Environmental Matters</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August 1997, the New York State Department of Environmental Conservation (“NYSDEC”) and the Company entered into a consent order whereby we assumed responsibility for conducting a remedial investigation and feasibility study and implementing an interim remedial measure with regard to the site of a knitting mill operated by a former subsidiary of ours from 1965 to 1969. The United States Environmental Protection Agency (“EPA”), which assumed primary regulatory responsibility for the site from NYSDEC, issued a Record of Decision in September 2007. The Record of Decision specified a remedy of a combination of groundwater extraction and treatment and in-situ chemical oxidation.</w:t>
      </w:r>
    </w:p>
    <w:p>
      <w:pPr>
        <w:spacing w:after="0" w:line="1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September 2015, the EPA adopted an amendment to the Record of Decision eliminating the separate ground-water extraction and treatment systems and the use of in-situ oxidation from the remedy adopted in the Record of Decision. The amendment provides for the continued operation and maintenance of the existing wellhead treatment systems on wells operated by the Village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Proceedings, Continued</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 Garden City, New York (the "Village"). It also requires us to perform certain ongoing monitoring, operation and maintenance activities and to reimburse EPA's future oversight cost, involving future costs to us estimated to be between $1.7 million and $2.0 million, and to reimburse EPA for approximately $1.25 million of interim oversight costs. On August 15, 2016, the Court entered a Consent Judgment implementing the remedy provided for by the amendment.</w:t>
      </w:r>
    </w:p>
    <w:p>
      <w:pPr>
        <w:spacing w:after="0" w:line="14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Village additionally asserted that we are liable for the costs associated with enhanced treatment required by the impact of the groundwater plume from the site on two public water supply wells, including historical total costs ranging from approximately $1.8 million to in excess of $2.5 million, and future operation and maintenance costs which the Village estimated at $126,400 annually while the enhanced treatment continues. On December 14, 2007, the Village filed a complaint (the "Village Lawsuit") against us and the owner of the property under the Resource Conservation and Recovery Act (“RCRA”), the Safe Drinking Water Act, and the Comprehensive Environmental Response, Compensation and Liability Act (“CERCLA”) as well as a number of state law theories in the U.S. District Court for the Eastern District of New York, seeking an injunction requiring the defendants to remediate contamination from the site and to establish their liability for future costs that may be incurred in connection with it.</w:t>
      </w:r>
    </w:p>
    <w:p>
      <w:pPr>
        <w:spacing w:after="0" w:line="15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June 2016 we reached an agreement with the Village providing for the Village to continue to operate and maintain the well head treatment systems in accordance with the Record of Decision and to release its claims against us asserted in the Village Lawsuit in exchange for a lump-sum payment of $10.0 million by us. On August 25, 2016, the Village Lawsuit was dismissed with prejudice. The cost of the settlement with the Village and the estimated costs associated with our compliance with the Consent Judgment were covered by our existing provision for the site. The settlement with the Village did not have, and we expect that the Consent Judgment will not have, a material effect on our financial condition or results of operations.</w:t>
      </w:r>
    </w:p>
    <w:p>
      <w:pPr>
        <w:spacing w:after="0" w:line="13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April 2015, we received from EPA a Notice of Potential Liability and Demand for Costs (the "Notice") pursuant to CERCLA regarding the site in Gloversville, New York of a former leather tannery operated by us and by other, unrelated parties. The Notice demanded payment of approximately $2.2 million of response costs claimed by EPA to have been incurred to conduct assessments and removal activities at the site. In February 2017, we entered into a settlement agreement with EPA resolving their claim for past response costs in exchange for a payment by us of $1.5 million which was paid in May 2017. Our environmental insurance carrier has reimbursed us for 75% of the settlement amount, subject to a $500,000 self-insured retention. We do not expect any additional cost related to the matter.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Whitehall Environmental Matters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performed sampling and analysis of soil, sediments, surface water, groundwater and waste management areas at our former Volunteer Leather Company facility in Whitehall, Michigan.</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2010, we entered into a Consent Decree with the Michigan Department of Natural Resources and Environment providing for implementation of a remedial Work Plan for the facility site designed to bring the site into compliance with applicable regulatory standards. The Work Plan's implementation is substantially complete and we expect, based on our present understanding of the condition of the site, that our future obligations with respect to the site will be limited to periodic monitoring and that future costs related to the site should not have a material effect on our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Proceedings, Continued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Accrual for Environmental Contingencies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Related to all outstanding environmental contingencies, we had accrued $1.5 million as of January 30, 2021, $1.5 million as of February 1, 2020 and $1.8 million as of February 2, 2019. All such provisions reflect our estimates of the most likely cost (undiscounted, including both current and noncurrent portions) of resolving the contingencies, based on facts and circumstances as of the time they were made. There is no assurance that relevant facts and circumstances will not change, necessitating future changes to the provisions. Such contingent liabilities are included in the liability arising from provision for discontinued operations on the accompanying Consolidated Balance Sheets because it relates to former facilities operated by us. We have made pretax accruals for certain of these contingencies, including approximately $0.3 million in Fiscal 2021, $0.4 million in Fiscal 2020 and $0.7 million in Fiscal 2019. These charges are included in loss from discontinued operations, net in the Consolidated Statements of Operations and represent changes in estimates.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matters specifically described in this Note, we are a party to other legal and regulatory proceedings and claims arising in the ordinary course of our business. While management does not believe that our liability with respect to any of these other matters is likely to have a material effect on our financial statements, legal proceedings are subject to inherent uncertainties and unfavorable rulings could have a material adverse impact on our financial statements.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Segment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reportable segments are based on management's organization of the segments in order to make operating decisions and assess performance along types of products sold. Journeys Group and Schuh Group sell primarily branded products from other companies while Johnston &amp; Murphy Group and Licensed Brands sell primarily our owned and licensed brands.</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Corporate assets include cash, domestic prepaid rent expense, prepaid income taxes, pension asset, deferred income taxes, deferred note expense on revolver debt and corporate fixed assets, including the former Lids Sports Group headquarters building in Fiscal 2019, and miscellaneous investments. We do not allocate certain costs to each segment in order to make decisions and assess performance. These costs include corporate overhead, bank fees, interest expense, interest income, goodwill impairment, asset impairment charges and other, including a pension settlement charge, major litigation and major lease terminations.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Segment Information, Continued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5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70"/>
              <w:spacing w:after="0" w:line="205" w:lineRule="exact"/>
              <w:rPr>
                <w:sz w:val="20"/>
                <w:szCs w:val="20"/>
                <w:color w:val="auto"/>
              </w:rPr>
            </w:pPr>
            <w:r>
              <w:rPr>
                <w:rFonts w:ascii="Arial" w:cs="Arial" w:eastAsia="Arial" w:hAnsi="Arial"/>
                <w:sz w:val="18"/>
                <w:szCs w:val="18"/>
                <w:b w:val="1"/>
                <w:bCs w:val="1"/>
                <w:color w:val="auto"/>
                <w:w w:val="88"/>
              </w:rPr>
              <w:t>Johnston</w:t>
            </w: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216"/>
        </w:trPr>
        <w:tc>
          <w:tcPr>
            <w:tcW w:w="4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rPr>
              <w:t>&amp;</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4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w w:val="92"/>
              </w:rPr>
              <w:t>Journeys</w:t>
            </w:r>
          </w:p>
        </w:tc>
        <w:tc>
          <w:tcPr>
            <w:tcW w:w="30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b w:val="1"/>
                <w:bCs w:val="1"/>
                <w:color w:val="auto"/>
              </w:rPr>
              <w:t>Schuh</w:t>
            </w:r>
          </w:p>
        </w:tc>
        <w:tc>
          <w:tcPr>
            <w:tcW w:w="20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rPr>
              <w:t>Murphy</w:t>
            </w:r>
          </w:p>
        </w:tc>
        <w:tc>
          <w:tcPr>
            <w:tcW w:w="20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w w:val="92"/>
              </w:rPr>
              <w:t>Licensed</w:t>
            </w:r>
          </w:p>
        </w:tc>
        <w:tc>
          <w:tcPr>
            <w:tcW w:w="11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Corporate</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Group</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Group</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Group</w:t>
            </w: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Brands</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&amp; Other</w:t>
            </w:r>
          </w:p>
        </w:tc>
        <w:tc>
          <w:tcPr>
            <w:tcW w:w="12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6"/>
              </w:rPr>
              <w:t>Consolidated</w:t>
            </w:r>
          </w:p>
        </w:tc>
      </w:tr>
      <w:tr>
        <w:trPr>
          <w:trHeight w:val="223"/>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Sales</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92"/>
              </w:rPr>
              <w:t>1,227,954</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98"/>
              </w:rPr>
              <w:t>305,941</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152,941</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101,287</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99"/>
              </w:rPr>
              <w:t>1,788,123</w:t>
            </w:r>
          </w:p>
        </w:tc>
      </w:tr>
      <w:tr>
        <w:trPr>
          <w:trHeight w:val="229"/>
        </w:trPr>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Intercompany sales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(1,593)</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(1,593)</w:t>
            </w:r>
          </w:p>
        </w:tc>
      </w:tr>
      <w:tr>
        <w:trPr>
          <w:trHeight w:val="223"/>
        </w:trPr>
        <w:tc>
          <w:tcPr>
            <w:tcW w:w="45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Net sales to external customers</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92"/>
              </w:rPr>
              <w:t>1,227,954</w:t>
            </w:r>
          </w:p>
        </w:tc>
        <w:tc>
          <w:tcPr>
            <w:tcW w:w="3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98"/>
              </w:rPr>
              <w:t>305,941</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152,941</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99,694</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99"/>
              </w:rPr>
              <w:t>1,786,530</w:t>
            </w: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Segment operating income (loss)</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76,896</w:t>
            </w:r>
          </w:p>
        </w:tc>
        <w:tc>
          <w:tcPr>
            <w:tcW w:w="3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(11,602)</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(47,624)</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(5,430)</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(21,548)</w:t>
            </w:r>
          </w:p>
        </w:tc>
        <w:tc>
          <w:tcPr>
            <w:tcW w:w="26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(9,308)</w:t>
            </w:r>
          </w:p>
        </w:tc>
      </w:tr>
      <w:tr>
        <w:trPr>
          <w:trHeight w:val="229"/>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Goodwill impairment</w:t>
            </w:r>
            <w:r>
              <w:rPr>
                <w:rFonts w:ascii="Arial" w:cs="Arial" w:eastAsia="Arial" w:hAnsi="Arial"/>
                <w:sz w:val="15"/>
                <w:szCs w:val="15"/>
                <w:color w:val="auto"/>
              </w:rPr>
              <w:t>(1)</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(79,259)</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(79,259)</w:t>
            </w:r>
          </w:p>
        </w:tc>
      </w:tr>
      <w:tr>
        <w:trPr>
          <w:trHeight w:val="230"/>
        </w:trPr>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Asset impairments and other</w:t>
            </w:r>
            <w:r>
              <w:rPr>
                <w:rFonts w:ascii="Arial" w:cs="Arial" w:eastAsia="Arial" w:hAnsi="Arial"/>
                <w:sz w:val="15"/>
                <w:szCs w:val="15"/>
                <w:color w:val="auto"/>
              </w:rPr>
              <w:t>(2)</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(18,682)</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(18,682)</w:t>
            </w:r>
          </w:p>
        </w:tc>
      </w:tr>
      <w:tr>
        <w:trPr>
          <w:trHeight w:val="223"/>
        </w:trPr>
        <w:tc>
          <w:tcPr>
            <w:tcW w:w="4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income (loss)</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76,896</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(11,602)</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(47,624)</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(5,430)</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8"/>
              </w:rPr>
              <w:t>(119,489)</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(107,249)</w:t>
            </w: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Other components of net periodic benefit income</w:t>
            </w:r>
          </w:p>
        </w:tc>
        <w:tc>
          <w:tcPr>
            <w:tcW w:w="2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b w:val="1"/>
                <w:bCs w:val="1"/>
                <w:color w:val="auto"/>
              </w:rPr>
              <w:t>670</w:t>
            </w:r>
          </w:p>
        </w:tc>
        <w:tc>
          <w:tcPr>
            <w:tcW w:w="26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670</w:t>
            </w:r>
          </w:p>
        </w:tc>
      </w:tr>
      <w:tr>
        <w:trPr>
          <w:trHeight w:val="229"/>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(5,342)</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(5,342)</w:t>
            </w:r>
          </w:p>
        </w:tc>
      </w:tr>
      <w:tr>
        <w:trPr>
          <w:trHeight w:val="230"/>
        </w:trPr>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252</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252</w:t>
            </w:r>
          </w:p>
        </w:tc>
      </w:tr>
      <w:tr>
        <w:trPr>
          <w:trHeight w:val="205"/>
        </w:trPr>
        <w:tc>
          <w:tcPr>
            <w:tcW w:w="454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w w:val="90"/>
              </w:rPr>
              <w:t>Earnings (loss) from continuing operations before income</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r>
      <w:tr>
        <w:trPr>
          <w:trHeight w:val="234"/>
        </w:trPr>
        <w:tc>
          <w:tcPr>
            <w:tcW w:w="45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taxes</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76,896</w:t>
            </w:r>
          </w:p>
        </w:tc>
        <w:tc>
          <w:tcPr>
            <w:tcW w:w="3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(11,602)</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(47,624)</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(5,430)</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8"/>
              </w:rPr>
              <w:t>(123,909)</w:t>
            </w:r>
          </w:p>
        </w:tc>
        <w:tc>
          <w:tcPr>
            <w:tcW w:w="26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(111,669)</w:t>
            </w: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Total assets</w:t>
            </w:r>
            <w:r>
              <w:rPr>
                <w:rFonts w:ascii="Arial" w:cs="Arial" w:eastAsia="Arial" w:hAnsi="Arial"/>
                <w:sz w:val="15"/>
                <w:szCs w:val="15"/>
                <w:color w:val="auto"/>
              </w:rPr>
              <w:t>(3)</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767,535</w:t>
            </w:r>
          </w:p>
        </w:tc>
        <w:tc>
          <w:tcPr>
            <w:tcW w:w="3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70"/>
              <w:spacing w:after="0"/>
              <w:rPr>
                <w:sz w:val="20"/>
                <w:szCs w:val="20"/>
                <w:color w:val="auto"/>
              </w:rPr>
            </w:pPr>
            <w:r>
              <w:rPr>
                <w:rFonts w:ascii="Arial" w:cs="Arial" w:eastAsia="Arial" w:hAnsi="Arial"/>
                <w:sz w:val="18"/>
                <w:szCs w:val="18"/>
                <w:b w:val="1"/>
                <w:bCs w:val="1"/>
                <w:color w:val="auto"/>
                <w:w w:val="98"/>
              </w:rPr>
              <w:t>232,681</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rPr>
              <w:t>159,027</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rPr>
              <w:t>58,320</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b w:val="1"/>
                <w:bCs w:val="1"/>
                <w:color w:val="auto"/>
              </w:rPr>
              <w:t>369,805</w:t>
            </w:r>
          </w:p>
        </w:tc>
        <w:tc>
          <w:tcPr>
            <w:tcW w:w="26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1,587,368</w:t>
            </w: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29,326</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8,885</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5,487</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1,317</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1,484</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46,499</w:t>
            </w:r>
          </w:p>
        </w:tc>
      </w:tr>
      <w:tr>
        <w:trPr>
          <w:trHeight w:val="229"/>
        </w:trPr>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Capital expenditures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16,188</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2,794</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4,064</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356</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728</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24,130</w:t>
            </w:r>
          </w:p>
        </w:tc>
      </w:tr>
      <w:tr>
        <w:trPr>
          <w:trHeight w:val="20"/>
        </w:trPr>
        <w:tc>
          <w:tcPr>
            <w:tcW w:w="4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00" w:hanging="392"/>
        <w:spacing w:after="0"/>
        <w:tabs>
          <w:tab w:leader="none" w:pos="400" w:val="left"/>
        </w:tabs>
        <w:numPr>
          <w:ilvl w:val="0"/>
          <w:numId w:val="18"/>
        </w:numPr>
        <w:rPr>
          <w:rFonts w:ascii="Arial" w:cs="Arial" w:eastAsia="Arial" w:hAnsi="Arial"/>
          <w:sz w:val="15"/>
          <w:szCs w:val="15"/>
          <w:color w:val="auto"/>
        </w:rPr>
      </w:pPr>
      <w:r>
        <w:rPr>
          <w:rFonts w:ascii="Arial" w:cs="Arial" w:eastAsia="Arial" w:hAnsi="Arial"/>
          <w:sz w:val="18"/>
          <w:szCs w:val="18"/>
          <w:color w:val="auto"/>
        </w:rPr>
        <w:t>Goodwill impairment of $79.3 million is related to Schuh Group.</w:t>
      </w:r>
    </w:p>
    <w:p>
      <w:pPr>
        <w:spacing w:after="0" w:line="225" w:lineRule="exact"/>
        <w:rPr>
          <w:rFonts w:ascii="Arial" w:cs="Arial" w:eastAsia="Arial" w:hAnsi="Arial"/>
          <w:sz w:val="15"/>
          <w:szCs w:val="15"/>
          <w:color w:val="auto"/>
        </w:rPr>
      </w:pPr>
    </w:p>
    <w:p>
      <w:pPr>
        <w:jc w:val="both"/>
        <w:ind w:left="400" w:hanging="392"/>
        <w:spacing w:after="0" w:line="263" w:lineRule="auto"/>
        <w:tabs>
          <w:tab w:leader="none" w:pos="400" w:val="left"/>
        </w:tabs>
        <w:numPr>
          <w:ilvl w:val="0"/>
          <w:numId w:val="18"/>
        </w:numPr>
        <w:rPr>
          <w:rFonts w:ascii="Arial" w:cs="Arial" w:eastAsia="Arial" w:hAnsi="Arial"/>
          <w:sz w:val="15"/>
          <w:szCs w:val="15"/>
          <w:color w:val="auto"/>
        </w:rPr>
      </w:pPr>
      <w:r>
        <w:rPr>
          <w:rFonts w:ascii="Arial" w:cs="Arial" w:eastAsia="Arial" w:hAnsi="Arial"/>
          <w:sz w:val="18"/>
          <w:szCs w:val="18"/>
          <w:color w:val="auto"/>
        </w:rPr>
        <w:t>Asset Impairments and other includes a $13.8 million charge for retail store asset impairments, of which $7.0 million is in the Johnston &amp; Murphy Group, $4.1 million is in the Journeys Group and $2.7 million is in the Schuh Group, and a $5.3 million charge for trademark impairment, partially offset by a $(0.4) million gain for the release of an earnout related to the Togast acquisition.</w:t>
      </w:r>
    </w:p>
    <w:p>
      <w:pPr>
        <w:spacing w:after="0" w:line="143" w:lineRule="exact"/>
        <w:rPr>
          <w:rFonts w:ascii="Arial" w:cs="Arial" w:eastAsia="Arial" w:hAnsi="Arial"/>
          <w:sz w:val="15"/>
          <w:szCs w:val="15"/>
          <w:color w:val="auto"/>
        </w:rPr>
      </w:pPr>
    </w:p>
    <w:p>
      <w:pPr>
        <w:ind w:left="400" w:hanging="392"/>
        <w:spacing w:after="0" w:line="277" w:lineRule="auto"/>
        <w:tabs>
          <w:tab w:leader="none" w:pos="400" w:val="left"/>
        </w:tabs>
        <w:numPr>
          <w:ilvl w:val="0"/>
          <w:numId w:val="18"/>
        </w:numPr>
        <w:rPr>
          <w:rFonts w:ascii="Arial" w:cs="Arial" w:eastAsia="Arial" w:hAnsi="Arial"/>
          <w:sz w:val="15"/>
          <w:szCs w:val="15"/>
          <w:color w:val="auto"/>
        </w:rPr>
      </w:pPr>
      <w:r>
        <w:rPr>
          <w:rFonts w:ascii="Arial" w:cs="Arial" w:eastAsia="Arial" w:hAnsi="Arial"/>
          <w:sz w:val="18"/>
          <w:szCs w:val="18"/>
          <w:color w:val="auto"/>
        </w:rPr>
        <w:t>Of our $829.6 million of long-lived assets, $140.9 million and $35.1 million relate to long-lived assets in the United Kingdom and Canada,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Segment Information, Continued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9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10"/>
              <w:spacing w:after="0" w:line="205" w:lineRule="exact"/>
              <w:rPr>
                <w:sz w:val="20"/>
                <w:szCs w:val="20"/>
                <w:color w:val="auto"/>
              </w:rPr>
            </w:pPr>
            <w:r>
              <w:rPr>
                <w:rFonts w:ascii="Arial" w:cs="Arial" w:eastAsia="Arial" w:hAnsi="Arial"/>
                <w:sz w:val="18"/>
                <w:szCs w:val="18"/>
                <w:b w:val="1"/>
                <w:bCs w:val="1"/>
                <w:color w:val="auto"/>
              </w:rPr>
              <w:t>Johnston</w:t>
            </w:r>
          </w:p>
        </w:tc>
        <w:tc>
          <w:tcPr>
            <w:tcW w:w="3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r>
      <w:tr>
        <w:trPr>
          <w:trHeight w:val="216"/>
        </w:trPr>
        <w:tc>
          <w:tcPr>
            <w:tcW w:w="3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Journeys</w:t>
            </w:r>
          </w:p>
        </w:tc>
        <w:tc>
          <w:tcPr>
            <w:tcW w:w="34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Schuh</w:t>
            </w:r>
          </w:p>
        </w:tc>
        <w:tc>
          <w:tcPr>
            <w:tcW w:w="2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w w:val="98"/>
              </w:rPr>
              <w:t>&amp; Murphy</w:t>
            </w:r>
          </w:p>
        </w:tc>
        <w:tc>
          <w:tcPr>
            <w:tcW w:w="300" w:type="dxa"/>
            <w:vAlign w:val="bottom"/>
          </w:tcPr>
          <w:p>
            <w:pPr>
              <w:spacing w:after="0"/>
              <w:rPr>
                <w:sz w:val="18"/>
                <w:szCs w:val="18"/>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Licensed</w:t>
            </w:r>
          </w:p>
        </w:tc>
        <w:tc>
          <w:tcPr>
            <w:tcW w:w="20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Corporate</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5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Group</w:t>
            </w: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Group</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Group</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Brands</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&amp; Other</w:t>
            </w:r>
          </w:p>
        </w:tc>
        <w:tc>
          <w:tcPr>
            <w:tcW w:w="12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8"/>
              </w:rPr>
              <w:t>Consolidated</w:t>
            </w:r>
          </w:p>
        </w:tc>
      </w:tr>
      <w:tr>
        <w:trPr>
          <w:trHeight w:val="223"/>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Sales</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4"/>
              </w:rPr>
              <w:t>1,460,253</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373,930</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300,850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61,859</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174</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2,197,066</w:t>
            </w:r>
          </w:p>
        </w:tc>
      </w:tr>
      <w:tr>
        <w:trPr>
          <w:trHeight w:val="230"/>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Intercompany sales</w:t>
            </w: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r>
      <w:tr>
        <w:trPr>
          <w:trHeight w:val="223"/>
        </w:trPr>
        <w:tc>
          <w:tcPr>
            <w:tcW w:w="39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Net sales to external customers</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4"/>
              </w:rPr>
              <w:t>1,460,253</w:t>
            </w:r>
          </w:p>
        </w:tc>
        <w:tc>
          <w:tcPr>
            <w:tcW w:w="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373,930</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300,850</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61,859</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174</w:t>
            </w:r>
          </w:p>
        </w:tc>
        <w:tc>
          <w:tcPr>
            <w:tcW w:w="26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2,197,066</w:t>
            </w: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Segment operating income (loss)</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114,945</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4,659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17,702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(698)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(39,916)</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96,692</w:t>
            </w:r>
          </w:p>
        </w:tc>
      </w:tr>
      <w:tr>
        <w:trPr>
          <w:trHeight w:val="229"/>
        </w:trPr>
        <w:tc>
          <w:tcPr>
            <w:tcW w:w="39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Asset impairments and other</w:t>
            </w:r>
            <w:r>
              <w:rPr>
                <w:rFonts w:ascii="Arial" w:cs="Arial" w:eastAsia="Arial" w:hAnsi="Arial"/>
                <w:sz w:val="15"/>
                <w:szCs w:val="15"/>
                <w:color w:val="auto"/>
              </w:rPr>
              <w:t>(1)</w:t>
            </w:r>
          </w:p>
        </w:tc>
        <w:tc>
          <w:tcPr>
            <w:tcW w:w="5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(13,374)</w:t>
            </w: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(13,374)</w:t>
            </w:r>
          </w:p>
        </w:tc>
      </w:tr>
      <w:tr>
        <w:trPr>
          <w:trHeight w:val="223"/>
        </w:trPr>
        <w:tc>
          <w:tcPr>
            <w:tcW w:w="390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52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114,945</w:t>
            </w:r>
          </w:p>
        </w:tc>
        <w:tc>
          <w:tcPr>
            <w:tcW w:w="34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4,659</w:t>
            </w:r>
          </w:p>
        </w:tc>
        <w:tc>
          <w:tcPr>
            <w:tcW w:w="22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17,702</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(698)</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(53,290)</w:t>
            </w: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83,318</w:t>
            </w:r>
          </w:p>
        </w:tc>
      </w:tr>
      <w:tr>
        <w:trPr>
          <w:trHeight w:val="229"/>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w w:val="99"/>
              </w:rPr>
              <w:t>Other components of net periodic benefit income</w:t>
            </w:r>
          </w:p>
        </w:tc>
        <w:tc>
          <w:tcPr>
            <w:tcW w:w="5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395</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395</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Interest expense</w:t>
            </w:r>
          </w:p>
        </w:tc>
        <w:tc>
          <w:tcPr>
            <w:tcW w:w="52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(3,339)</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(3,339)</w:t>
            </w:r>
          </w:p>
        </w:tc>
      </w:tr>
      <w:tr>
        <w:trPr>
          <w:trHeight w:val="229"/>
        </w:trPr>
        <w:tc>
          <w:tcPr>
            <w:tcW w:w="39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5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2,061</w:t>
            </w: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2,061</w:t>
            </w:r>
          </w:p>
        </w:tc>
      </w:tr>
      <w:tr>
        <w:trPr>
          <w:trHeight w:val="205"/>
        </w:trPr>
        <w:tc>
          <w:tcPr>
            <w:tcW w:w="3900" w:type="dxa"/>
            <w:vAlign w:val="bottom"/>
          </w:tcPr>
          <w:p>
            <w:pPr>
              <w:spacing w:after="0" w:line="205" w:lineRule="exact"/>
              <w:rPr>
                <w:sz w:val="20"/>
                <w:szCs w:val="20"/>
                <w:color w:val="auto"/>
              </w:rPr>
            </w:pPr>
            <w:r>
              <w:rPr>
                <w:rFonts w:ascii="Arial" w:cs="Arial" w:eastAsia="Arial" w:hAnsi="Arial"/>
                <w:sz w:val="18"/>
                <w:szCs w:val="18"/>
                <w:b w:val="1"/>
                <w:bCs w:val="1"/>
                <w:color w:val="auto"/>
              </w:rPr>
              <w:t>Earnings from continuing operations</w:t>
            </w: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4"/>
        </w:trPr>
        <w:tc>
          <w:tcPr>
            <w:tcW w:w="39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before income taxes</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114,945</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4,659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17,702</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(54,173)</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82,435</w:t>
            </w:r>
          </w:p>
        </w:tc>
      </w:tr>
      <w:tr>
        <w:trPr>
          <w:trHeight w:val="223"/>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r>
              <w:rPr>
                <w:rFonts w:ascii="Arial" w:cs="Arial" w:eastAsia="Arial" w:hAnsi="Arial"/>
                <w:sz w:val="15"/>
                <w:szCs w:val="15"/>
                <w:color w:val="auto"/>
              </w:rPr>
              <w:t>(2)</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908,312</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363,205</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197,670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63,385</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147,906</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1,680,478</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52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29,122</w:t>
            </w:r>
          </w:p>
        </w:tc>
        <w:tc>
          <w:tcPr>
            <w:tcW w:w="34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11,466</w:t>
            </w:r>
          </w:p>
        </w:tc>
        <w:tc>
          <w:tcPr>
            <w:tcW w:w="22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6,091</w:t>
            </w:r>
          </w:p>
        </w:tc>
        <w:tc>
          <w:tcPr>
            <w:tcW w:w="30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660</w:t>
            </w:r>
          </w:p>
        </w:tc>
        <w:tc>
          <w:tcPr>
            <w:tcW w:w="20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2,235</w:t>
            </w: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49,574</w:t>
            </w:r>
          </w:p>
        </w:tc>
      </w:tr>
      <w:tr>
        <w:trPr>
          <w:trHeight w:val="229"/>
        </w:trPr>
        <w:tc>
          <w:tcPr>
            <w:tcW w:w="39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Capital expenditures</w:t>
            </w:r>
          </w:p>
        </w:tc>
        <w:tc>
          <w:tcPr>
            <w:tcW w:w="5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17,920</w:t>
            </w:r>
          </w:p>
        </w:tc>
        <w:tc>
          <w:tcPr>
            <w:tcW w:w="3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4,890</w:t>
            </w: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5,540</w:t>
            </w:r>
          </w:p>
        </w:tc>
        <w:tc>
          <w:tcPr>
            <w:tcW w:w="3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428</w:t>
            </w:r>
          </w:p>
        </w:tc>
        <w:tc>
          <w:tcPr>
            <w:tcW w:w="2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989</w:t>
            </w: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29,767</w:t>
            </w:r>
          </w:p>
        </w:tc>
      </w:tr>
      <w:tr>
        <w:trPr>
          <w:trHeight w:val="20"/>
        </w:trPr>
        <w:tc>
          <w:tcPr>
            <w:tcW w:w="3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400" w:hanging="392"/>
        <w:spacing w:after="0" w:line="259" w:lineRule="auto"/>
        <w:tabs>
          <w:tab w:leader="none" w:pos="400" w:val="left"/>
        </w:tabs>
        <w:numPr>
          <w:ilvl w:val="0"/>
          <w:numId w:val="19"/>
        </w:numPr>
        <w:rPr>
          <w:rFonts w:ascii="Arial" w:cs="Arial" w:eastAsia="Arial" w:hAnsi="Arial"/>
          <w:sz w:val="15"/>
          <w:szCs w:val="15"/>
          <w:color w:val="auto"/>
        </w:rPr>
      </w:pPr>
      <w:r>
        <w:rPr>
          <w:rFonts w:ascii="Arial" w:cs="Arial" w:eastAsia="Arial" w:hAnsi="Arial"/>
          <w:sz w:val="18"/>
          <w:szCs w:val="18"/>
          <w:color w:val="auto"/>
        </w:rPr>
        <w:t>Asset Impairments and other includes an $11.5 million pension settlement expense and a $3.1 million charge for retail store asset impairments, of which $1.2 million is in the Johnston &amp; Murphy Group, $1.2 million is in the Schuh Group and $0.7 million is in the Journeys Group, partially offset by a $(0.6) million gain on the sale of the Lids Sports Group headquarters building, a $(0.4) million gain for lease terminations and a $(0.2) million gain related to Hurricane Maria.</w:t>
      </w:r>
    </w:p>
    <w:p>
      <w:pPr>
        <w:spacing w:after="0" w:line="146" w:lineRule="exact"/>
        <w:rPr>
          <w:rFonts w:ascii="Arial" w:cs="Arial" w:eastAsia="Arial" w:hAnsi="Arial"/>
          <w:sz w:val="15"/>
          <w:szCs w:val="15"/>
          <w:color w:val="auto"/>
        </w:rPr>
      </w:pPr>
    </w:p>
    <w:p>
      <w:pPr>
        <w:ind w:left="400" w:hanging="392"/>
        <w:spacing w:after="0" w:line="277" w:lineRule="auto"/>
        <w:tabs>
          <w:tab w:leader="none" w:pos="400" w:val="left"/>
        </w:tabs>
        <w:numPr>
          <w:ilvl w:val="0"/>
          <w:numId w:val="19"/>
        </w:numPr>
        <w:rPr>
          <w:rFonts w:ascii="Arial" w:cs="Arial" w:eastAsia="Arial" w:hAnsi="Arial"/>
          <w:sz w:val="15"/>
          <w:szCs w:val="15"/>
          <w:color w:val="auto"/>
        </w:rPr>
      </w:pPr>
      <w:r>
        <w:rPr>
          <w:rFonts w:ascii="Arial" w:cs="Arial" w:eastAsia="Arial" w:hAnsi="Arial"/>
          <w:sz w:val="18"/>
          <w:szCs w:val="18"/>
          <w:color w:val="auto"/>
        </w:rPr>
        <w:t>Of our $973.4 million of long-lived assets, $174.4 million and $46.2 million relate to long-lived assets in the United Kingdom and Canada,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Segment Information, Continued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2019</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9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10"/>
              <w:spacing w:after="0" w:line="205" w:lineRule="exact"/>
              <w:rPr>
                <w:sz w:val="20"/>
                <w:szCs w:val="20"/>
                <w:color w:val="auto"/>
              </w:rPr>
            </w:pPr>
            <w:r>
              <w:rPr>
                <w:rFonts w:ascii="Arial" w:cs="Arial" w:eastAsia="Arial" w:hAnsi="Arial"/>
                <w:sz w:val="18"/>
                <w:szCs w:val="18"/>
                <w:b w:val="1"/>
                <w:bCs w:val="1"/>
                <w:color w:val="auto"/>
              </w:rPr>
              <w:t>Johnston</w:t>
            </w:r>
          </w:p>
        </w:tc>
        <w:tc>
          <w:tcPr>
            <w:tcW w:w="3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r>
      <w:tr>
        <w:trPr>
          <w:trHeight w:val="216"/>
        </w:trPr>
        <w:tc>
          <w:tcPr>
            <w:tcW w:w="3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Journeys</w:t>
            </w:r>
          </w:p>
        </w:tc>
        <w:tc>
          <w:tcPr>
            <w:tcW w:w="34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Schuh</w:t>
            </w:r>
          </w:p>
        </w:tc>
        <w:tc>
          <w:tcPr>
            <w:tcW w:w="2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w w:val="98"/>
              </w:rPr>
              <w:t>&amp; Murphy</w:t>
            </w:r>
          </w:p>
        </w:tc>
        <w:tc>
          <w:tcPr>
            <w:tcW w:w="300" w:type="dxa"/>
            <w:vAlign w:val="bottom"/>
          </w:tcPr>
          <w:p>
            <w:pPr>
              <w:spacing w:after="0"/>
              <w:rPr>
                <w:sz w:val="18"/>
                <w:szCs w:val="18"/>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Licensed</w:t>
            </w:r>
          </w:p>
        </w:tc>
        <w:tc>
          <w:tcPr>
            <w:tcW w:w="20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Corporate</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5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Group</w:t>
            </w: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Group</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Group</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Brands</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&amp; Other</w:t>
            </w:r>
          </w:p>
        </w:tc>
        <w:tc>
          <w:tcPr>
            <w:tcW w:w="12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8"/>
              </w:rPr>
              <w:t>Consolidated</w:t>
            </w:r>
          </w:p>
        </w:tc>
      </w:tr>
      <w:tr>
        <w:trPr>
          <w:trHeight w:val="223"/>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Sales</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4"/>
              </w:rPr>
              <w:t>1,419,993</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382,591</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313,134</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72,576</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271</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2,188,565</w:t>
            </w:r>
          </w:p>
        </w:tc>
      </w:tr>
      <w:tr>
        <w:trPr>
          <w:trHeight w:val="230"/>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Intercompany sales</w:t>
            </w: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39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Net sales to external customers</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4"/>
              </w:rPr>
              <w:t>1,419,993</w:t>
            </w:r>
          </w:p>
        </w:tc>
        <w:tc>
          <w:tcPr>
            <w:tcW w:w="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382,591</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313,134</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72,564</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271</w:t>
            </w:r>
          </w:p>
        </w:tc>
        <w:tc>
          <w:tcPr>
            <w:tcW w:w="26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2,188,553</w:t>
            </w: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Segment operating income (loss)</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100,799</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3,765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20,385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(39,481)</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84,980</w:t>
            </w:r>
          </w:p>
        </w:tc>
      </w:tr>
      <w:tr>
        <w:trPr>
          <w:trHeight w:val="229"/>
        </w:trPr>
        <w:tc>
          <w:tcPr>
            <w:tcW w:w="39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Asset impairments and other</w:t>
            </w:r>
            <w:r>
              <w:rPr>
                <w:rFonts w:ascii="Arial" w:cs="Arial" w:eastAsia="Arial" w:hAnsi="Arial"/>
                <w:sz w:val="15"/>
                <w:szCs w:val="15"/>
                <w:color w:val="auto"/>
              </w:rPr>
              <w:t>(1)</w:t>
            </w:r>
          </w:p>
        </w:tc>
        <w:tc>
          <w:tcPr>
            <w:tcW w:w="5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(3,163)</w:t>
            </w: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(3,163)</w:t>
            </w:r>
          </w:p>
        </w:tc>
      </w:tr>
      <w:tr>
        <w:trPr>
          <w:trHeight w:val="223"/>
        </w:trPr>
        <w:tc>
          <w:tcPr>
            <w:tcW w:w="390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52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100,799</w:t>
            </w:r>
          </w:p>
        </w:tc>
        <w:tc>
          <w:tcPr>
            <w:tcW w:w="34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3,765</w:t>
            </w:r>
          </w:p>
        </w:tc>
        <w:tc>
          <w:tcPr>
            <w:tcW w:w="22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20,385</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(488)</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(42,644)</w:t>
            </w: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81,817</w:t>
            </w:r>
          </w:p>
        </w:tc>
      </w:tr>
      <w:tr>
        <w:trPr>
          <w:trHeight w:val="229"/>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Loss on early retirement of debt</w:t>
            </w:r>
          </w:p>
        </w:tc>
        <w:tc>
          <w:tcPr>
            <w:tcW w:w="5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w w:val="99"/>
              </w:rPr>
              <w:t>Other components of net periodic benefit income</w:t>
            </w:r>
          </w:p>
        </w:tc>
        <w:tc>
          <w:tcPr>
            <w:tcW w:w="52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380</w:t>
            </w: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380</w:t>
            </w:r>
          </w:p>
        </w:tc>
      </w:tr>
      <w:tr>
        <w:trPr>
          <w:trHeight w:val="229"/>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5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(4,115)</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(4,115)</w:t>
            </w:r>
          </w:p>
        </w:tc>
      </w:tr>
      <w:tr>
        <w:trPr>
          <w:trHeight w:val="229"/>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income</w:t>
            </w: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774</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774</w:t>
            </w:r>
          </w:p>
        </w:tc>
      </w:tr>
      <w:tr>
        <w:trPr>
          <w:trHeight w:val="205"/>
        </w:trPr>
        <w:tc>
          <w:tcPr>
            <w:tcW w:w="390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Earnings from continuing operations</w:t>
            </w:r>
          </w:p>
        </w:tc>
        <w:tc>
          <w:tcPr>
            <w:tcW w:w="5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r>
      <w:tr>
        <w:trPr>
          <w:trHeight w:val="234"/>
        </w:trPr>
        <w:tc>
          <w:tcPr>
            <w:tcW w:w="390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8"/>
                <w:szCs w:val="18"/>
                <w:b w:val="1"/>
                <w:bCs w:val="1"/>
                <w:color w:val="auto"/>
              </w:rPr>
              <w:t>before income taxes</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100,799</w:t>
            </w:r>
          </w:p>
        </w:tc>
        <w:tc>
          <w:tcPr>
            <w:tcW w:w="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3,765</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20,385</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(46,202)</w:t>
            </w:r>
          </w:p>
        </w:tc>
        <w:tc>
          <w:tcPr>
            <w:tcW w:w="26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78,259</w:t>
            </w: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Total assets</w:t>
            </w:r>
            <w:r>
              <w:rPr>
                <w:rFonts w:ascii="Arial" w:cs="Arial" w:eastAsia="Arial" w:hAnsi="Arial"/>
                <w:sz w:val="15"/>
                <w:szCs w:val="15"/>
                <w:color w:val="auto"/>
              </w:rPr>
              <w:t>(2)</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425,842</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211,983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128,525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24,004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390,727</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w w:val="99"/>
              </w:rPr>
              <w:t>1,181,081</w:t>
            </w:r>
          </w:p>
        </w:tc>
      </w:tr>
      <w:tr>
        <w:trPr>
          <w:trHeight w:val="229"/>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15"/>
                <w:szCs w:val="15"/>
                <w:color w:val="auto"/>
              </w:rPr>
              <w:t>(3)</w:t>
            </w:r>
          </w:p>
        </w:tc>
        <w:tc>
          <w:tcPr>
            <w:tcW w:w="5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28,121</w:t>
            </w: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14,193</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6,517</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637</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2,693</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52,161</w:t>
            </w:r>
          </w:p>
        </w:tc>
      </w:tr>
      <w:tr>
        <w:trPr>
          <w:trHeight w:val="230"/>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Capital expenditures</w:t>
            </w:r>
            <w:r>
              <w:rPr>
                <w:rFonts w:ascii="Arial" w:cs="Arial" w:eastAsia="Arial" w:hAnsi="Arial"/>
                <w:sz w:val="15"/>
                <w:szCs w:val="15"/>
                <w:color w:val="auto"/>
              </w:rPr>
              <w:t>(4)</w:t>
            </w: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26,114</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7,226</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6,526</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162</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1,752</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41,780</w:t>
            </w:r>
          </w:p>
        </w:tc>
      </w:tr>
      <w:tr>
        <w:trPr>
          <w:trHeight w:val="20"/>
        </w:trPr>
        <w:tc>
          <w:tcPr>
            <w:tcW w:w="3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400" w:hanging="392"/>
        <w:spacing w:after="0" w:line="263" w:lineRule="auto"/>
        <w:tabs>
          <w:tab w:leader="none" w:pos="400" w:val="left"/>
        </w:tabs>
        <w:numPr>
          <w:ilvl w:val="0"/>
          <w:numId w:val="20"/>
        </w:numPr>
        <w:rPr>
          <w:rFonts w:ascii="Arial" w:cs="Arial" w:eastAsia="Arial" w:hAnsi="Arial"/>
          <w:sz w:val="15"/>
          <w:szCs w:val="15"/>
          <w:color w:val="auto"/>
        </w:rPr>
      </w:pPr>
      <w:r>
        <w:rPr>
          <w:rFonts w:ascii="Arial" w:cs="Arial" w:eastAsia="Arial" w:hAnsi="Arial"/>
          <w:sz w:val="18"/>
          <w:szCs w:val="18"/>
          <w:color w:val="auto"/>
        </w:rPr>
        <w:t>Asset Impairments and other includes a $4.2 million charge for retail store asset impairments, of which $2.4 million is in the Schuh Group, $1.6 million is in the Journeys Group and $0.2 million is in the Johnston &amp; Murphy Group, a $0.3 million charge for legal and other matters and a $0.1 million charge for hurricane losses, partially offset by a $(1.4) million gain related to Hurricane Maria.</w:t>
      </w:r>
    </w:p>
    <w:p>
      <w:pPr>
        <w:spacing w:after="0" w:line="143" w:lineRule="exact"/>
        <w:rPr>
          <w:rFonts w:ascii="Arial" w:cs="Arial" w:eastAsia="Arial" w:hAnsi="Arial"/>
          <w:sz w:val="15"/>
          <w:szCs w:val="15"/>
          <w:color w:val="auto"/>
        </w:rPr>
      </w:pPr>
    </w:p>
    <w:p>
      <w:pPr>
        <w:ind w:left="400" w:right="20" w:hanging="392"/>
        <w:spacing w:after="0" w:line="277" w:lineRule="auto"/>
        <w:tabs>
          <w:tab w:leader="none" w:pos="400" w:val="left"/>
        </w:tabs>
        <w:numPr>
          <w:ilvl w:val="0"/>
          <w:numId w:val="20"/>
        </w:numPr>
        <w:rPr>
          <w:rFonts w:ascii="Arial" w:cs="Arial" w:eastAsia="Arial" w:hAnsi="Arial"/>
          <w:sz w:val="15"/>
          <w:szCs w:val="15"/>
          <w:color w:val="auto"/>
        </w:rPr>
      </w:pPr>
      <w:r>
        <w:rPr>
          <w:rFonts w:ascii="Arial" w:cs="Arial" w:eastAsia="Arial" w:hAnsi="Arial"/>
          <w:sz w:val="18"/>
          <w:szCs w:val="18"/>
          <w:color w:val="auto"/>
        </w:rPr>
        <w:t>Of our $277.4 million of long-lived assets, $44.6 million and $12.8 million relate to long-lived assets in the United Kingdom and Canada, respectively.</w:t>
      </w:r>
    </w:p>
    <w:p>
      <w:pPr>
        <w:spacing w:after="0" w:line="129" w:lineRule="exact"/>
        <w:rPr>
          <w:rFonts w:ascii="Arial" w:cs="Arial" w:eastAsia="Arial" w:hAnsi="Arial"/>
          <w:sz w:val="15"/>
          <w:szCs w:val="15"/>
          <w:color w:val="auto"/>
        </w:rPr>
      </w:pPr>
    </w:p>
    <w:p>
      <w:pPr>
        <w:ind w:left="400" w:right="20" w:hanging="392"/>
        <w:spacing w:after="0" w:line="277" w:lineRule="auto"/>
        <w:tabs>
          <w:tab w:leader="none" w:pos="400" w:val="left"/>
        </w:tabs>
        <w:numPr>
          <w:ilvl w:val="0"/>
          <w:numId w:val="20"/>
        </w:numPr>
        <w:rPr>
          <w:rFonts w:ascii="Arial" w:cs="Arial" w:eastAsia="Arial" w:hAnsi="Arial"/>
          <w:sz w:val="15"/>
          <w:szCs w:val="15"/>
          <w:color w:val="auto"/>
        </w:rPr>
      </w:pPr>
      <w:r>
        <w:rPr>
          <w:rFonts w:ascii="Arial" w:cs="Arial" w:eastAsia="Arial" w:hAnsi="Arial"/>
          <w:sz w:val="18"/>
          <w:szCs w:val="18"/>
          <w:color w:val="auto"/>
        </w:rPr>
        <w:t>Excludes $24.8 million of depreciation and amortization related to Lids Sports Group. This amount is included in depreciation and amortization in our Consolidated Statements of Cash Flows as we did not segregate cash flows related to discontinued operations.</w:t>
      </w:r>
    </w:p>
    <w:p>
      <w:pPr>
        <w:spacing w:after="0" w:line="129" w:lineRule="exact"/>
        <w:rPr>
          <w:rFonts w:ascii="Arial" w:cs="Arial" w:eastAsia="Arial" w:hAnsi="Arial"/>
          <w:sz w:val="15"/>
          <w:szCs w:val="15"/>
          <w:color w:val="auto"/>
        </w:rPr>
      </w:pPr>
    </w:p>
    <w:p>
      <w:pPr>
        <w:ind w:left="400" w:hanging="392"/>
        <w:spacing w:after="0" w:line="277" w:lineRule="auto"/>
        <w:tabs>
          <w:tab w:leader="none" w:pos="400" w:val="left"/>
        </w:tabs>
        <w:numPr>
          <w:ilvl w:val="0"/>
          <w:numId w:val="20"/>
        </w:numPr>
        <w:rPr>
          <w:rFonts w:ascii="Arial" w:cs="Arial" w:eastAsia="Arial" w:hAnsi="Arial"/>
          <w:sz w:val="15"/>
          <w:szCs w:val="15"/>
          <w:color w:val="auto"/>
        </w:rPr>
      </w:pPr>
      <w:r>
        <w:rPr>
          <w:rFonts w:ascii="Arial" w:cs="Arial" w:eastAsia="Arial" w:hAnsi="Arial"/>
          <w:sz w:val="18"/>
          <w:szCs w:val="18"/>
          <w:color w:val="auto"/>
        </w:rPr>
        <w:t>Excludes $15.4 million of capital expenditures related to Lids Sports Group. This amount is included in capital expenditures in our Consolidated Statements of Cash Flows as we did not segregate cash flows related to discontinued operations.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Discontinued Operations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14, 2018, we entered into a definitive agreement for the sale of Lids Sports Group to FanzzLids Holdings, LLC (the "Purchaser"), a holding company controlled and operated by affiliates of Ames Watson Capital, LLC. The sale was completed on February 2, 2019 for $93.8 million cash which consisted of a sales price of $100.0 million and working capital adjustments of $6.2 million. We provided various transition services to the Purchaser for a period of up to six months under a separate agreement after the closing.</w:t>
      </w:r>
    </w:p>
    <w:p>
      <w:pPr>
        <w:spacing w:after="0" w:line="14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the fourth quarter of Fiscal 2019, we recorded a loss on the sale of Lids Sports Group of $98.3 million, net of tax, on the sale of these assets, representing the sales price less the value of the Lids Sports Group assets sold and other miscellaneous charges, including divestiture transaction costs, offset by a tax benefit on the loss. Included in the loss on the sale is a $48.7 million write-off of trademarks. The tax benefit associated with discontinued operations differs from the effective rate due to the mix of earnings and loss in the various jurisdictions, the impact of permanent items and other factors.</w:t>
      </w:r>
    </w:p>
    <w:p>
      <w:pPr>
        <w:spacing w:after="0" w:line="13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a result of the sale, we met the requirements of ASC 360 to report the results of Lids Sports Group as discontinued operations. We have presented operating results of Lids Sports Group and the loss on the sale of Lids Sports Group in loss from discontinued operations, net in our Consolidated Statements of Operations for Fiscal 2019. Certain corporate overhead costs and other allocated costs previously allocated to the Lids Sports Group business for segment reporting purposes did not qualify for classification within discontinued operations and have been reallocated to continuing operations whereas bank fees and certain legal fees related to the Lids Sports Group business segment previously excluded from segment earnings were reclassified to discontinued operations. The costs of the Lids Sports Group headquarters building, which was not included in the sale, was reclassified to corporate and other in segment earnings. In addition, the third quarter Fiscal 2019 trademark impairment charge of $5.7 million related to the Lids Sports Group business segment, that was previously excluded from the calculation of segment earnings, was reclassified to discontinued operations.</w:t>
      </w:r>
    </w:p>
    <w:p>
      <w:pPr>
        <w:spacing w:after="0" w:line="1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part of the Lids Sports Group sales transaction, the Purchaser has agreed to indemnify and hold us harmless in connection with continuing obligations and any guarantees of ours in place as of February 2, 2019 in respect of post-closing or assumed liabilities or obligations of the Lids Sports Group business. The Purchaser has agreed to use commercially reasonable efforts to have any guarantees by, or continuing obligations of, the Company released. However, we are contingently liable in the event of a breach by the Purchaser of any such obligation to a third-party. In addition, we are a guarantor for 20 Lids Sports Group leases with lease expirations through November of 2025 and estimated maximum future payments totaling $14.1 million as of January 30, 2021. We do not believe the fair value of the guarantees is material to our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Genesco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Discontinued Operations, Continued</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Components of amounts reflected in loss from discontinued operations, net of tax on the Consolidated Statements of Operations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 2019 is as follows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Fiscal Year</w:t>
            </w:r>
          </w:p>
        </w:tc>
      </w:tr>
      <w:tr>
        <w:trPr>
          <w:trHeight w:val="223"/>
        </w:trPr>
        <w:tc>
          <w:tcPr>
            <w:tcW w:w="636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r>
      <w:tr>
        <w:trPr>
          <w:trHeight w:val="223"/>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3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723,125</w:t>
            </w:r>
          </w:p>
        </w:tc>
      </w:tr>
      <w:tr>
        <w:trPr>
          <w:trHeight w:val="229"/>
        </w:trPr>
        <w:tc>
          <w:tcPr>
            <w:tcW w:w="6360" w:type="dxa"/>
            <w:vAlign w:val="bottom"/>
          </w:tcPr>
          <w:p>
            <w:pPr>
              <w:spacing w:after="0"/>
              <w:rPr>
                <w:sz w:val="20"/>
                <w:szCs w:val="20"/>
                <w:color w:val="auto"/>
              </w:rPr>
            </w:pPr>
            <w:r>
              <w:rPr>
                <w:rFonts w:ascii="Arial" w:cs="Arial" w:eastAsia="Arial" w:hAnsi="Arial"/>
                <w:sz w:val="18"/>
                <w:szCs w:val="18"/>
                <w:color w:val="auto"/>
              </w:rPr>
              <w:t>Cost of sales</w:t>
            </w:r>
          </w:p>
        </w:tc>
        <w:tc>
          <w:tcPr>
            <w:tcW w:w="2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348,038</w:t>
            </w:r>
          </w:p>
        </w:tc>
      </w:tr>
      <w:tr>
        <w:trPr>
          <w:trHeight w:val="229"/>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Selling and administrative expenses</w:t>
            </w:r>
          </w:p>
        </w:tc>
        <w:tc>
          <w:tcPr>
            <w:tcW w:w="2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370,480</w:t>
            </w: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Goodwill and trademark impairment</w:t>
            </w:r>
          </w:p>
        </w:tc>
        <w:tc>
          <w:tcPr>
            <w:tcW w:w="2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5,736</w:t>
            </w:r>
          </w:p>
        </w:tc>
      </w:tr>
      <w:tr>
        <w:trPr>
          <w:trHeight w:val="229"/>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Asset impairments and other, net</w:t>
            </w:r>
          </w:p>
        </w:tc>
        <w:tc>
          <w:tcPr>
            <w:tcW w:w="2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2,394</w:t>
            </w:r>
          </w:p>
        </w:tc>
      </w:tr>
      <w:tr>
        <w:trPr>
          <w:trHeight w:val="229"/>
        </w:trPr>
        <w:tc>
          <w:tcPr>
            <w:tcW w:w="6360" w:type="dxa"/>
            <w:vAlign w:val="bottom"/>
          </w:tcPr>
          <w:p>
            <w:pPr>
              <w:spacing w:after="0"/>
              <w:rPr>
                <w:sz w:val="20"/>
                <w:szCs w:val="20"/>
                <w:color w:val="auto"/>
              </w:rPr>
            </w:pPr>
            <w:r>
              <w:rPr>
                <w:rFonts w:ascii="Arial" w:cs="Arial" w:eastAsia="Arial" w:hAnsi="Arial"/>
                <w:sz w:val="18"/>
                <w:szCs w:val="18"/>
                <w:color w:val="auto"/>
              </w:rPr>
              <w:t>Loss on sale of Lids Sports Group</w:t>
            </w:r>
          </w:p>
        </w:tc>
        <w:tc>
          <w:tcPr>
            <w:tcW w:w="2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(126,321)</w:t>
            </w:r>
          </w:p>
        </w:tc>
      </w:tr>
      <w:tr>
        <w:trPr>
          <w:trHeight w:val="230"/>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Other components of net periodic benefit cost</w:t>
            </w:r>
          </w:p>
        </w:tc>
        <w:tc>
          <w:tcPr>
            <w:tcW w:w="2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6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for discontinued operations</w:t>
            </w:r>
            <w:r>
              <w:rPr>
                <w:rFonts w:ascii="Arial" w:cs="Arial" w:eastAsia="Arial" w:hAnsi="Arial"/>
                <w:sz w:val="15"/>
                <w:szCs w:val="15"/>
                <w:color w:val="auto"/>
              </w:rPr>
              <w:t>(1)</w:t>
            </w:r>
          </w:p>
        </w:tc>
        <w:tc>
          <w:tcPr>
            <w:tcW w:w="29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w:t>
            </w:r>
          </w:p>
        </w:tc>
      </w:tr>
      <w:tr>
        <w:trPr>
          <w:trHeight w:val="223"/>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Loss from discontinued operations before taxes</w:t>
            </w:r>
          </w:p>
        </w:tc>
        <w:tc>
          <w:tcPr>
            <w:tcW w:w="2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(130,610)</w:t>
            </w:r>
          </w:p>
        </w:tc>
      </w:tr>
      <w:tr>
        <w:trPr>
          <w:trHeight w:val="229"/>
        </w:trPr>
        <w:tc>
          <w:tcPr>
            <w:tcW w:w="6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benefit</w:t>
            </w:r>
          </w:p>
        </w:tc>
        <w:tc>
          <w:tcPr>
            <w:tcW w:w="29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(27,456)</w:t>
            </w:r>
          </w:p>
        </w:tc>
      </w:tr>
      <w:tr>
        <w:trPr>
          <w:trHeight w:val="223"/>
        </w:trPr>
        <w:tc>
          <w:tcPr>
            <w:tcW w:w="63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Loss from discontinued operations, net of tax</w:t>
            </w:r>
          </w:p>
        </w:tc>
        <w:tc>
          <w:tcPr>
            <w:tcW w:w="3200" w:type="dxa"/>
            <w:vAlign w:val="bottom"/>
            <w:tcBorders>
              <w:bottom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(103,154)</w:t>
            </w:r>
          </w:p>
        </w:tc>
      </w:tr>
      <w:tr>
        <w:trPr>
          <w:trHeight w:val="20"/>
        </w:trPr>
        <w:tc>
          <w:tcPr>
            <w:tcW w:w="636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00" w:hanging="392"/>
        <w:spacing w:after="0"/>
        <w:tabs>
          <w:tab w:leader="none" w:pos="400" w:val="left"/>
        </w:tabs>
        <w:numPr>
          <w:ilvl w:val="0"/>
          <w:numId w:val="21"/>
        </w:numPr>
        <w:rPr>
          <w:rFonts w:ascii="Arial" w:cs="Arial" w:eastAsia="Arial" w:hAnsi="Arial"/>
          <w:sz w:val="15"/>
          <w:szCs w:val="15"/>
          <w:color w:val="auto"/>
        </w:rPr>
      </w:pPr>
      <w:r>
        <w:rPr>
          <w:rFonts w:ascii="Arial" w:cs="Arial" w:eastAsia="Arial" w:hAnsi="Arial"/>
          <w:sz w:val="18"/>
          <w:szCs w:val="18"/>
          <w:color w:val="auto"/>
        </w:rPr>
        <w:t>Expenses primarily for anticipated costs of environmental remedial alternatives related to former facilities operated by us (see Note 16).</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cash flows related to discontinued operations have not been segregated and are included in our Consolidated Statements of Cash Flows. The following table summarizes depreciation and amortization, capital expenditures and the significant operating noncash items from discontinued operations for Fiscal 2019:</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Fiscal Year</w:t>
            </w:r>
          </w:p>
        </w:tc>
      </w:tr>
      <w:tr>
        <w:trPr>
          <w:trHeight w:val="223"/>
        </w:trPr>
        <w:tc>
          <w:tcPr>
            <w:tcW w:w="5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34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r>
      <w:tr>
        <w:trPr>
          <w:trHeight w:val="223"/>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3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24,778</w:t>
            </w: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Capital expenditures</w:t>
            </w:r>
          </w:p>
        </w:tc>
        <w:tc>
          <w:tcPr>
            <w:tcW w:w="3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15,450</w:t>
            </w: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Impairment of intangible assets</w:t>
            </w:r>
          </w:p>
        </w:tc>
        <w:tc>
          <w:tcPr>
            <w:tcW w:w="3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5,736</w:t>
            </w: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Impairment of long-lived assets</w:t>
            </w:r>
          </w:p>
        </w:tc>
        <w:tc>
          <w:tcPr>
            <w:tcW w:w="3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1,670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1040"/>
        <w:spacing w:after="0" w:line="461" w:lineRule="auto"/>
        <w:rPr>
          <w:sz w:val="20"/>
          <w:szCs w:val="20"/>
          <w:color w:val="auto"/>
        </w:rPr>
      </w:pPr>
      <w:r>
        <w:rPr>
          <w:rFonts w:ascii="Arial" w:cs="Arial" w:eastAsia="Arial" w:hAnsi="Arial"/>
          <w:sz w:val="18"/>
          <w:szCs w:val="18"/>
          <w:b w:val="1"/>
          <w:bCs w:val="1"/>
          <w:u w:val="single" w:color="auto"/>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9A, CONTROLS AND PROCEDURES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8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established disclosure controls and procedures to ensure that material information relating to us, including our consolidated subsidiaries, is made known to the officers who certify our financial reports and to other members of senior management and Board of Directors.</w:t>
      </w:r>
    </w:p>
    <w:p>
      <w:pPr>
        <w:spacing w:after="0" w:line="1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Based on their evaluation as of January 30, 2021, the principal executive officer and principal financial officer of the Company have concluded that our disclosure controls and procedures as defined in Rules 13a-15(e) and 15d-15(e) under the Securities Exchange Act of 1934, as amended (the "Exchange Act"), were effective to ensure that the information required to be disclosed by us in the reports that we file or submit under the Exchange Act is (i) recorded, processed, summarized and reported, within the time periods specified in the SEC’s rules and forms, and (ii) accumulated and communicated to our management, including the principal executive and principal financial officers, or persons performing similar functions, as appropriate, to allow timely decisions regarding required disclosure.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18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Management of the Company is responsible for establishing and maintaining effective internal control over financial reporting as defined in Rule 13a-15(f) under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2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Management assessed the effectiveness of our internal control over financial reporting as of January 30, 2021. In making this assessment, management used the criteria set forth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drafted by the Committee of Sponsoring Organizations of the Treadway Commission (COSO). Based on this assessment, management believes that, as of January 30, 2021, our internal control over financial reporting was effective based on those criteria.</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Ernst &amp; Young LLP, the independent registered public accounting firm who also audited our Consolidated Financial Statements, has issued an attestation report on the Company’s effectiveness of internal control over financial reporting which is included herein. The report by Ernst &amp; Young LLP is included in Item 8.</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our last fiscal quarter that have materially affected or are reasonable likely to materially affect our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9B, OTHER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10, DIRECTORS, EXECUTIVE OFFICERS AND CORPORATE GOVERNANCE</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information required by this item is incorporated herein by reference to the sections entitled “Election of Directors,” “Corporate Governance” and “Delinquent Section 16(a) Reports” in our definitive proxy statement for our annual meeting of shareholders to be held June 24, 2021, to be filed with the Securities and Exchange Commission. Pursuant to General Instruction G(3), certain information concerning our executive officers appears under Part I, Item 4A, “Executive Officers of the Registrant” in this report.</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We have a code of ethics (the “Code of Ethics”) that applies to all of our directors, officers (including our chief executive officer, chief financial officer and chief accounting officer) and employees. We have made the Code of Ethics available and intend to post any legally required amendments to, or waivers of, such Code of Ethics on our website at </w:t>
      </w:r>
      <w:r>
        <w:rPr>
          <w:rFonts w:ascii="Arial" w:cs="Arial" w:eastAsia="Arial" w:hAnsi="Arial"/>
          <w:sz w:val="17"/>
          <w:szCs w:val="17"/>
          <w:u w:val="single" w:color="auto"/>
          <w:color w:val="auto"/>
        </w:rPr>
        <w:t>http://www.genesco.com</w:t>
      </w:r>
      <w:r>
        <w:rPr>
          <w:rFonts w:ascii="Arial" w:cs="Arial" w:eastAsia="Arial" w:hAnsi="Arial"/>
          <w:sz w:val="17"/>
          <w:szCs w:val="17"/>
          <w:color w:val="auto"/>
        </w:rPr>
        <w:t>. Our website address is provided as an inactive textual reference only. The information provided on our website is not a part of this report, and therefore is not incorporated herein by reference.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11, EXECUTIVE COMPENSATION</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“Director Compensation,” “Compensation Committee Report” and “Executive Compensation” in our definitive proxy statement for our annual meeting of shareholders to be held June 24, 2021, to be filed with the Securities and Exchange Commission.</w:t>
      </w:r>
    </w:p>
    <w:p>
      <w:pPr>
        <w:spacing w:after="0" w:line="139"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u w:val="single" w:color="auto"/>
          <w:color w:val="auto"/>
        </w:rPr>
        <w:t>ITEM 12, SECURITY OWNERSHIP OF CERTAIN BENEFICIAL OWNERS AND MANAGEMENT AND RELATED STOCKHOLDER MATTERS</w:t>
      </w:r>
    </w:p>
    <w:p>
      <w:pPr>
        <w:spacing w:after="0" w:line="1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information required by this item is incorporated herein by reference to the section entitled “Security Ownership of Officers, Directors and Principal Shareholders” in our definitive proxy statement for our annual meeting of shareholders to be held June 24, 2021, to be filed with the Securities and Exchange Commission.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certain information as of January 30, 2021 with respect to our equity compensation plans: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800" w:type="dxa"/>
            <w:vAlign w:val="bottom"/>
          </w:tcPr>
          <w:p>
            <w:pPr>
              <w:jc w:val="right"/>
              <w:ind w:right="57"/>
              <w:spacing w:after="0"/>
              <w:rPr>
                <w:sz w:val="20"/>
                <w:szCs w:val="20"/>
                <w:color w:val="auto"/>
              </w:rPr>
            </w:pPr>
            <w:r>
              <w:rPr>
                <w:rFonts w:ascii="Arial" w:cs="Arial" w:eastAsia="Arial" w:hAnsi="Arial"/>
                <w:sz w:val="16"/>
                <w:szCs w:val="16"/>
                <w:b w:val="1"/>
                <w:bCs w:val="1"/>
                <w:color w:val="auto"/>
              </w:rPr>
              <w:t>(c)</w:t>
            </w:r>
          </w:p>
        </w:tc>
      </w:tr>
      <w:tr>
        <w:trPr>
          <w:trHeight w:val="203"/>
        </w:trPr>
        <w:tc>
          <w:tcPr>
            <w:tcW w:w="50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800" w:type="dxa"/>
            <w:vAlign w:val="bottom"/>
          </w:tcPr>
          <w:p>
            <w:pPr>
              <w:jc w:val="right"/>
              <w:ind w:right="57"/>
              <w:spacing w:after="0"/>
              <w:rPr>
                <w:sz w:val="20"/>
                <w:szCs w:val="20"/>
                <w:color w:val="auto"/>
              </w:rPr>
            </w:pPr>
            <w:r>
              <w:rPr>
                <w:rFonts w:ascii="Arial" w:cs="Arial" w:eastAsia="Arial" w:hAnsi="Arial"/>
                <w:sz w:val="16"/>
                <w:szCs w:val="16"/>
                <w:b w:val="1"/>
                <w:bCs w:val="1"/>
                <w:color w:val="auto"/>
              </w:rPr>
              <w:t>Number of</w:t>
            </w:r>
          </w:p>
        </w:tc>
      </w:tr>
      <w:tr>
        <w:trPr>
          <w:trHeight w:val="203"/>
        </w:trPr>
        <w:tc>
          <w:tcPr>
            <w:tcW w:w="5080" w:type="dxa"/>
            <w:vAlign w:val="bottom"/>
          </w:tcPr>
          <w:p>
            <w:pPr>
              <w:spacing w:after="0"/>
              <w:rPr>
                <w:sz w:val="17"/>
                <w:szCs w:val="17"/>
                <w:color w:val="auto"/>
              </w:rPr>
            </w:pPr>
          </w:p>
        </w:tc>
        <w:tc>
          <w:tcPr>
            <w:tcW w:w="2260" w:type="dxa"/>
            <w:vAlign w:val="bottom"/>
          </w:tcPr>
          <w:p>
            <w:pPr>
              <w:jc w:val="right"/>
              <w:ind w:right="57"/>
              <w:spacing w:after="0"/>
              <w:rPr>
                <w:sz w:val="20"/>
                <w:szCs w:val="20"/>
                <w:color w:val="auto"/>
              </w:rPr>
            </w:pPr>
            <w:r>
              <w:rPr>
                <w:rFonts w:ascii="Arial" w:cs="Arial" w:eastAsia="Arial" w:hAnsi="Arial"/>
                <w:sz w:val="16"/>
                <w:szCs w:val="16"/>
                <w:b w:val="1"/>
                <w:bCs w:val="1"/>
                <w:color w:val="auto"/>
              </w:rPr>
              <w:t>(a)</w:t>
            </w:r>
          </w:p>
        </w:tc>
        <w:tc>
          <w:tcPr>
            <w:tcW w:w="3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800" w:type="dxa"/>
            <w:vAlign w:val="bottom"/>
          </w:tcPr>
          <w:p>
            <w:pPr>
              <w:jc w:val="right"/>
              <w:ind w:right="57"/>
              <w:spacing w:after="0"/>
              <w:rPr>
                <w:sz w:val="20"/>
                <w:szCs w:val="20"/>
                <w:color w:val="auto"/>
              </w:rPr>
            </w:pPr>
            <w:r>
              <w:rPr>
                <w:rFonts w:ascii="Arial" w:cs="Arial" w:eastAsia="Arial" w:hAnsi="Arial"/>
                <w:sz w:val="16"/>
                <w:szCs w:val="16"/>
                <w:b w:val="1"/>
                <w:bCs w:val="1"/>
                <w:color w:val="auto"/>
              </w:rPr>
              <w:t>securities</w:t>
            </w:r>
          </w:p>
        </w:tc>
      </w:tr>
      <w:tr>
        <w:trPr>
          <w:trHeight w:val="202"/>
        </w:trPr>
        <w:tc>
          <w:tcPr>
            <w:tcW w:w="5080" w:type="dxa"/>
            <w:vAlign w:val="bottom"/>
          </w:tcPr>
          <w:p>
            <w:pPr>
              <w:spacing w:after="0"/>
              <w:rPr>
                <w:sz w:val="17"/>
                <w:szCs w:val="17"/>
                <w:color w:val="auto"/>
              </w:rPr>
            </w:pPr>
          </w:p>
        </w:tc>
        <w:tc>
          <w:tcPr>
            <w:tcW w:w="2260" w:type="dxa"/>
            <w:vAlign w:val="bottom"/>
          </w:tcPr>
          <w:p>
            <w:pPr>
              <w:jc w:val="right"/>
              <w:ind w:right="57"/>
              <w:spacing w:after="0"/>
              <w:rPr>
                <w:sz w:val="20"/>
                <w:szCs w:val="20"/>
                <w:color w:val="auto"/>
              </w:rPr>
            </w:pPr>
            <w:r>
              <w:rPr>
                <w:rFonts w:ascii="Arial" w:cs="Arial" w:eastAsia="Arial" w:hAnsi="Arial"/>
                <w:sz w:val="16"/>
                <w:szCs w:val="16"/>
                <w:b w:val="1"/>
                <w:bCs w:val="1"/>
                <w:color w:val="auto"/>
              </w:rPr>
              <w:t>Number of</w:t>
            </w:r>
          </w:p>
        </w:tc>
        <w:tc>
          <w:tcPr>
            <w:tcW w:w="3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800" w:type="dxa"/>
            <w:vAlign w:val="bottom"/>
          </w:tcPr>
          <w:p>
            <w:pPr>
              <w:jc w:val="right"/>
              <w:ind w:right="57"/>
              <w:spacing w:after="0"/>
              <w:rPr>
                <w:sz w:val="20"/>
                <w:szCs w:val="20"/>
                <w:color w:val="auto"/>
              </w:rPr>
            </w:pPr>
            <w:r>
              <w:rPr>
                <w:rFonts w:ascii="Arial" w:cs="Arial" w:eastAsia="Arial" w:hAnsi="Arial"/>
                <w:sz w:val="16"/>
                <w:szCs w:val="16"/>
                <w:b w:val="1"/>
                <w:bCs w:val="1"/>
                <w:color w:val="auto"/>
              </w:rPr>
              <w:t>remaining available</w:t>
            </w:r>
          </w:p>
        </w:tc>
      </w:tr>
      <w:tr>
        <w:trPr>
          <w:trHeight w:val="203"/>
        </w:trPr>
        <w:tc>
          <w:tcPr>
            <w:tcW w:w="5080" w:type="dxa"/>
            <w:vAlign w:val="bottom"/>
          </w:tcPr>
          <w:p>
            <w:pPr>
              <w:spacing w:after="0"/>
              <w:rPr>
                <w:sz w:val="17"/>
                <w:szCs w:val="17"/>
                <w:color w:val="auto"/>
              </w:rPr>
            </w:pPr>
          </w:p>
        </w:tc>
        <w:tc>
          <w:tcPr>
            <w:tcW w:w="2260" w:type="dxa"/>
            <w:vAlign w:val="bottom"/>
          </w:tcPr>
          <w:p>
            <w:pPr>
              <w:jc w:val="right"/>
              <w:ind w:right="57"/>
              <w:spacing w:after="0"/>
              <w:rPr>
                <w:sz w:val="20"/>
                <w:szCs w:val="20"/>
                <w:color w:val="auto"/>
              </w:rPr>
            </w:pPr>
            <w:r>
              <w:rPr>
                <w:rFonts w:ascii="Arial" w:cs="Arial" w:eastAsia="Arial" w:hAnsi="Arial"/>
                <w:sz w:val="16"/>
                <w:szCs w:val="16"/>
                <w:b w:val="1"/>
                <w:bCs w:val="1"/>
                <w:color w:val="auto"/>
              </w:rPr>
              <w:t>securities to</w:t>
            </w:r>
          </w:p>
        </w:tc>
        <w:tc>
          <w:tcPr>
            <w:tcW w:w="380" w:type="dxa"/>
            <w:vAlign w:val="bottom"/>
          </w:tcPr>
          <w:p>
            <w:pPr>
              <w:spacing w:after="0"/>
              <w:rPr>
                <w:sz w:val="17"/>
                <w:szCs w:val="17"/>
                <w:color w:val="auto"/>
              </w:rPr>
            </w:pPr>
          </w:p>
        </w:tc>
        <w:tc>
          <w:tcPr>
            <w:tcW w:w="1720" w:type="dxa"/>
            <w:vAlign w:val="bottom"/>
          </w:tcPr>
          <w:p>
            <w:pPr>
              <w:jc w:val="right"/>
              <w:ind w:right="216"/>
              <w:spacing w:after="0"/>
              <w:rPr>
                <w:sz w:val="20"/>
                <w:szCs w:val="20"/>
                <w:color w:val="auto"/>
              </w:rPr>
            </w:pPr>
            <w:r>
              <w:rPr>
                <w:rFonts w:ascii="Arial" w:cs="Arial" w:eastAsia="Arial" w:hAnsi="Arial"/>
                <w:sz w:val="16"/>
                <w:szCs w:val="16"/>
                <w:b w:val="1"/>
                <w:bCs w:val="1"/>
                <w:color w:val="auto"/>
              </w:rPr>
              <w:t>(b)</w:t>
            </w:r>
          </w:p>
        </w:tc>
        <w:tc>
          <w:tcPr>
            <w:tcW w:w="1800" w:type="dxa"/>
            <w:vAlign w:val="bottom"/>
          </w:tcPr>
          <w:p>
            <w:pPr>
              <w:jc w:val="right"/>
              <w:ind w:right="57"/>
              <w:spacing w:after="0"/>
              <w:rPr>
                <w:sz w:val="20"/>
                <w:szCs w:val="20"/>
                <w:color w:val="auto"/>
              </w:rPr>
            </w:pPr>
            <w:r>
              <w:rPr>
                <w:rFonts w:ascii="Arial" w:cs="Arial" w:eastAsia="Arial" w:hAnsi="Arial"/>
                <w:sz w:val="16"/>
                <w:szCs w:val="16"/>
                <w:b w:val="1"/>
                <w:bCs w:val="1"/>
                <w:color w:val="auto"/>
              </w:rPr>
              <w:t>for future issuance</w:t>
            </w:r>
          </w:p>
        </w:tc>
      </w:tr>
      <w:tr>
        <w:trPr>
          <w:trHeight w:val="203"/>
        </w:trPr>
        <w:tc>
          <w:tcPr>
            <w:tcW w:w="5080" w:type="dxa"/>
            <w:vAlign w:val="bottom"/>
          </w:tcPr>
          <w:p>
            <w:pPr>
              <w:spacing w:after="0"/>
              <w:rPr>
                <w:sz w:val="17"/>
                <w:szCs w:val="17"/>
                <w:color w:val="auto"/>
              </w:rPr>
            </w:pPr>
          </w:p>
        </w:tc>
        <w:tc>
          <w:tcPr>
            <w:tcW w:w="2260" w:type="dxa"/>
            <w:vAlign w:val="bottom"/>
          </w:tcPr>
          <w:p>
            <w:pPr>
              <w:jc w:val="right"/>
              <w:ind w:right="57"/>
              <w:spacing w:after="0"/>
              <w:rPr>
                <w:sz w:val="20"/>
                <w:szCs w:val="20"/>
                <w:color w:val="auto"/>
              </w:rPr>
            </w:pPr>
            <w:r>
              <w:rPr>
                <w:rFonts w:ascii="Arial" w:cs="Arial" w:eastAsia="Arial" w:hAnsi="Arial"/>
                <w:sz w:val="16"/>
                <w:szCs w:val="16"/>
                <w:b w:val="1"/>
                <w:bCs w:val="1"/>
                <w:color w:val="auto"/>
              </w:rPr>
              <w:t>be issued</w:t>
            </w:r>
          </w:p>
        </w:tc>
        <w:tc>
          <w:tcPr>
            <w:tcW w:w="380" w:type="dxa"/>
            <w:vAlign w:val="bottom"/>
          </w:tcPr>
          <w:p>
            <w:pPr>
              <w:spacing w:after="0"/>
              <w:rPr>
                <w:sz w:val="17"/>
                <w:szCs w:val="17"/>
                <w:color w:val="auto"/>
              </w:rPr>
            </w:pPr>
          </w:p>
        </w:tc>
        <w:tc>
          <w:tcPr>
            <w:tcW w:w="1720" w:type="dxa"/>
            <w:vAlign w:val="bottom"/>
          </w:tcPr>
          <w:p>
            <w:pPr>
              <w:jc w:val="right"/>
              <w:ind w:right="216"/>
              <w:spacing w:after="0"/>
              <w:rPr>
                <w:sz w:val="20"/>
                <w:szCs w:val="20"/>
                <w:color w:val="auto"/>
              </w:rPr>
            </w:pPr>
            <w:r>
              <w:rPr>
                <w:rFonts w:ascii="Arial" w:cs="Arial" w:eastAsia="Arial" w:hAnsi="Arial"/>
                <w:sz w:val="16"/>
                <w:szCs w:val="16"/>
                <w:b w:val="1"/>
                <w:bCs w:val="1"/>
                <w:color w:val="auto"/>
              </w:rPr>
              <w:t>Weighted-average</w:t>
            </w:r>
          </w:p>
        </w:tc>
        <w:tc>
          <w:tcPr>
            <w:tcW w:w="1800" w:type="dxa"/>
            <w:vAlign w:val="bottom"/>
          </w:tcPr>
          <w:p>
            <w:pPr>
              <w:jc w:val="right"/>
              <w:ind w:right="57"/>
              <w:spacing w:after="0"/>
              <w:rPr>
                <w:sz w:val="20"/>
                <w:szCs w:val="20"/>
                <w:color w:val="auto"/>
              </w:rPr>
            </w:pPr>
            <w:r>
              <w:rPr>
                <w:rFonts w:ascii="Arial" w:cs="Arial" w:eastAsia="Arial" w:hAnsi="Arial"/>
                <w:sz w:val="16"/>
                <w:szCs w:val="16"/>
                <w:b w:val="1"/>
                <w:bCs w:val="1"/>
                <w:color w:val="auto"/>
              </w:rPr>
              <w:t>under equity</w:t>
            </w:r>
          </w:p>
        </w:tc>
      </w:tr>
      <w:tr>
        <w:trPr>
          <w:trHeight w:val="203"/>
        </w:trPr>
        <w:tc>
          <w:tcPr>
            <w:tcW w:w="5080" w:type="dxa"/>
            <w:vAlign w:val="bottom"/>
          </w:tcPr>
          <w:p>
            <w:pPr>
              <w:spacing w:after="0"/>
              <w:rPr>
                <w:sz w:val="17"/>
                <w:szCs w:val="17"/>
                <w:color w:val="auto"/>
              </w:rPr>
            </w:pPr>
          </w:p>
        </w:tc>
        <w:tc>
          <w:tcPr>
            <w:tcW w:w="2260" w:type="dxa"/>
            <w:vAlign w:val="bottom"/>
          </w:tcPr>
          <w:p>
            <w:pPr>
              <w:jc w:val="right"/>
              <w:ind w:right="57"/>
              <w:spacing w:after="0"/>
              <w:rPr>
                <w:sz w:val="20"/>
                <w:szCs w:val="20"/>
                <w:color w:val="auto"/>
              </w:rPr>
            </w:pPr>
            <w:r>
              <w:rPr>
                <w:rFonts w:ascii="Arial" w:cs="Arial" w:eastAsia="Arial" w:hAnsi="Arial"/>
                <w:sz w:val="16"/>
                <w:szCs w:val="16"/>
                <w:b w:val="1"/>
                <w:bCs w:val="1"/>
                <w:color w:val="auto"/>
              </w:rPr>
              <w:t>upon exercise of</w:t>
            </w:r>
          </w:p>
        </w:tc>
        <w:tc>
          <w:tcPr>
            <w:tcW w:w="380" w:type="dxa"/>
            <w:vAlign w:val="bottom"/>
          </w:tcPr>
          <w:p>
            <w:pPr>
              <w:spacing w:after="0"/>
              <w:rPr>
                <w:sz w:val="17"/>
                <w:szCs w:val="17"/>
                <w:color w:val="auto"/>
              </w:rPr>
            </w:pPr>
          </w:p>
        </w:tc>
        <w:tc>
          <w:tcPr>
            <w:tcW w:w="1720" w:type="dxa"/>
            <w:vAlign w:val="bottom"/>
          </w:tcPr>
          <w:p>
            <w:pPr>
              <w:jc w:val="right"/>
              <w:ind w:right="216"/>
              <w:spacing w:after="0"/>
              <w:rPr>
                <w:sz w:val="20"/>
                <w:szCs w:val="20"/>
                <w:color w:val="auto"/>
              </w:rPr>
            </w:pPr>
            <w:r>
              <w:rPr>
                <w:rFonts w:ascii="Arial" w:cs="Arial" w:eastAsia="Arial" w:hAnsi="Arial"/>
                <w:sz w:val="16"/>
                <w:szCs w:val="16"/>
                <w:b w:val="1"/>
                <w:bCs w:val="1"/>
                <w:color w:val="auto"/>
              </w:rPr>
              <w:t>exercise price of</w:t>
            </w:r>
          </w:p>
        </w:tc>
        <w:tc>
          <w:tcPr>
            <w:tcW w:w="1800" w:type="dxa"/>
            <w:vAlign w:val="bottom"/>
          </w:tcPr>
          <w:p>
            <w:pPr>
              <w:jc w:val="right"/>
              <w:ind w:right="57"/>
              <w:spacing w:after="0"/>
              <w:rPr>
                <w:sz w:val="20"/>
                <w:szCs w:val="20"/>
                <w:color w:val="auto"/>
              </w:rPr>
            </w:pPr>
            <w:r>
              <w:rPr>
                <w:rFonts w:ascii="Arial" w:cs="Arial" w:eastAsia="Arial" w:hAnsi="Arial"/>
                <w:sz w:val="16"/>
                <w:szCs w:val="16"/>
                <w:b w:val="1"/>
                <w:bCs w:val="1"/>
                <w:color w:val="auto"/>
              </w:rPr>
              <w:t>compensation</w:t>
            </w:r>
          </w:p>
        </w:tc>
      </w:tr>
      <w:tr>
        <w:trPr>
          <w:trHeight w:val="203"/>
        </w:trPr>
        <w:tc>
          <w:tcPr>
            <w:tcW w:w="5080" w:type="dxa"/>
            <w:vAlign w:val="bottom"/>
          </w:tcPr>
          <w:p>
            <w:pPr>
              <w:spacing w:after="0"/>
              <w:rPr>
                <w:sz w:val="17"/>
                <w:szCs w:val="17"/>
                <w:color w:val="auto"/>
              </w:rPr>
            </w:pPr>
          </w:p>
        </w:tc>
        <w:tc>
          <w:tcPr>
            <w:tcW w:w="2260" w:type="dxa"/>
            <w:vAlign w:val="bottom"/>
          </w:tcPr>
          <w:p>
            <w:pPr>
              <w:jc w:val="right"/>
              <w:ind w:right="57"/>
              <w:spacing w:after="0"/>
              <w:rPr>
                <w:sz w:val="20"/>
                <w:szCs w:val="20"/>
                <w:color w:val="auto"/>
              </w:rPr>
            </w:pPr>
            <w:r>
              <w:rPr>
                <w:rFonts w:ascii="Arial" w:cs="Arial" w:eastAsia="Arial" w:hAnsi="Arial"/>
                <w:sz w:val="16"/>
                <w:szCs w:val="16"/>
                <w:b w:val="1"/>
                <w:bCs w:val="1"/>
                <w:color w:val="auto"/>
              </w:rPr>
              <w:t>outstanding options,</w:t>
            </w:r>
          </w:p>
        </w:tc>
        <w:tc>
          <w:tcPr>
            <w:tcW w:w="380" w:type="dxa"/>
            <w:vAlign w:val="bottom"/>
          </w:tcPr>
          <w:p>
            <w:pPr>
              <w:spacing w:after="0"/>
              <w:rPr>
                <w:sz w:val="17"/>
                <w:szCs w:val="17"/>
                <w:color w:val="auto"/>
              </w:rPr>
            </w:pPr>
          </w:p>
        </w:tc>
        <w:tc>
          <w:tcPr>
            <w:tcW w:w="1720" w:type="dxa"/>
            <w:vAlign w:val="bottom"/>
          </w:tcPr>
          <w:p>
            <w:pPr>
              <w:jc w:val="right"/>
              <w:ind w:right="216"/>
              <w:spacing w:after="0"/>
              <w:rPr>
                <w:sz w:val="20"/>
                <w:szCs w:val="20"/>
                <w:color w:val="auto"/>
              </w:rPr>
            </w:pPr>
            <w:r>
              <w:rPr>
                <w:rFonts w:ascii="Arial" w:cs="Arial" w:eastAsia="Arial" w:hAnsi="Arial"/>
                <w:sz w:val="16"/>
                <w:szCs w:val="16"/>
                <w:b w:val="1"/>
                <w:bCs w:val="1"/>
                <w:color w:val="auto"/>
              </w:rPr>
              <w:t>outstanding</w:t>
            </w:r>
          </w:p>
        </w:tc>
        <w:tc>
          <w:tcPr>
            <w:tcW w:w="1800" w:type="dxa"/>
            <w:vAlign w:val="bottom"/>
          </w:tcPr>
          <w:p>
            <w:pPr>
              <w:jc w:val="right"/>
              <w:ind w:right="57"/>
              <w:spacing w:after="0"/>
              <w:rPr>
                <w:sz w:val="20"/>
                <w:szCs w:val="20"/>
                <w:color w:val="auto"/>
              </w:rPr>
            </w:pPr>
            <w:r>
              <w:rPr>
                <w:rFonts w:ascii="Arial" w:cs="Arial" w:eastAsia="Arial" w:hAnsi="Arial"/>
                <w:sz w:val="16"/>
                <w:szCs w:val="16"/>
                <w:b w:val="1"/>
                <w:bCs w:val="1"/>
                <w:color w:val="auto"/>
              </w:rPr>
              <w:t>plans (excluding</w:t>
            </w:r>
          </w:p>
        </w:tc>
      </w:tr>
      <w:tr>
        <w:trPr>
          <w:trHeight w:val="203"/>
        </w:trPr>
        <w:tc>
          <w:tcPr>
            <w:tcW w:w="5080" w:type="dxa"/>
            <w:vAlign w:val="bottom"/>
          </w:tcPr>
          <w:p>
            <w:pPr>
              <w:spacing w:after="0"/>
              <w:rPr>
                <w:sz w:val="17"/>
                <w:szCs w:val="17"/>
                <w:color w:val="auto"/>
              </w:rPr>
            </w:pPr>
          </w:p>
        </w:tc>
        <w:tc>
          <w:tcPr>
            <w:tcW w:w="2260" w:type="dxa"/>
            <w:vAlign w:val="bottom"/>
          </w:tcPr>
          <w:p>
            <w:pPr>
              <w:jc w:val="right"/>
              <w:ind w:right="57"/>
              <w:spacing w:after="0"/>
              <w:rPr>
                <w:sz w:val="20"/>
                <w:szCs w:val="20"/>
                <w:color w:val="auto"/>
              </w:rPr>
            </w:pPr>
            <w:r>
              <w:rPr>
                <w:rFonts w:ascii="Arial" w:cs="Arial" w:eastAsia="Arial" w:hAnsi="Arial"/>
                <w:sz w:val="16"/>
                <w:szCs w:val="16"/>
                <w:b w:val="1"/>
                <w:bCs w:val="1"/>
                <w:color w:val="auto"/>
              </w:rPr>
              <w:t>warrants and</w:t>
            </w:r>
          </w:p>
        </w:tc>
        <w:tc>
          <w:tcPr>
            <w:tcW w:w="380" w:type="dxa"/>
            <w:vAlign w:val="bottom"/>
          </w:tcPr>
          <w:p>
            <w:pPr>
              <w:spacing w:after="0"/>
              <w:rPr>
                <w:sz w:val="17"/>
                <w:szCs w:val="17"/>
                <w:color w:val="auto"/>
              </w:rPr>
            </w:pPr>
          </w:p>
        </w:tc>
        <w:tc>
          <w:tcPr>
            <w:tcW w:w="1720" w:type="dxa"/>
            <w:vAlign w:val="bottom"/>
          </w:tcPr>
          <w:p>
            <w:pPr>
              <w:jc w:val="right"/>
              <w:ind w:right="216"/>
              <w:spacing w:after="0"/>
              <w:rPr>
                <w:sz w:val="20"/>
                <w:szCs w:val="20"/>
                <w:color w:val="auto"/>
              </w:rPr>
            </w:pPr>
            <w:r>
              <w:rPr>
                <w:rFonts w:ascii="Arial" w:cs="Arial" w:eastAsia="Arial" w:hAnsi="Arial"/>
                <w:sz w:val="16"/>
                <w:szCs w:val="16"/>
                <w:b w:val="1"/>
                <w:bCs w:val="1"/>
                <w:color w:val="auto"/>
              </w:rPr>
              <w:t>options, warrants</w:t>
            </w:r>
          </w:p>
        </w:tc>
        <w:tc>
          <w:tcPr>
            <w:tcW w:w="1800" w:type="dxa"/>
            <w:vAlign w:val="bottom"/>
          </w:tcPr>
          <w:p>
            <w:pPr>
              <w:jc w:val="right"/>
              <w:ind w:right="57"/>
              <w:spacing w:after="0"/>
              <w:rPr>
                <w:sz w:val="20"/>
                <w:szCs w:val="20"/>
                <w:color w:val="auto"/>
              </w:rPr>
            </w:pPr>
            <w:r>
              <w:rPr>
                <w:rFonts w:ascii="Arial" w:cs="Arial" w:eastAsia="Arial" w:hAnsi="Arial"/>
                <w:sz w:val="16"/>
                <w:szCs w:val="16"/>
                <w:b w:val="1"/>
                <w:bCs w:val="1"/>
                <w:color w:val="auto"/>
              </w:rPr>
              <w:t>securities reflected</w:t>
            </w:r>
          </w:p>
        </w:tc>
      </w:tr>
      <w:tr>
        <w:trPr>
          <w:trHeight w:val="213"/>
        </w:trPr>
        <w:tc>
          <w:tcPr>
            <w:tcW w:w="50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Plan Category</w:t>
            </w:r>
          </w:p>
        </w:tc>
        <w:tc>
          <w:tcPr>
            <w:tcW w:w="2260" w:type="dxa"/>
            <w:vAlign w:val="bottom"/>
            <w:tcBorders>
              <w:bottom w:val="single" w:sz="8" w:color="auto"/>
            </w:tcBorders>
          </w:tcPr>
          <w:p>
            <w:pPr>
              <w:jc w:val="right"/>
              <w:ind w:right="57"/>
              <w:spacing w:after="0"/>
              <w:rPr>
                <w:sz w:val="20"/>
                <w:szCs w:val="20"/>
                <w:color w:val="auto"/>
              </w:rPr>
            </w:pPr>
            <w:r>
              <w:rPr>
                <w:rFonts w:ascii="Arial" w:cs="Arial" w:eastAsia="Arial" w:hAnsi="Arial"/>
                <w:sz w:val="16"/>
                <w:szCs w:val="16"/>
                <w:b w:val="1"/>
                <w:bCs w:val="1"/>
                <w:color w:val="auto"/>
              </w:rPr>
              <w:t>rights(1)</w:t>
            </w:r>
          </w:p>
        </w:tc>
        <w:tc>
          <w:tcPr>
            <w:tcW w:w="3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216"/>
              <w:spacing w:after="0"/>
              <w:rPr>
                <w:sz w:val="20"/>
                <w:szCs w:val="20"/>
                <w:color w:val="auto"/>
              </w:rPr>
            </w:pPr>
            <w:r>
              <w:rPr>
                <w:rFonts w:ascii="Arial" w:cs="Arial" w:eastAsia="Arial" w:hAnsi="Arial"/>
                <w:sz w:val="16"/>
                <w:szCs w:val="16"/>
                <w:b w:val="1"/>
                <w:bCs w:val="1"/>
                <w:color w:val="auto"/>
              </w:rPr>
              <w:t>and rights</w:t>
            </w:r>
          </w:p>
        </w:tc>
        <w:tc>
          <w:tcPr>
            <w:tcW w:w="1800" w:type="dxa"/>
            <w:vAlign w:val="bottom"/>
            <w:tcBorders>
              <w:bottom w:val="single" w:sz="8" w:color="auto"/>
            </w:tcBorders>
          </w:tcPr>
          <w:p>
            <w:pPr>
              <w:jc w:val="right"/>
              <w:ind w:right="57"/>
              <w:spacing w:after="0"/>
              <w:rPr>
                <w:sz w:val="20"/>
                <w:szCs w:val="20"/>
                <w:color w:val="auto"/>
              </w:rPr>
            </w:pPr>
            <w:r>
              <w:rPr>
                <w:rFonts w:ascii="Arial" w:cs="Arial" w:eastAsia="Arial" w:hAnsi="Arial"/>
                <w:sz w:val="16"/>
                <w:szCs w:val="16"/>
                <w:b w:val="1"/>
                <w:bCs w:val="1"/>
                <w:color w:val="auto"/>
              </w:rPr>
              <w:t>in column (a)) (2)</w:t>
            </w:r>
          </w:p>
        </w:tc>
      </w:tr>
      <w:tr>
        <w:trPr>
          <w:trHeight w:val="226"/>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226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621</w:t>
            </w:r>
          </w:p>
        </w:tc>
        <w:tc>
          <w:tcPr>
            <w:tcW w:w="3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ind w:right="216"/>
              <w:spacing w:after="0"/>
              <w:rPr>
                <w:sz w:val="20"/>
                <w:szCs w:val="20"/>
                <w:color w:val="auto"/>
              </w:rPr>
            </w:pPr>
            <w:r>
              <w:rPr>
                <w:rFonts w:ascii="Arial" w:cs="Arial" w:eastAsia="Arial" w:hAnsi="Arial"/>
                <w:sz w:val="18"/>
                <w:szCs w:val="18"/>
                <w:color w:val="auto"/>
              </w:rPr>
              <w:t>—</w:t>
            </w:r>
          </w:p>
        </w:tc>
        <w:tc>
          <w:tcPr>
            <w:tcW w:w="180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1,261,501</w:t>
            </w:r>
          </w:p>
        </w:tc>
      </w:tr>
      <w:tr>
        <w:trPr>
          <w:trHeight w:val="230"/>
        </w:trPr>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226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w:t>
            </w:r>
          </w:p>
        </w:tc>
      </w:tr>
      <w:tr>
        <w:trPr>
          <w:trHeight w:val="223"/>
        </w:trPr>
        <w:tc>
          <w:tcPr>
            <w:tcW w:w="50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26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621</w:t>
            </w:r>
          </w:p>
        </w:tc>
        <w:tc>
          <w:tcPr>
            <w:tcW w:w="3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shd w:val="clear" w:color="auto" w:fill="CFF0FC"/>
          </w:tcPr>
          <w:p>
            <w:pPr>
              <w:jc w:val="right"/>
              <w:ind w:right="216"/>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1,261,501</w:t>
            </w:r>
          </w:p>
        </w:tc>
      </w:tr>
    </w:tbl>
    <w:p>
      <w:pPr>
        <w:spacing w:after="0" w:line="202" w:lineRule="exact"/>
        <w:rPr>
          <w:sz w:val="20"/>
          <w:szCs w:val="20"/>
          <w:color w:val="auto"/>
        </w:rPr>
      </w:pPr>
    </w:p>
    <w:p>
      <w:pPr>
        <w:ind w:left="400" w:hanging="392"/>
        <w:spacing w:after="0"/>
        <w:tabs>
          <w:tab w:leader="none" w:pos="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Restricted stock units issued to certain employees at no cost.</w:t>
      </w:r>
    </w:p>
    <w:p>
      <w:pPr>
        <w:spacing w:after="0" w:line="184" w:lineRule="exact"/>
        <w:rPr>
          <w:rFonts w:ascii="Arial" w:cs="Arial" w:eastAsia="Arial" w:hAnsi="Arial"/>
          <w:sz w:val="18"/>
          <w:szCs w:val="18"/>
          <w:color w:val="auto"/>
        </w:rPr>
      </w:pPr>
    </w:p>
    <w:p>
      <w:pPr>
        <w:ind w:left="400" w:hanging="392"/>
        <w:spacing w:after="0"/>
        <w:tabs>
          <w:tab w:leader="none" w:pos="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Such shares may be issued as restricted shares or other forms of stock-based compensation pursuant to our stock incentive plans.</w:t>
      </w:r>
    </w:p>
    <w:p>
      <w:pPr>
        <w:spacing w:after="0" w:line="185" w:lineRule="exact"/>
        <w:rPr>
          <w:sz w:val="20"/>
          <w:szCs w:val="20"/>
          <w:color w:val="auto"/>
        </w:rPr>
      </w:pPr>
    </w:p>
    <w:p>
      <w:pPr>
        <w:ind w:left="5540" w:right="1140" w:hanging="5532"/>
        <w:spacing w:after="0" w:line="527" w:lineRule="auto"/>
        <w:tabs>
          <w:tab w:leader="none" w:pos="405"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additional information concerning our equity compensation plans, see the discussion in Note 15 Share-Based Compensation Plans.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13, CERTAIN RELATIONSHIPS AND RELATED TRANSACTIONS, AND DIRECTOR INDEPENDENCE</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 entitled “Election of Directors” in our definitive proxy statement for our annual meeting of shareholders to be held June 24, 2021, to be filed with the Securities and Exchange Commission.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14, PRINCIPAL ACCOUNTING FEES AND SERVICES</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 entitled “Audit Matters” in our definitive proxy statement for our annual meeting of shareholders to be held June 24, 2021, to be filed with the Securities and Exchange Commission.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15, EXHIBITS AND FINANCIAL STATEMENT SCHEDULES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Statements</w:t>
      </w:r>
    </w:p>
    <w:p>
      <w:pPr>
        <w:spacing w:after="0" w:line="20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consolidated financial statements of Genesco Inc. and Subsidiaries are filed as part of this report under Item 8, Financial Statements and Supplementary Data</w:t>
      </w:r>
    </w:p>
    <w:p>
      <w:pPr>
        <w:spacing w:after="0" w:line="130" w:lineRule="exact"/>
        <w:rPr>
          <w:sz w:val="20"/>
          <w:szCs w:val="20"/>
          <w:color w:val="auto"/>
        </w:rPr>
      </w:pPr>
    </w:p>
    <w:p>
      <w:pPr>
        <w:ind w:right="3640"/>
        <w:spacing w:after="0" w:line="461" w:lineRule="auto"/>
        <w:rPr>
          <w:sz w:val="20"/>
          <w:szCs w:val="20"/>
          <w:color w:val="auto"/>
        </w:rPr>
      </w:pPr>
      <w:r>
        <w:rPr>
          <w:rFonts w:ascii="Arial" w:cs="Arial" w:eastAsia="Arial" w:hAnsi="Arial"/>
          <w:sz w:val="18"/>
          <w:szCs w:val="18"/>
          <w:color w:val="auto"/>
        </w:rPr>
        <w:t>Report of Independent Registered Public Accounting Firm on Internal Control over Financial Reporting Report of Independent Registered Public Accounting Firm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January 30, 2021 and February 1, 2020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Operations, each of the three fiscal years ended 2021, 2020 and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Comprehensive Income, each of the three fiscal years ended 2021, 2020 and 2019</w:t>
      </w:r>
    </w:p>
    <w:p>
      <w:pPr>
        <w:spacing w:after="0" w:line="198" w:lineRule="exact"/>
        <w:rPr>
          <w:sz w:val="20"/>
          <w:szCs w:val="20"/>
          <w:color w:val="auto"/>
        </w:rPr>
      </w:pPr>
    </w:p>
    <w:p>
      <w:pPr>
        <w:ind w:right="4080"/>
        <w:spacing w:after="0" w:line="457" w:lineRule="auto"/>
        <w:rPr>
          <w:sz w:val="20"/>
          <w:szCs w:val="20"/>
          <w:color w:val="auto"/>
        </w:rPr>
      </w:pPr>
      <w:r>
        <w:rPr>
          <w:rFonts w:ascii="Arial" w:cs="Arial" w:eastAsia="Arial" w:hAnsi="Arial"/>
          <w:sz w:val="18"/>
          <w:szCs w:val="18"/>
          <w:color w:val="auto"/>
        </w:rPr>
        <w:t>Consolidated Statements of Cash Flows, each of the three fiscal years ended 2021, 2020 and 2019 Consolidated Statements of Equity, each of the three fiscal years ended 2021, 2020 and 2019 Notes to Consolidated Financial Statements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Statement Schedules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Schedule 2 — Valuation and Qualifying Accounts, each of the three fiscal years ended 2021, 2020 and 2019</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All other schedules are omitted because the required information is either not applicable or is presented in the financial statements or related notes.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These schedules begin on page 94.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Exhibits</w:t>
      </w:r>
    </w:p>
    <w:p>
      <w:pPr>
        <w:spacing w:after="0" w:line="229" w:lineRule="exact"/>
        <w:rPr>
          <w:sz w:val="20"/>
          <w:szCs w:val="20"/>
          <w:color w:val="auto"/>
        </w:rPr>
      </w:pPr>
    </w:p>
    <w:p>
      <w:pPr>
        <w:ind w:left="2340" w:right="240" w:hanging="1644"/>
        <w:spacing w:after="0" w:line="254" w:lineRule="auto"/>
        <w:tabs>
          <w:tab w:leader="none" w:pos="1759" w:val="left"/>
        </w:tabs>
        <w:numPr>
          <w:ilvl w:val="0"/>
          <w:numId w:val="24"/>
        </w:numPr>
        <w:rPr>
          <w:rFonts w:ascii="Arial" w:cs="Arial" w:eastAsia="Arial" w:hAnsi="Arial"/>
          <w:sz w:val="18"/>
          <w:szCs w:val="18"/>
          <w:u w:val="single" w:color="auto"/>
          <w:color w:val="0000EE"/>
        </w:rPr>
      </w:pPr>
      <w:r>
        <w:rPr>
          <w:rFonts w:ascii="Arial" w:cs="Arial" w:eastAsia="Arial" w:hAnsi="Arial"/>
          <w:sz w:val="18"/>
          <w:szCs w:val="18"/>
          <w:color w:val="auto"/>
        </w:rPr>
        <w:t>a.</w:t>
      </w:r>
      <w:hyperlink r:id="rId104">
        <w:r>
          <w:rPr>
            <w:rFonts w:ascii="Arial" w:cs="Arial" w:eastAsia="Arial" w:hAnsi="Arial"/>
            <w:sz w:val="18"/>
            <w:szCs w:val="18"/>
            <w:u w:val="single" w:color="auto"/>
            <w:color w:val="0000EE"/>
          </w:rPr>
          <w:t>Purchase Agreement dated December 14, 2018, among Hat World, Inc., GCO Canada Inc., Flagg Bros. of Puerto Rico,</w:t>
        </w:r>
      </w:hyperlink>
      <w:r>
        <w:rPr>
          <w:rFonts w:ascii="Arial" w:cs="Arial" w:eastAsia="Arial" w:hAnsi="Arial"/>
          <w:sz w:val="18"/>
          <w:szCs w:val="18"/>
          <w:u w:val="single" w:color="auto"/>
          <w:color w:val="0000EE"/>
        </w:rPr>
        <w:t xml:space="preserve"> </w:t>
      </w:r>
      <w:hyperlink r:id="rId104">
        <w:r>
          <w:rPr>
            <w:rFonts w:ascii="Arial" w:cs="Arial" w:eastAsia="Arial" w:hAnsi="Arial"/>
            <w:sz w:val="18"/>
            <w:szCs w:val="18"/>
            <w:u w:val="single" w:color="auto"/>
            <w:color w:val="0000EE"/>
          </w:rPr>
          <w:t>Inc., Hat World Corporation, Hat World Services Co., Inc., LSG Guam, Inc., Genesco Inc., Fanzzlids Holding, LLC,</w:t>
        </w:r>
      </w:hyperlink>
      <w:r>
        <w:rPr>
          <w:rFonts w:ascii="Arial" w:cs="Arial" w:eastAsia="Arial" w:hAnsi="Arial"/>
          <w:sz w:val="18"/>
          <w:szCs w:val="18"/>
          <w:u w:val="single" w:color="auto"/>
          <w:color w:val="0000EE"/>
        </w:rPr>
        <w:t xml:space="preserve"> </w:t>
      </w:r>
      <w:hyperlink r:id="rId104">
        <w:r>
          <w:rPr>
            <w:rFonts w:ascii="Arial" w:cs="Arial" w:eastAsia="Arial" w:hAnsi="Arial"/>
            <w:sz w:val="18"/>
            <w:szCs w:val="18"/>
            <w:u w:val="single" w:color="auto"/>
            <w:color w:val="0000EE"/>
          </w:rPr>
          <w:t>Fanatics, Inc. and Fanzz Holding, Inc. Incorporated by reference to Exhibit 2.1 to the current report on Form 8-K file</w:t>
        </w:r>
      </w:hyperlink>
      <w:r>
        <w:rPr>
          <w:rFonts w:ascii="Arial" w:cs="Arial" w:eastAsia="Arial" w:hAnsi="Arial"/>
          <w:sz w:val="18"/>
          <w:szCs w:val="18"/>
          <w:u w:val="single" w:color="auto"/>
          <w:color w:val="0000EE"/>
        </w:rPr>
        <w:t xml:space="preserve"> </w:t>
      </w:r>
      <w:hyperlink r:id="rId104">
        <w:r>
          <w:rPr>
            <w:rFonts w:ascii="Arial" w:cs="Arial" w:eastAsia="Arial" w:hAnsi="Arial"/>
            <w:sz w:val="18"/>
            <w:szCs w:val="18"/>
            <w:u w:val="single" w:color="auto"/>
            <w:color w:val="0000EE"/>
          </w:rPr>
          <w:t>December 14, 2018 (File No. 1-3083).*</w:t>
        </w:r>
      </w:hyperlink>
    </w:p>
    <w:p>
      <w:pPr>
        <w:spacing w:after="0" w:line="2" w:lineRule="exact"/>
        <w:rPr>
          <w:rFonts w:ascii="Arial" w:cs="Arial" w:eastAsia="Arial" w:hAnsi="Arial"/>
          <w:sz w:val="18"/>
          <w:szCs w:val="18"/>
          <w:u w:val="single" w:color="auto"/>
          <w:color w:val="0000EE"/>
        </w:rPr>
      </w:pPr>
    </w:p>
    <w:p>
      <w:pPr>
        <w:ind w:left="2340" w:right="160" w:hanging="591"/>
        <w:spacing w:after="0" w:line="265" w:lineRule="auto"/>
        <w:tabs>
          <w:tab w:leader="none" w:pos="2340" w:val="left"/>
        </w:tabs>
        <w:numPr>
          <w:ilvl w:val="1"/>
          <w:numId w:val="24"/>
        </w:numPr>
        <w:rPr>
          <w:rFonts w:ascii="Arial" w:cs="Arial" w:eastAsia="Arial" w:hAnsi="Arial"/>
          <w:sz w:val="17"/>
          <w:szCs w:val="17"/>
          <w:u w:val="single" w:color="auto"/>
          <w:color w:val="0000EE"/>
        </w:rPr>
      </w:pPr>
      <w:hyperlink r:id="rId105">
        <w:r>
          <w:rPr>
            <w:rFonts w:ascii="Arial" w:cs="Arial" w:eastAsia="Arial" w:hAnsi="Arial"/>
            <w:sz w:val="17"/>
            <w:szCs w:val="17"/>
            <w:u w:val="single" w:color="auto"/>
            <w:color w:val="0000EE"/>
          </w:rPr>
          <w:t>Asset Purchase Agreement dated December 18, 2019, by and among Genesco Brands NY, LLC, Togast LLC, Togast</w:t>
        </w:r>
      </w:hyperlink>
      <w:r>
        <w:rPr>
          <w:rFonts w:ascii="Arial" w:cs="Arial" w:eastAsia="Arial" w:hAnsi="Arial"/>
          <w:sz w:val="17"/>
          <w:szCs w:val="17"/>
          <w:u w:val="single" w:color="auto"/>
          <w:color w:val="0000EE"/>
        </w:rPr>
        <w:t xml:space="preserve"> </w:t>
      </w:r>
      <w:hyperlink r:id="rId105">
        <w:r>
          <w:rPr>
            <w:rFonts w:ascii="Arial" w:cs="Arial" w:eastAsia="Arial" w:hAnsi="Arial"/>
            <w:sz w:val="17"/>
            <w:szCs w:val="17"/>
            <w:u w:val="single" w:color="auto"/>
            <w:color w:val="0000EE"/>
          </w:rPr>
          <w:t>Direct, LLC, TGB Design, LLC, Quanzhou TGB Footwear Co. Ltd and Anthony LoConte. Incorporated by reference to</w:t>
        </w:r>
      </w:hyperlink>
      <w:r>
        <w:rPr>
          <w:rFonts w:ascii="Arial" w:cs="Arial" w:eastAsia="Arial" w:hAnsi="Arial"/>
          <w:sz w:val="17"/>
          <w:szCs w:val="17"/>
          <w:u w:val="single" w:color="auto"/>
          <w:color w:val="0000EE"/>
        </w:rPr>
        <w:t xml:space="preserve"> </w:t>
      </w:r>
      <w:hyperlink r:id="rId105">
        <w:r>
          <w:rPr>
            <w:rFonts w:ascii="Arial" w:cs="Arial" w:eastAsia="Arial" w:hAnsi="Arial"/>
            <w:sz w:val="17"/>
            <w:szCs w:val="17"/>
            <w:u w:val="single" w:color="auto"/>
            <w:color w:val="0000EE"/>
          </w:rPr>
          <w:t>Exhibit 2.1 to the current report on Form 8-K filed December 18, 2019 (File No. 1-3083).</w:t>
        </w:r>
      </w:hyperlink>
    </w:p>
    <w:p>
      <w:pPr>
        <w:ind w:left="2340" w:right="220" w:hanging="591"/>
        <w:spacing w:after="0" w:line="265" w:lineRule="auto"/>
        <w:tabs>
          <w:tab w:leader="none" w:pos="2340" w:val="left"/>
        </w:tabs>
        <w:numPr>
          <w:ilvl w:val="1"/>
          <w:numId w:val="24"/>
        </w:numPr>
        <w:rPr>
          <w:rFonts w:ascii="Arial" w:cs="Arial" w:eastAsia="Arial" w:hAnsi="Arial"/>
          <w:sz w:val="17"/>
          <w:szCs w:val="17"/>
          <w:u w:val="single" w:color="auto"/>
          <w:color w:val="0000EE"/>
        </w:rPr>
      </w:pPr>
      <w:hyperlink w:anchor="page96">
        <w:r>
          <w:rPr>
            <w:rFonts w:ascii="Arial" w:cs="Arial" w:eastAsia="Arial" w:hAnsi="Arial"/>
            <w:sz w:val="17"/>
            <w:szCs w:val="17"/>
            <w:u w:val="single" w:color="auto"/>
            <w:color w:val="0000EE"/>
          </w:rPr>
          <w:t>Amendment to Asset Purchase Agreement dated September 30, 2020, by and among Genesco Brands NY, LLC, Togast</w:t>
        </w:r>
      </w:hyperlink>
      <w:r>
        <w:rPr>
          <w:rFonts w:ascii="Arial" w:cs="Arial" w:eastAsia="Arial" w:hAnsi="Arial"/>
          <w:sz w:val="17"/>
          <w:szCs w:val="17"/>
          <w:u w:val="single" w:color="auto"/>
          <w:color w:val="0000EE"/>
        </w:rPr>
        <w:t xml:space="preserve"> </w:t>
      </w:r>
      <w:hyperlink w:anchor="page96">
        <w:r>
          <w:rPr>
            <w:rFonts w:ascii="Arial" w:cs="Arial" w:eastAsia="Arial" w:hAnsi="Arial"/>
            <w:sz w:val="17"/>
            <w:szCs w:val="17"/>
            <w:u w:val="single" w:color="auto"/>
            <w:color w:val="0000EE"/>
          </w:rPr>
          <w:t>LLC, Togast Direct, LLC, TGB Design, LLC, Quanzhou TGB Footwear Co. Ltd and Anthony LoConte.</w:t>
        </w:r>
      </w:hyperlink>
    </w:p>
    <w:p>
      <w:pPr>
        <w:ind w:left="2340" w:right="20" w:hanging="1644"/>
        <w:spacing w:after="0" w:line="250" w:lineRule="auto"/>
        <w:tabs>
          <w:tab w:leader="none" w:pos="1759" w:val="left"/>
        </w:tabs>
        <w:numPr>
          <w:ilvl w:val="0"/>
          <w:numId w:val="24"/>
        </w:numPr>
        <w:rPr>
          <w:rFonts w:ascii="Arial" w:cs="Arial" w:eastAsia="Arial" w:hAnsi="Arial"/>
          <w:sz w:val="18"/>
          <w:szCs w:val="18"/>
          <w:u w:val="single" w:color="auto"/>
          <w:color w:val="0000EE"/>
        </w:rPr>
      </w:pPr>
      <w:r>
        <w:rPr>
          <w:rFonts w:ascii="Arial" w:cs="Arial" w:eastAsia="Arial" w:hAnsi="Arial"/>
          <w:sz w:val="18"/>
          <w:szCs w:val="18"/>
          <w:color w:val="auto"/>
        </w:rPr>
        <w:t>a.</w:t>
      </w:r>
      <w:hyperlink r:id="rId106">
        <w:r>
          <w:rPr>
            <w:rFonts w:ascii="Arial" w:cs="Arial" w:eastAsia="Arial" w:hAnsi="Arial"/>
            <w:sz w:val="18"/>
            <w:szCs w:val="18"/>
            <w:u w:val="single" w:color="auto"/>
            <w:color w:val="0000EE"/>
          </w:rPr>
          <w:t>Amended and Restated Bylaws of Genesco Inc. Incorporated by reference to Exhibit 99.2 to the current report on Form 8-</w:t>
        </w:r>
      </w:hyperlink>
      <w:hyperlink r:id="rId106">
        <w:r>
          <w:rPr>
            <w:rFonts w:ascii="Arial" w:cs="Arial" w:eastAsia="Arial" w:hAnsi="Arial"/>
            <w:sz w:val="18"/>
            <w:szCs w:val="18"/>
            <w:u w:val="single" w:color="auto"/>
            <w:color w:val="0000EE"/>
          </w:rPr>
          <w:t>K filed November 12, 2015 (File No. 1-3083).</w:t>
        </w:r>
      </w:hyperlink>
    </w:p>
    <w:p>
      <w:pPr>
        <w:ind w:left="2340" w:right="300" w:hanging="591"/>
        <w:spacing w:after="0" w:line="250" w:lineRule="auto"/>
        <w:tabs>
          <w:tab w:leader="none" w:pos="2340" w:val="left"/>
        </w:tabs>
        <w:numPr>
          <w:ilvl w:val="1"/>
          <w:numId w:val="24"/>
        </w:numPr>
        <w:rPr>
          <w:rFonts w:ascii="Arial" w:cs="Arial" w:eastAsia="Arial" w:hAnsi="Arial"/>
          <w:sz w:val="18"/>
          <w:szCs w:val="18"/>
          <w:u w:val="single" w:color="auto"/>
          <w:color w:val="0000EE"/>
        </w:rPr>
      </w:pPr>
      <w:hyperlink r:id="rId107">
        <w:r>
          <w:rPr>
            <w:rFonts w:ascii="Arial" w:cs="Arial" w:eastAsia="Arial" w:hAnsi="Arial"/>
            <w:sz w:val="18"/>
            <w:szCs w:val="18"/>
            <w:u w:val="single" w:color="auto"/>
            <w:color w:val="0000EE"/>
          </w:rPr>
          <w:t>Restated Charter of Genesco Inc., as amended. Incorporated by reference to Exhibit 1 to the Genesco Inc. Registration</w:t>
        </w:r>
      </w:hyperlink>
      <w:r>
        <w:rPr>
          <w:rFonts w:ascii="Arial" w:cs="Arial" w:eastAsia="Arial" w:hAnsi="Arial"/>
          <w:sz w:val="18"/>
          <w:szCs w:val="18"/>
          <w:u w:val="single" w:color="auto"/>
          <w:color w:val="0000EE"/>
        </w:rPr>
        <w:t xml:space="preserve"> </w:t>
      </w:r>
      <w:hyperlink r:id="rId107">
        <w:r>
          <w:rPr>
            <w:rFonts w:ascii="Arial" w:cs="Arial" w:eastAsia="Arial" w:hAnsi="Arial"/>
            <w:sz w:val="18"/>
            <w:szCs w:val="18"/>
            <w:u w:val="single" w:color="auto"/>
            <w:color w:val="0000EE"/>
          </w:rPr>
          <w:t>Statement on Form 8-A/A filed with the SEC on May 1, 2003 (File No.1-3083).</w:t>
        </w:r>
      </w:hyperlink>
    </w:p>
    <w:p>
      <w:pPr>
        <w:ind w:left="2340" w:right="540" w:hanging="1644"/>
        <w:spacing w:after="0" w:line="250" w:lineRule="auto"/>
        <w:tabs>
          <w:tab w:leader="none" w:pos="1759" w:val="left"/>
        </w:tabs>
        <w:numPr>
          <w:ilvl w:val="0"/>
          <w:numId w:val="24"/>
        </w:numPr>
        <w:rPr>
          <w:rFonts w:ascii="Arial" w:cs="Arial" w:eastAsia="Arial" w:hAnsi="Arial"/>
          <w:sz w:val="18"/>
          <w:szCs w:val="18"/>
          <w:u w:val="single" w:color="auto"/>
          <w:color w:val="0000EE"/>
        </w:rPr>
      </w:pPr>
      <w:r>
        <w:rPr>
          <w:rFonts w:ascii="Arial" w:cs="Arial" w:eastAsia="Arial" w:hAnsi="Arial"/>
          <w:sz w:val="18"/>
          <w:szCs w:val="18"/>
          <w:color w:val="auto"/>
        </w:rPr>
        <w:t>a.</w:t>
      </w:r>
      <w:hyperlink r:id="rId108">
        <w:r>
          <w:rPr>
            <w:rFonts w:ascii="Arial" w:cs="Arial" w:eastAsia="Arial" w:hAnsi="Arial"/>
            <w:sz w:val="18"/>
            <w:szCs w:val="18"/>
            <w:u w:val="single" w:color="auto"/>
            <w:color w:val="0000EE"/>
          </w:rPr>
          <w:t>Form of Certificate for the Common Stock. Incorporated by reference to Exhibit 3 to the Genesco Inc. Registration</w:t>
        </w:r>
      </w:hyperlink>
      <w:r>
        <w:rPr>
          <w:rFonts w:ascii="Arial" w:cs="Arial" w:eastAsia="Arial" w:hAnsi="Arial"/>
          <w:sz w:val="18"/>
          <w:szCs w:val="18"/>
          <w:u w:val="single" w:color="auto"/>
          <w:color w:val="0000EE"/>
        </w:rPr>
        <w:t xml:space="preserve"> </w:t>
      </w:r>
      <w:hyperlink r:id="rId108">
        <w:r>
          <w:rPr>
            <w:rFonts w:ascii="Arial" w:cs="Arial" w:eastAsia="Arial" w:hAnsi="Arial"/>
            <w:sz w:val="18"/>
            <w:szCs w:val="18"/>
            <w:u w:val="single" w:color="auto"/>
            <w:color w:val="0000EE"/>
          </w:rPr>
          <w:t>Statement on Form 8-A/A filed with the SEC on May 1, 2003 (File No.1-3083).</w:t>
        </w:r>
      </w:hyperlink>
    </w:p>
    <w:p>
      <w:pPr>
        <w:ind w:left="2340" w:right="180" w:hanging="591"/>
        <w:spacing w:after="0" w:line="250" w:lineRule="auto"/>
        <w:tabs>
          <w:tab w:leader="none" w:pos="2340" w:val="left"/>
        </w:tabs>
        <w:numPr>
          <w:ilvl w:val="1"/>
          <w:numId w:val="24"/>
        </w:numPr>
        <w:rPr>
          <w:rFonts w:ascii="Arial" w:cs="Arial" w:eastAsia="Arial" w:hAnsi="Arial"/>
          <w:sz w:val="18"/>
          <w:szCs w:val="18"/>
          <w:u w:val="single" w:color="auto"/>
          <w:color w:val="0000EE"/>
        </w:rPr>
      </w:pPr>
      <w:hyperlink r:id="rId109">
        <w:r>
          <w:rPr>
            <w:rFonts w:ascii="Arial" w:cs="Arial" w:eastAsia="Arial" w:hAnsi="Arial"/>
            <w:sz w:val="18"/>
            <w:szCs w:val="18"/>
            <w:u w:val="single" w:color="auto"/>
            <w:color w:val="0000EE"/>
          </w:rPr>
          <w:t>Description of Securities. Incorporated by reference to Exhibit (4)b to the Company’s Annual Report on Form 10-K for</w:t>
        </w:r>
      </w:hyperlink>
      <w:r>
        <w:rPr>
          <w:rFonts w:ascii="Arial" w:cs="Arial" w:eastAsia="Arial" w:hAnsi="Arial"/>
          <w:sz w:val="18"/>
          <w:szCs w:val="18"/>
          <w:u w:val="single" w:color="auto"/>
          <w:color w:val="0000EE"/>
        </w:rPr>
        <w:t xml:space="preserve"> </w:t>
      </w:r>
      <w:hyperlink r:id="rId109">
        <w:r>
          <w:rPr>
            <w:rFonts w:ascii="Arial" w:cs="Arial" w:eastAsia="Arial" w:hAnsi="Arial"/>
            <w:sz w:val="18"/>
            <w:szCs w:val="18"/>
            <w:u w:val="single" w:color="auto"/>
            <w:color w:val="0000EE"/>
          </w:rPr>
          <w:t>the fiscal year ended February 1, 2020. (File No. 1-3083).</w:t>
        </w:r>
      </w:hyperlink>
    </w:p>
    <w:p>
      <w:pPr>
        <w:spacing w:after="0" w:line="1" w:lineRule="exact"/>
        <w:rPr>
          <w:rFonts w:ascii="Arial" w:cs="Arial" w:eastAsia="Arial" w:hAnsi="Arial"/>
          <w:sz w:val="18"/>
          <w:szCs w:val="18"/>
          <w:color w:val="auto"/>
        </w:rPr>
      </w:pPr>
    </w:p>
    <w:p>
      <w:pPr>
        <w:ind w:left="2340" w:hanging="1644"/>
        <w:spacing w:after="0" w:line="255" w:lineRule="auto"/>
        <w:tabs>
          <w:tab w:leader="none" w:pos="1759" w:val="left"/>
        </w:tabs>
        <w:numPr>
          <w:ilvl w:val="0"/>
          <w:numId w:val="25"/>
        </w:numPr>
        <w:rPr>
          <w:rFonts w:ascii="Arial" w:cs="Arial" w:eastAsia="Arial" w:hAnsi="Arial"/>
          <w:sz w:val="18"/>
          <w:szCs w:val="18"/>
          <w:u w:val="single" w:color="auto"/>
          <w:color w:val="0000EE"/>
        </w:rPr>
      </w:pPr>
      <w:r>
        <w:rPr>
          <w:rFonts w:ascii="Arial" w:cs="Arial" w:eastAsia="Arial" w:hAnsi="Arial"/>
          <w:sz w:val="18"/>
          <w:szCs w:val="18"/>
          <w:color w:val="auto"/>
        </w:rPr>
        <w:t>a.</w:t>
      </w:r>
      <w:hyperlink r:id="rId110">
        <w:r>
          <w:rPr>
            <w:rFonts w:ascii="Arial" w:cs="Arial" w:eastAsia="Arial" w:hAnsi="Arial"/>
            <w:sz w:val="18"/>
            <w:szCs w:val="18"/>
            <w:u w:val="single" w:color="auto"/>
            <w:color w:val="0000EE"/>
          </w:rPr>
          <w:t>Cooperation Agreement dated April 24, 2018, among Genesco Inc., Legion Partners Asset Management, LLC, 4010</w:t>
        </w:r>
      </w:hyperlink>
      <w:r>
        <w:rPr>
          <w:rFonts w:ascii="Arial" w:cs="Arial" w:eastAsia="Arial" w:hAnsi="Arial"/>
          <w:sz w:val="18"/>
          <w:szCs w:val="18"/>
          <w:u w:val="single" w:color="auto"/>
          <w:color w:val="0000EE"/>
        </w:rPr>
        <w:t xml:space="preserve"> </w:t>
      </w:r>
      <w:hyperlink r:id="rId110">
        <w:r>
          <w:rPr>
            <w:rFonts w:ascii="Arial" w:cs="Arial" w:eastAsia="Arial" w:hAnsi="Arial"/>
            <w:sz w:val="18"/>
            <w:szCs w:val="18"/>
            <w:u w:val="single" w:color="auto"/>
            <w:color w:val="0000EE"/>
          </w:rPr>
          <w:t>Capital, LLC and each of the persons listed on the signature page thereto. Incorporated by reference to Exhibit 10.1 to the</w:t>
        </w:r>
      </w:hyperlink>
      <w:r>
        <w:rPr>
          <w:rFonts w:ascii="Arial" w:cs="Arial" w:eastAsia="Arial" w:hAnsi="Arial"/>
          <w:sz w:val="18"/>
          <w:szCs w:val="18"/>
          <w:u w:val="single" w:color="auto"/>
          <w:color w:val="0000EE"/>
        </w:rPr>
        <w:t xml:space="preserve"> </w:t>
      </w:r>
      <w:hyperlink r:id="rId110">
        <w:r>
          <w:rPr>
            <w:rFonts w:ascii="Arial" w:cs="Arial" w:eastAsia="Arial" w:hAnsi="Arial"/>
            <w:sz w:val="18"/>
            <w:szCs w:val="18"/>
            <w:u w:val="single" w:color="auto"/>
            <w:color w:val="0000EE"/>
          </w:rPr>
          <w:t>current report on Form 8-K filed April 25, 2018 (File No. 1-3083).</w:t>
        </w:r>
      </w:hyperlink>
    </w:p>
    <w:p>
      <w:pPr>
        <w:spacing w:after="0" w:line="190" w:lineRule="exact"/>
        <w:rPr>
          <w:rFonts w:ascii="Arial" w:cs="Arial" w:eastAsia="Arial" w:hAnsi="Arial"/>
          <w:sz w:val="18"/>
          <w:szCs w:val="18"/>
          <w:u w:val="single" w:color="auto"/>
          <w:color w:val="0000EE"/>
        </w:rPr>
      </w:pPr>
    </w:p>
    <w:p>
      <w:pPr>
        <w:jc w:val="center"/>
        <w:ind w:right="-119"/>
        <w:spacing w:after="0"/>
        <w:rPr>
          <w:sz w:val="20"/>
          <w:szCs w:val="20"/>
          <w:color w:val="auto"/>
        </w:rPr>
      </w:pPr>
      <w:r>
        <w:rPr>
          <w:rFonts w:ascii="Arial" w:cs="Arial" w:eastAsia="Arial" w:hAnsi="Arial"/>
          <w:sz w:val="18"/>
          <w:szCs w:val="18"/>
          <w:color w:val="auto"/>
        </w:rPr>
        <w:t>88</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340" w:right="60" w:hanging="591"/>
        <w:spacing w:after="0" w:line="254" w:lineRule="auto"/>
        <w:tabs>
          <w:tab w:leader="none" w:pos="2340" w:val="left"/>
        </w:tabs>
        <w:numPr>
          <w:ilvl w:val="0"/>
          <w:numId w:val="26"/>
        </w:numPr>
        <w:rPr>
          <w:rFonts w:ascii="Arial" w:cs="Arial" w:eastAsia="Arial" w:hAnsi="Arial"/>
          <w:sz w:val="18"/>
          <w:szCs w:val="18"/>
          <w:u w:val="single" w:color="auto"/>
          <w:color w:val="0000EE"/>
        </w:rPr>
      </w:pPr>
      <w:hyperlink r:id="rId112">
        <w:r>
          <w:rPr>
            <w:rFonts w:ascii="Arial" w:cs="Arial" w:eastAsia="Arial" w:hAnsi="Arial"/>
            <w:sz w:val="18"/>
            <w:szCs w:val="18"/>
            <w:u w:val="single" w:color="auto"/>
            <w:color w:val="0000EE"/>
          </w:rPr>
          <w:t>Fourth Amended and Restated Credit Agreement, dated as of January 31, 2018, by and among Genesco Inc., certain</w:t>
        </w:r>
      </w:hyperlink>
      <w:r>
        <w:rPr>
          <w:rFonts w:ascii="Arial" w:cs="Arial" w:eastAsia="Arial" w:hAnsi="Arial"/>
          <w:sz w:val="18"/>
          <w:szCs w:val="18"/>
          <w:u w:val="single" w:color="auto"/>
          <w:color w:val="0000EE"/>
        </w:rPr>
        <w:t xml:space="preserve"> </w:t>
      </w:r>
      <w:hyperlink r:id="rId112">
        <w:r>
          <w:rPr>
            <w:rFonts w:ascii="Arial" w:cs="Arial" w:eastAsia="Arial" w:hAnsi="Arial"/>
            <w:sz w:val="18"/>
            <w:szCs w:val="18"/>
            <w:u w:val="single" w:color="auto"/>
            <w:color w:val="0000EE"/>
          </w:rPr>
          <w:t>subsidiaries of Genesco Inc. party thereto, as other Other Domestic Borrowers, GCO Canada Inc., Genesco (UK) Limited,</w:t>
        </w:r>
      </w:hyperlink>
      <w:r>
        <w:rPr>
          <w:rFonts w:ascii="Arial" w:cs="Arial" w:eastAsia="Arial" w:hAnsi="Arial"/>
          <w:sz w:val="18"/>
          <w:szCs w:val="18"/>
          <w:u w:val="single" w:color="auto"/>
          <w:color w:val="0000EE"/>
        </w:rPr>
        <w:t xml:space="preserve"> </w:t>
      </w:r>
      <w:hyperlink r:id="rId112">
        <w:r>
          <w:rPr>
            <w:rFonts w:ascii="Arial" w:cs="Arial" w:eastAsia="Arial" w:hAnsi="Arial"/>
            <w:sz w:val="18"/>
            <w:szCs w:val="18"/>
            <w:u w:val="single" w:color="auto"/>
            <w:color w:val="0000EE"/>
          </w:rPr>
          <w:t>the Lenders party thereto and Bank of America, N.A., as Agent. Incorporated by reference to Exhibit 10.1 to the current</w:t>
        </w:r>
      </w:hyperlink>
      <w:r>
        <w:rPr>
          <w:rFonts w:ascii="Arial" w:cs="Arial" w:eastAsia="Arial" w:hAnsi="Arial"/>
          <w:sz w:val="18"/>
          <w:szCs w:val="18"/>
          <w:u w:val="single" w:color="auto"/>
          <w:color w:val="0000EE"/>
        </w:rPr>
        <w:t xml:space="preserve"> </w:t>
      </w:r>
      <w:hyperlink r:id="rId112">
        <w:r>
          <w:rPr>
            <w:rFonts w:ascii="Arial" w:cs="Arial" w:eastAsia="Arial" w:hAnsi="Arial"/>
            <w:sz w:val="18"/>
            <w:szCs w:val="18"/>
            <w:u w:val="single" w:color="auto"/>
            <w:color w:val="0000EE"/>
          </w:rPr>
          <w:t>report on Form 8-K filed February 3, 2018.</w:t>
        </w:r>
      </w:hyperlink>
    </w:p>
    <w:p>
      <w:pPr>
        <w:spacing w:after="0" w:line="2" w:lineRule="exact"/>
        <w:rPr>
          <w:rFonts w:ascii="Arial" w:cs="Arial" w:eastAsia="Arial" w:hAnsi="Arial"/>
          <w:sz w:val="18"/>
          <w:szCs w:val="18"/>
          <w:u w:val="single" w:color="auto"/>
          <w:color w:val="0000EE"/>
        </w:rPr>
      </w:pPr>
    </w:p>
    <w:p>
      <w:pPr>
        <w:ind w:left="2340" w:right="260" w:hanging="591"/>
        <w:spacing w:after="0" w:line="265" w:lineRule="auto"/>
        <w:tabs>
          <w:tab w:leader="none" w:pos="2340" w:val="left"/>
        </w:tabs>
        <w:numPr>
          <w:ilvl w:val="0"/>
          <w:numId w:val="26"/>
        </w:numPr>
        <w:rPr>
          <w:rFonts w:ascii="Arial" w:cs="Arial" w:eastAsia="Arial" w:hAnsi="Arial"/>
          <w:sz w:val="17"/>
          <w:szCs w:val="17"/>
          <w:u w:val="single" w:color="auto"/>
          <w:color w:val="0000EE"/>
        </w:rPr>
      </w:pPr>
      <w:hyperlink r:id="rId113">
        <w:r>
          <w:rPr>
            <w:rFonts w:ascii="Arial" w:cs="Arial" w:eastAsia="Arial" w:hAnsi="Arial"/>
            <w:sz w:val="17"/>
            <w:szCs w:val="17"/>
            <w:u w:val="single" w:color="auto"/>
            <w:color w:val="0000EE"/>
          </w:rPr>
          <w:t>First Amendment to Fourth Amended and Restated Credit Agreement, dated as of February 1, 2019, by and among</w:t>
        </w:r>
      </w:hyperlink>
      <w:r>
        <w:rPr>
          <w:rFonts w:ascii="Arial" w:cs="Arial" w:eastAsia="Arial" w:hAnsi="Arial"/>
          <w:sz w:val="17"/>
          <w:szCs w:val="17"/>
          <w:u w:val="single" w:color="auto"/>
          <w:color w:val="0000EE"/>
        </w:rPr>
        <w:t xml:space="preserve"> </w:t>
      </w:r>
      <w:hyperlink r:id="rId113">
        <w:r>
          <w:rPr>
            <w:rFonts w:ascii="Arial" w:cs="Arial" w:eastAsia="Arial" w:hAnsi="Arial"/>
            <w:sz w:val="17"/>
            <w:szCs w:val="17"/>
            <w:u w:val="single" w:color="auto"/>
            <w:color w:val="0000EE"/>
          </w:rPr>
          <w:t>Genesco Inc., certain subsidiaries of Genesco Inc. party thereto, as other Other Domestic Borrowers, GCO Canada Inc.,</w:t>
        </w:r>
      </w:hyperlink>
      <w:r>
        <w:rPr>
          <w:rFonts w:ascii="Arial" w:cs="Arial" w:eastAsia="Arial" w:hAnsi="Arial"/>
          <w:sz w:val="17"/>
          <w:szCs w:val="17"/>
          <w:u w:val="single" w:color="auto"/>
          <w:color w:val="0000EE"/>
        </w:rPr>
        <w:t xml:space="preserve"> </w:t>
      </w:r>
      <w:hyperlink r:id="rId113">
        <w:r>
          <w:rPr>
            <w:rFonts w:ascii="Arial" w:cs="Arial" w:eastAsia="Arial" w:hAnsi="Arial"/>
            <w:sz w:val="17"/>
            <w:szCs w:val="17"/>
            <w:u w:val="single" w:color="auto"/>
            <w:color w:val="0000EE"/>
          </w:rPr>
          <w:t>Genesco (UK) Limited, the Lender party thereto and Bank of America, N.A., as Agent. Incorporated by reference to</w:t>
        </w:r>
      </w:hyperlink>
      <w:r>
        <w:rPr>
          <w:rFonts w:ascii="Arial" w:cs="Arial" w:eastAsia="Arial" w:hAnsi="Arial"/>
          <w:sz w:val="17"/>
          <w:szCs w:val="17"/>
          <w:u w:val="single" w:color="auto"/>
          <w:color w:val="0000EE"/>
        </w:rPr>
        <w:t xml:space="preserve"> </w:t>
      </w:r>
      <w:hyperlink r:id="rId113">
        <w:r>
          <w:rPr>
            <w:rFonts w:ascii="Arial" w:cs="Arial" w:eastAsia="Arial" w:hAnsi="Arial"/>
            <w:sz w:val="17"/>
            <w:szCs w:val="17"/>
            <w:u w:val="single" w:color="auto"/>
            <w:color w:val="0000EE"/>
          </w:rPr>
          <w:t>Exhibit 10.1 to the current report on Form 8-K filed February 5, 2019 (File No. 1-3083).</w:t>
        </w:r>
      </w:hyperlink>
    </w:p>
    <w:p>
      <w:pPr>
        <w:ind w:left="2340" w:hanging="591"/>
        <w:spacing w:after="0" w:line="265" w:lineRule="auto"/>
        <w:tabs>
          <w:tab w:leader="none" w:pos="2340" w:val="left"/>
        </w:tabs>
        <w:numPr>
          <w:ilvl w:val="0"/>
          <w:numId w:val="26"/>
        </w:numPr>
        <w:rPr>
          <w:rFonts w:ascii="Arial" w:cs="Arial" w:eastAsia="Arial" w:hAnsi="Arial"/>
          <w:sz w:val="17"/>
          <w:szCs w:val="17"/>
          <w:u w:val="single" w:color="auto"/>
          <w:color w:val="0000EE"/>
        </w:rPr>
      </w:pPr>
      <w:hyperlink r:id="rId114">
        <w:r>
          <w:rPr>
            <w:rFonts w:ascii="Arial" w:cs="Arial" w:eastAsia="Arial" w:hAnsi="Arial"/>
            <w:sz w:val="17"/>
            <w:szCs w:val="17"/>
            <w:u w:val="single" w:color="auto"/>
            <w:color w:val="0000EE"/>
          </w:rPr>
          <w:t>Second Amendment to Fourth Amended and Restated Credit Agreement, dated as of June 5, 2020, by and among Genesco</w:t>
        </w:r>
      </w:hyperlink>
      <w:r>
        <w:rPr>
          <w:rFonts w:ascii="Arial" w:cs="Arial" w:eastAsia="Arial" w:hAnsi="Arial"/>
          <w:sz w:val="17"/>
          <w:szCs w:val="17"/>
          <w:u w:val="single" w:color="auto"/>
          <w:color w:val="0000EE"/>
        </w:rPr>
        <w:t xml:space="preserve"> </w:t>
      </w:r>
      <w:hyperlink r:id="rId114">
        <w:r>
          <w:rPr>
            <w:rFonts w:ascii="Arial" w:cs="Arial" w:eastAsia="Arial" w:hAnsi="Arial"/>
            <w:sz w:val="17"/>
            <w:szCs w:val="17"/>
            <w:u w:val="single" w:color="auto"/>
            <w:color w:val="0000EE"/>
          </w:rPr>
          <w:t>Inc., certain subsidiaries of Genesco Inc. party thereto, as other Other Domestic Borrowers, GCO Canada Inc., Genesco</w:t>
        </w:r>
      </w:hyperlink>
      <w:r>
        <w:rPr>
          <w:rFonts w:ascii="Arial" w:cs="Arial" w:eastAsia="Arial" w:hAnsi="Arial"/>
          <w:sz w:val="17"/>
          <w:szCs w:val="17"/>
          <w:u w:val="single" w:color="auto"/>
          <w:color w:val="0000EE"/>
        </w:rPr>
        <w:t xml:space="preserve"> </w:t>
      </w:r>
      <w:hyperlink r:id="rId114">
        <w:r>
          <w:rPr>
            <w:rFonts w:ascii="Arial" w:cs="Arial" w:eastAsia="Arial" w:hAnsi="Arial"/>
            <w:sz w:val="17"/>
            <w:szCs w:val="17"/>
            <w:u w:val="single" w:color="auto"/>
            <w:color w:val="0000EE"/>
          </w:rPr>
          <w:t>(UK) Limited, the Lender party thereto and Bank of America, N.A., as Agent. Incorporated by reference to Exhibit 10.1 to</w:t>
        </w:r>
      </w:hyperlink>
      <w:r>
        <w:rPr>
          <w:rFonts w:ascii="Arial" w:cs="Arial" w:eastAsia="Arial" w:hAnsi="Arial"/>
          <w:sz w:val="17"/>
          <w:szCs w:val="17"/>
          <w:u w:val="single" w:color="auto"/>
          <w:color w:val="0000EE"/>
        </w:rPr>
        <w:t xml:space="preserve"> </w:t>
      </w:r>
      <w:hyperlink r:id="rId114">
        <w:r>
          <w:rPr>
            <w:rFonts w:ascii="Arial" w:cs="Arial" w:eastAsia="Arial" w:hAnsi="Arial"/>
            <w:sz w:val="17"/>
            <w:szCs w:val="17"/>
            <w:u w:val="single" w:color="auto"/>
            <w:color w:val="0000EE"/>
          </w:rPr>
          <w:t>the current report on Form 8-K filed June 9, 2020. (File No. 1-3083).</w:t>
        </w:r>
      </w:hyperlink>
    </w:p>
    <w:p>
      <w:pPr>
        <w:ind w:left="2340" w:right="200" w:hanging="591"/>
        <w:spacing w:after="0" w:line="265" w:lineRule="auto"/>
        <w:tabs>
          <w:tab w:leader="none" w:pos="2340" w:val="left"/>
        </w:tabs>
        <w:numPr>
          <w:ilvl w:val="0"/>
          <w:numId w:val="26"/>
        </w:numPr>
        <w:rPr>
          <w:rFonts w:ascii="Arial" w:cs="Arial" w:eastAsia="Arial" w:hAnsi="Arial"/>
          <w:sz w:val="17"/>
          <w:szCs w:val="17"/>
          <w:u w:val="single" w:color="auto"/>
          <w:color w:val="0000EE"/>
        </w:rPr>
      </w:pPr>
      <w:hyperlink r:id="rId115">
        <w:r>
          <w:rPr>
            <w:rFonts w:ascii="Arial" w:cs="Arial" w:eastAsia="Arial" w:hAnsi="Arial"/>
            <w:sz w:val="17"/>
            <w:szCs w:val="17"/>
            <w:u w:val="single" w:color="auto"/>
            <w:color w:val="0000EE"/>
          </w:rPr>
          <w:t>Amendment and Restatement Agreement, dated March 19, 2020, between Schuh Limited, as Parent, and others as</w:t>
        </w:r>
      </w:hyperlink>
      <w:r>
        <w:rPr>
          <w:rFonts w:ascii="Arial" w:cs="Arial" w:eastAsia="Arial" w:hAnsi="Arial"/>
          <w:sz w:val="17"/>
          <w:szCs w:val="17"/>
          <w:u w:val="single" w:color="auto"/>
          <w:color w:val="0000EE"/>
        </w:rPr>
        <w:t xml:space="preserve"> </w:t>
      </w:r>
      <w:hyperlink r:id="rId115">
        <w:r>
          <w:rPr>
            <w:rFonts w:ascii="Arial" w:cs="Arial" w:eastAsia="Arial" w:hAnsi="Arial"/>
            <w:sz w:val="17"/>
            <w:szCs w:val="17"/>
            <w:u w:val="single" w:color="auto"/>
            <w:color w:val="0000EE"/>
          </w:rPr>
          <w:t>Borrowers and Guarantors and Lloyds Bank PLC, as Arranger, Agent and Security Trustee. Incorporated by reference to</w:t>
        </w:r>
      </w:hyperlink>
      <w:r>
        <w:rPr>
          <w:rFonts w:ascii="Arial" w:cs="Arial" w:eastAsia="Arial" w:hAnsi="Arial"/>
          <w:sz w:val="17"/>
          <w:szCs w:val="17"/>
          <w:u w:val="single" w:color="auto"/>
          <w:color w:val="0000EE"/>
        </w:rPr>
        <w:t xml:space="preserve"> </w:t>
      </w:r>
      <w:hyperlink r:id="rId115">
        <w:r>
          <w:rPr>
            <w:rFonts w:ascii="Arial" w:cs="Arial" w:eastAsia="Arial" w:hAnsi="Arial"/>
            <w:sz w:val="17"/>
            <w:szCs w:val="17"/>
            <w:u w:val="single" w:color="auto"/>
            <w:color w:val="0000EE"/>
          </w:rPr>
          <w:t>Exhibit 10.1 to the current report on Form 8-K filed March 24, 2020 (File No. 1-3083).</w:t>
        </w:r>
      </w:hyperlink>
    </w:p>
    <w:p>
      <w:pPr>
        <w:ind w:left="2340" w:right="440" w:hanging="591"/>
        <w:spacing w:after="0" w:line="265" w:lineRule="auto"/>
        <w:tabs>
          <w:tab w:leader="none" w:pos="2340" w:val="left"/>
        </w:tabs>
        <w:numPr>
          <w:ilvl w:val="0"/>
          <w:numId w:val="26"/>
        </w:numPr>
        <w:rPr>
          <w:rFonts w:ascii="Arial" w:cs="Arial" w:eastAsia="Arial" w:hAnsi="Arial"/>
          <w:sz w:val="17"/>
          <w:szCs w:val="17"/>
          <w:u w:val="single" w:color="auto"/>
          <w:color w:val="0000EE"/>
        </w:rPr>
      </w:pPr>
      <w:hyperlink r:id="rId116">
        <w:r>
          <w:rPr>
            <w:rFonts w:ascii="Arial" w:cs="Arial" w:eastAsia="Arial" w:hAnsi="Arial"/>
            <w:sz w:val="17"/>
            <w:szCs w:val="17"/>
            <w:u w:val="single" w:color="auto"/>
            <w:color w:val="0000EE"/>
          </w:rPr>
          <w:t>Form of Split-Dollar Insurance Agreement with Executive Officers. Incorporated by reference to Exhibit (10)a to the</w:t>
        </w:r>
      </w:hyperlink>
      <w:r>
        <w:rPr>
          <w:rFonts w:ascii="Arial" w:cs="Arial" w:eastAsia="Arial" w:hAnsi="Arial"/>
          <w:sz w:val="17"/>
          <w:szCs w:val="17"/>
          <w:u w:val="single" w:color="auto"/>
          <w:color w:val="0000EE"/>
        </w:rPr>
        <w:t xml:space="preserve"> </w:t>
      </w:r>
      <w:hyperlink r:id="rId116">
        <w:r>
          <w:rPr>
            <w:rFonts w:ascii="Arial" w:cs="Arial" w:eastAsia="Arial" w:hAnsi="Arial"/>
            <w:sz w:val="17"/>
            <w:szCs w:val="17"/>
            <w:u w:val="single" w:color="auto"/>
            <w:color w:val="0000EE"/>
          </w:rPr>
          <w:t>Company’s Annual Report on Form 10-K for the fiscal year ended February 1, 1997 (File No.1-3083).</w:t>
        </w:r>
      </w:hyperlink>
    </w:p>
    <w:p>
      <w:pPr>
        <w:ind w:left="2340" w:right="40" w:hanging="591"/>
        <w:spacing w:after="0" w:line="281" w:lineRule="auto"/>
        <w:tabs>
          <w:tab w:leader="none" w:pos="2340" w:val="left"/>
        </w:tabs>
        <w:numPr>
          <w:ilvl w:val="0"/>
          <w:numId w:val="26"/>
        </w:numPr>
        <w:rPr>
          <w:rFonts w:ascii="Arial" w:cs="Arial" w:eastAsia="Arial" w:hAnsi="Arial"/>
          <w:sz w:val="16"/>
          <w:szCs w:val="16"/>
          <w:u w:val="single" w:color="auto"/>
          <w:color w:val="0000EE"/>
        </w:rPr>
      </w:pPr>
      <w:hyperlink r:id="rId117">
        <w:r>
          <w:rPr>
            <w:rFonts w:ascii="Arial" w:cs="Arial" w:eastAsia="Arial" w:hAnsi="Arial"/>
            <w:sz w:val="16"/>
            <w:szCs w:val="16"/>
            <w:u w:val="single" w:color="auto"/>
            <w:color w:val="0000EE"/>
          </w:rPr>
          <w:t>Genesco Inc. 2005 Equity Incentive Plan Amended and Restated as of October 24, 2007. Incorporated by reference to</w:t>
        </w:r>
      </w:hyperlink>
      <w:r>
        <w:rPr>
          <w:rFonts w:ascii="Arial" w:cs="Arial" w:eastAsia="Arial" w:hAnsi="Arial"/>
          <w:sz w:val="16"/>
          <w:szCs w:val="16"/>
          <w:u w:val="single" w:color="auto"/>
          <w:color w:val="0000EE"/>
        </w:rPr>
        <w:t xml:space="preserve"> </w:t>
      </w:r>
      <w:hyperlink r:id="rId117">
        <w:r>
          <w:rPr>
            <w:rFonts w:ascii="Arial" w:cs="Arial" w:eastAsia="Arial" w:hAnsi="Arial"/>
            <w:sz w:val="16"/>
            <w:szCs w:val="16"/>
            <w:u w:val="single" w:color="auto"/>
            <w:color w:val="0000EE"/>
          </w:rPr>
          <w:t>Exhibit (10)d to the Company’s Annual Report on Form 10-K for the fiscal year ended February 2, 2008 (File No.1-3083).</w:t>
        </w:r>
      </w:hyperlink>
    </w:p>
    <w:p>
      <w:pPr>
        <w:spacing w:after="0" w:line="1" w:lineRule="exact"/>
        <w:rPr>
          <w:rFonts w:ascii="Arial" w:cs="Arial" w:eastAsia="Arial" w:hAnsi="Arial"/>
          <w:sz w:val="16"/>
          <w:szCs w:val="16"/>
          <w:u w:val="single" w:color="auto"/>
          <w:color w:val="0000EE"/>
        </w:rPr>
      </w:pPr>
    </w:p>
    <w:p>
      <w:pPr>
        <w:ind w:left="2340" w:right="120" w:hanging="591"/>
        <w:spacing w:after="0" w:line="250" w:lineRule="auto"/>
        <w:tabs>
          <w:tab w:leader="none" w:pos="2340" w:val="left"/>
        </w:tabs>
        <w:numPr>
          <w:ilvl w:val="0"/>
          <w:numId w:val="26"/>
        </w:numPr>
        <w:rPr>
          <w:rFonts w:ascii="Arial" w:cs="Arial" w:eastAsia="Arial" w:hAnsi="Arial"/>
          <w:sz w:val="18"/>
          <w:szCs w:val="18"/>
          <w:u w:val="single" w:color="auto"/>
          <w:color w:val="0000EE"/>
        </w:rPr>
      </w:pPr>
      <w:hyperlink r:id="rId118">
        <w:r>
          <w:rPr>
            <w:rFonts w:ascii="Arial" w:cs="Arial" w:eastAsia="Arial" w:hAnsi="Arial"/>
            <w:sz w:val="18"/>
            <w:szCs w:val="18"/>
            <w:u w:val="single" w:color="auto"/>
            <w:color w:val="0000EE"/>
          </w:rPr>
          <w:t>Genesco Inc. Second Amended and Restated 2009 Equity Incentive Plan. Incorporated by reference to Exhibit 10.1 to the</w:t>
        </w:r>
      </w:hyperlink>
      <w:r>
        <w:rPr>
          <w:rFonts w:ascii="Arial" w:cs="Arial" w:eastAsia="Arial" w:hAnsi="Arial"/>
          <w:sz w:val="18"/>
          <w:szCs w:val="18"/>
          <w:u w:val="single" w:color="auto"/>
          <w:color w:val="0000EE"/>
        </w:rPr>
        <w:t xml:space="preserve"> </w:t>
      </w:r>
      <w:hyperlink r:id="rId118">
        <w:r>
          <w:rPr>
            <w:rFonts w:ascii="Arial" w:cs="Arial" w:eastAsia="Arial" w:hAnsi="Arial"/>
            <w:sz w:val="18"/>
            <w:szCs w:val="18"/>
            <w:u w:val="single" w:color="auto"/>
            <w:color w:val="0000EE"/>
          </w:rPr>
          <w:t>Company’s current report on Form 8-K, filed June 28, 2016 (File No. 1-3083)</w:t>
        </w:r>
      </w:hyperlink>
    </w:p>
    <w:p>
      <w:pPr>
        <w:ind w:left="2340" w:right="80" w:hanging="591"/>
        <w:spacing w:after="0" w:line="265" w:lineRule="auto"/>
        <w:tabs>
          <w:tab w:leader="none" w:pos="2340" w:val="left"/>
        </w:tabs>
        <w:numPr>
          <w:ilvl w:val="0"/>
          <w:numId w:val="26"/>
        </w:numPr>
        <w:rPr>
          <w:rFonts w:ascii="Arial" w:cs="Arial" w:eastAsia="Arial" w:hAnsi="Arial"/>
          <w:sz w:val="17"/>
          <w:szCs w:val="17"/>
          <w:u w:val="single" w:color="auto"/>
          <w:color w:val="0000EE"/>
        </w:rPr>
      </w:pPr>
      <w:hyperlink r:id="rId109">
        <w:r>
          <w:rPr>
            <w:rFonts w:ascii="Arial" w:cs="Arial" w:eastAsia="Arial" w:hAnsi="Arial"/>
            <w:sz w:val="17"/>
            <w:szCs w:val="17"/>
            <w:u w:val="single" w:color="auto"/>
            <w:color w:val="0000EE"/>
          </w:rPr>
          <w:t>Genesco Inc. Third Amended and Restated EVA Incentive Compensation Plan. Incorporated by reference to Exhibit (10)h</w:t>
        </w:r>
      </w:hyperlink>
      <w:r>
        <w:rPr>
          <w:rFonts w:ascii="Arial" w:cs="Arial" w:eastAsia="Arial" w:hAnsi="Arial"/>
          <w:sz w:val="17"/>
          <w:szCs w:val="17"/>
          <w:u w:val="single" w:color="auto"/>
          <w:color w:val="0000EE"/>
        </w:rPr>
        <w:t xml:space="preserve"> </w:t>
      </w:r>
      <w:hyperlink r:id="rId109">
        <w:r>
          <w:rPr>
            <w:rFonts w:ascii="Arial" w:cs="Arial" w:eastAsia="Arial" w:hAnsi="Arial"/>
            <w:sz w:val="17"/>
            <w:szCs w:val="17"/>
            <w:u w:val="single" w:color="auto"/>
            <w:color w:val="0000EE"/>
          </w:rPr>
          <w:t>to the Company’s Annual Report on Form 10-K for the fiscal year ended February 1, 2020. (File No. 1-3083).</w:t>
        </w:r>
      </w:hyperlink>
    </w:p>
    <w:p>
      <w:pPr>
        <w:ind w:left="2340" w:right="380" w:hanging="591"/>
        <w:spacing w:after="0" w:line="250" w:lineRule="auto"/>
        <w:tabs>
          <w:tab w:leader="none" w:pos="2340" w:val="left"/>
        </w:tabs>
        <w:numPr>
          <w:ilvl w:val="0"/>
          <w:numId w:val="26"/>
        </w:numPr>
        <w:rPr>
          <w:rFonts w:ascii="Arial" w:cs="Arial" w:eastAsia="Arial" w:hAnsi="Arial"/>
          <w:sz w:val="18"/>
          <w:szCs w:val="18"/>
          <w:u w:val="single" w:color="auto"/>
          <w:color w:val="0000EE"/>
        </w:rPr>
      </w:pPr>
      <w:hyperlink r:id="rId119">
        <w:r>
          <w:rPr>
            <w:rFonts w:ascii="Arial" w:cs="Arial" w:eastAsia="Arial" w:hAnsi="Arial"/>
            <w:sz w:val="18"/>
            <w:szCs w:val="18"/>
            <w:u w:val="single" w:color="auto"/>
            <w:color w:val="0000EE"/>
          </w:rPr>
          <w:t>Genesco Inc. 2020 Equity Incentive Pan. Incorporated by reference to Appendix A to Genesco Inc.’s Definitive Proxy</w:t>
        </w:r>
      </w:hyperlink>
      <w:r>
        <w:rPr>
          <w:rFonts w:ascii="Arial" w:cs="Arial" w:eastAsia="Arial" w:hAnsi="Arial"/>
          <w:sz w:val="18"/>
          <w:szCs w:val="18"/>
          <w:u w:val="single" w:color="auto"/>
          <w:color w:val="0000EE"/>
        </w:rPr>
        <w:t xml:space="preserve"> </w:t>
      </w:r>
      <w:hyperlink r:id="rId119">
        <w:r>
          <w:rPr>
            <w:rFonts w:ascii="Arial" w:cs="Arial" w:eastAsia="Arial" w:hAnsi="Arial"/>
            <w:sz w:val="18"/>
            <w:szCs w:val="18"/>
            <w:u w:val="single" w:color="auto"/>
            <w:color w:val="0000EE"/>
          </w:rPr>
          <w:t>Statement on Schedule 14A, filed May 15, 2020. (File No. 1-3083).</w:t>
        </w:r>
      </w:hyperlink>
    </w:p>
    <w:p>
      <w:pPr>
        <w:ind w:left="2340" w:right="20" w:hanging="591"/>
        <w:spacing w:after="0" w:line="250" w:lineRule="auto"/>
        <w:tabs>
          <w:tab w:leader="none" w:pos="2340" w:val="left"/>
        </w:tabs>
        <w:numPr>
          <w:ilvl w:val="0"/>
          <w:numId w:val="26"/>
        </w:numPr>
        <w:rPr>
          <w:rFonts w:ascii="Arial" w:cs="Arial" w:eastAsia="Arial" w:hAnsi="Arial"/>
          <w:sz w:val="18"/>
          <w:szCs w:val="18"/>
          <w:u w:val="single" w:color="auto"/>
          <w:color w:val="0000EE"/>
        </w:rPr>
      </w:pPr>
      <w:hyperlink r:id="rId120">
        <w:r>
          <w:rPr>
            <w:rFonts w:ascii="Arial" w:cs="Arial" w:eastAsia="Arial" w:hAnsi="Arial"/>
            <w:sz w:val="18"/>
            <w:szCs w:val="18"/>
            <w:u w:val="single" w:color="auto"/>
            <w:color w:val="0000EE"/>
          </w:rPr>
          <w:t>Form of Incentive Stock Option Agreement. Incorporated by reference to Exhibit (10)c to the Company’s Quarterly Report</w:t>
        </w:r>
      </w:hyperlink>
      <w:r>
        <w:rPr>
          <w:rFonts w:ascii="Arial" w:cs="Arial" w:eastAsia="Arial" w:hAnsi="Arial"/>
          <w:sz w:val="18"/>
          <w:szCs w:val="18"/>
          <w:u w:val="single" w:color="auto"/>
          <w:color w:val="0000EE"/>
        </w:rPr>
        <w:t xml:space="preserve"> </w:t>
      </w:r>
      <w:hyperlink r:id="rId120">
        <w:r>
          <w:rPr>
            <w:rFonts w:ascii="Arial" w:cs="Arial" w:eastAsia="Arial" w:hAnsi="Arial"/>
            <w:sz w:val="18"/>
            <w:szCs w:val="18"/>
            <w:u w:val="single" w:color="auto"/>
            <w:color w:val="0000EE"/>
          </w:rPr>
          <w:t>on Form 10-Q for the quarter ended October 29, 2005 (File No.1-3083).</w:t>
        </w:r>
      </w:hyperlink>
    </w:p>
    <w:p>
      <w:pPr>
        <w:ind w:left="2340" w:right="160" w:hanging="591"/>
        <w:spacing w:after="0" w:line="250" w:lineRule="auto"/>
        <w:tabs>
          <w:tab w:leader="none" w:pos="2340" w:val="left"/>
        </w:tabs>
        <w:numPr>
          <w:ilvl w:val="0"/>
          <w:numId w:val="26"/>
        </w:numPr>
        <w:rPr>
          <w:rFonts w:ascii="Arial" w:cs="Arial" w:eastAsia="Arial" w:hAnsi="Arial"/>
          <w:sz w:val="18"/>
          <w:szCs w:val="18"/>
          <w:u w:val="single" w:color="auto"/>
          <w:color w:val="0000EE"/>
        </w:rPr>
      </w:pPr>
      <w:hyperlink r:id="rId121">
        <w:r>
          <w:rPr>
            <w:rFonts w:ascii="Arial" w:cs="Arial" w:eastAsia="Arial" w:hAnsi="Arial"/>
            <w:sz w:val="18"/>
            <w:szCs w:val="18"/>
            <w:u w:val="single" w:color="auto"/>
            <w:color w:val="0000EE"/>
          </w:rPr>
          <w:t>Form of Non-Qualified Stock Option Agreement. Incorporated by reference to Exhibit (10)d to the Company’s Quarterly</w:t>
        </w:r>
      </w:hyperlink>
      <w:r>
        <w:rPr>
          <w:rFonts w:ascii="Arial" w:cs="Arial" w:eastAsia="Arial" w:hAnsi="Arial"/>
          <w:sz w:val="18"/>
          <w:szCs w:val="18"/>
          <w:u w:val="single" w:color="auto"/>
          <w:color w:val="0000EE"/>
        </w:rPr>
        <w:t xml:space="preserve"> </w:t>
      </w:r>
      <w:hyperlink r:id="rId121">
        <w:r>
          <w:rPr>
            <w:rFonts w:ascii="Arial" w:cs="Arial" w:eastAsia="Arial" w:hAnsi="Arial"/>
            <w:sz w:val="18"/>
            <w:szCs w:val="18"/>
            <w:u w:val="single" w:color="auto"/>
            <w:color w:val="0000EE"/>
          </w:rPr>
          <w:t>Report on Form 10-Q for the quarter ended October 29, 2005 (File No.1-3083).</w:t>
        </w:r>
      </w:hyperlink>
    </w:p>
    <w:p>
      <w:pPr>
        <w:ind w:left="2340" w:right="460" w:hanging="591"/>
        <w:spacing w:after="0" w:line="265" w:lineRule="auto"/>
        <w:tabs>
          <w:tab w:leader="none" w:pos="2340" w:val="left"/>
        </w:tabs>
        <w:numPr>
          <w:ilvl w:val="0"/>
          <w:numId w:val="26"/>
        </w:numPr>
        <w:rPr>
          <w:rFonts w:ascii="Arial" w:cs="Arial" w:eastAsia="Arial" w:hAnsi="Arial"/>
          <w:sz w:val="17"/>
          <w:szCs w:val="17"/>
          <w:u w:val="single" w:color="auto"/>
          <w:color w:val="0000EE"/>
        </w:rPr>
      </w:pPr>
      <w:hyperlink r:id="rId122">
        <w:r>
          <w:rPr>
            <w:rFonts w:ascii="Arial" w:cs="Arial" w:eastAsia="Arial" w:hAnsi="Arial"/>
            <w:sz w:val="17"/>
            <w:szCs w:val="17"/>
            <w:u w:val="single" w:color="auto"/>
            <w:color w:val="0000EE"/>
          </w:rPr>
          <w:t>Form of Restricted Share Award Agreement for Executive Officers. Incorporated by reference to Exhibit (10)e to the</w:t>
        </w:r>
      </w:hyperlink>
      <w:r>
        <w:rPr>
          <w:rFonts w:ascii="Arial" w:cs="Arial" w:eastAsia="Arial" w:hAnsi="Arial"/>
          <w:sz w:val="17"/>
          <w:szCs w:val="17"/>
          <w:u w:val="single" w:color="auto"/>
          <w:color w:val="0000EE"/>
        </w:rPr>
        <w:t xml:space="preserve"> </w:t>
      </w:r>
      <w:hyperlink r:id="rId122">
        <w:r>
          <w:rPr>
            <w:rFonts w:ascii="Arial" w:cs="Arial" w:eastAsia="Arial" w:hAnsi="Arial"/>
            <w:sz w:val="17"/>
            <w:szCs w:val="17"/>
            <w:u w:val="single" w:color="auto"/>
            <w:color w:val="0000EE"/>
          </w:rPr>
          <w:t>Company’s Quarterly Report on Form 10-Q for the quarter ended October 29, 2005 (File No.1-3083).</w:t>
        </w:r>
      </w:hyperlink>
    </w:p>
    <w:p>
      <w:pPr>
        <w:ind w:left="2340" w:right="100" w:hanging="591"/>
        <w:spacing w:after="0" w:line="265" w:lineRule="auto"/>
        <w:tabs>
          <w:tab w:leader="none" w:pos="2340" w:val="left"/>
        </w:tabs>
        <w:numPr>
          <w:ilvl w:val="0"/>
          <w:numId w:val="26"/>
        </w:numPr>
        <w:rPr>
          <w:rFonts w:ascii="Arial" w:cs="Arial" w:eastAsia="Arial" w:hAnsi="Arial"/>
          <w:sz w:val="17"/>
          <w:szCs w:val="17"/>
          <w:u w:val="single" w:color="auto"/>
          <w:color w:val="0000EE"/>
        </w:rPr>
      </w:pPr>
      <w:hyperlink r:id="rId123">
        <w:r>
          <w:rPr>
            <w:rFonts w:ascii="Arial" w:cs="Arial" w:eastAsia="Arial" w:hAnsi="Arial"/>
            <w:sz w:val="17"/>
            <w:szCs w:val="17"/>
            <w:u w:val="single" w:color="auto"/>
            <w:color w:val="0000EE"/>
          </w:rPr>
          <w:t>Form of Restricted Share Award Agreement for Officers and Employees. Incorporated by reference to Exhibit (10)f to the</w:t>
        </w:r>
      </w:hyperlink>
      <w:r>
        <w:rPr>
          <w:rFonts w:ascii="Arial" w:cs="Arial" w:eastAsia="Arial" w:hAnsi="Arial"/>
          <w:sz w:val="17"/>
          <w:szCs w:val="17"/>
          <w:u w:val="single" w:color="auto"/>
          <w:color w:val="0000EE"/>
        </w:rPr>
        <w:t xml:space="preserve"> </w:t>
      </w:r>
      <w:hyperlink r:id="rId123">
        <w:r>
          <w:rPr>
            <w:rFonts w:ascii="Arial" w:cs="Arial" w:eastAsia="Arial" w:hAnsi="Arial"/>
            <w:sz w:val="17"/>
            <w:szCs w:val="17"/>
            <w:u w:val="single" w:color="auto"/>
            <w:color w:val="0000EE"/>
          </w:rPr>
          <w:t>Company’s Quarterly Report on Form 10-Q for the quarter ended October 29, 2005 (File No.1-3083).</w:t>
        </w:r>
      </w:hyperlink>
    </w:p>
    <w:p>
      <w:pPr>
        <w:ind w:left="2340" w:right="520" w:hanging="591"/>
        <w:spacing w:after="0" w:line="250" w:lineRule="auto"/>
        <w:tabs>
          <w:tab w:leader="none" w:pos="2340" w:val="left"/>
        </w:tabs>
        <w:numPr>
          <w:ilvl w:val="0"/>
          <w:numId w:val="26"/>
        </w:numPr>
        <w:rPr>
          <w:rFonts w:ascii="Arial" w:cs="Arial" w:eastAsia="Arial" w:hAnsi="Arial"/>
          <w:sz w:val="18"/>
          <w:szCs w:val="18"/>
          <w:u w:val="single" w:color="auto"/>
          <w:color w:val="0000EE"/>
        </w:rPr>
      </w:pPr>
      <w:hyperlink r:id="rId124">
        <w:r>
          <w:rPr>
            <w:rFonts w:ascii="Arial" w:cs="Arial" w:eastAsia="Arial" w:hAnsi="Arial"/>
            <w:sz w:val="18"/>
            <w:szCs w:val="18"/>
            <w:u w:val="single" w:color="auto"/>
            <w:color w:val="0000EE"/>
          </w:rPr>
          <w:t>Form of Restricted Share Award Agreement. Incorporated by reference to Exhibit (10)a to the Company’s Quarterly</w:t>
        </w:r>
      </w:hyperlink>
      <w:r>
        <w:rPr>
          <w:rFonts w:ascii="Arial" w:cs="Arial" w:eastAsia="Arial" w:hAnsi="Arial"/>
          <w:sz w:val="18"/>
          <w:szCs w:val="18"/>
          <w:u w:val="single" w:color="auto"/>
          <w:color w:val="0000EE"/>
        </w:rPr>
        <w:t xml:space="preserve"> </w:t>
      </w:r>
      <w:hyperlink r:id="rId124">
        <w:r>
          <w:rPr>
            <w:rFonts w:ascii="Arial" w:cs="Arial" w:eastAsia="Arial" w:hAnsi="Arial"/>
            <w:sz w:val="18"/>
            <w:szCs w:val="18"/>
            <w:u w:val="single" w:color="auto"/>
            <w:color w:val="0000EE"/>
          </w:rPr>
          <w:t>Report on Form 10-Q for the quarter ended August 1, 2009 (File No. 1-3083).</w:t>
        </w:r>
      </w:hyperlink>
    </w:p>
    <w:p>
      <w:pPr>
        <w:ind w:left="2340" w:right="160" w:hanging="591"/>
        <w:spacing w:after="0" w:line="250" w:lineRule="auto"/>
        <w:tabs>
          <w:tab w:leader="none" w:pos="2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Form of Indemnification Agreement For Directors. Incorporated by reference to Exhibit (10)m to the Company’s Annual Report on Form 10-K for the fiscal year ended January 31, 1993 (File No.1-3083).</w:t>
      </w:r>
    </w:p>
    <w:p>
      <w:pPr>
        <w:ind w:left="2340" w:right="280" w:hanging="591"/>
        <w:spacing w:after="0" w:line="250" w:lineRule="auto"/>
        <w:tabs>
          <w:tab w:leader="none" w:pos="2340" w:val="left"/>
        </w:tabs>
        <w:numPr>
          <w:ilvl w:val="0"/>
          <w:numId w:val="26"/>
        </w:numPr>
        <w:rPr>
          <w:rFonts w:ascii="Arial" w:cs="Arial" w:eastAsia="Arial" w:hAnsi="Arial"/>
          <w:sz w:val="18"/>
          <w:szCs w:val="18"/>
          <w:u w:val="single" w:color="auto"/>
          <w:color w:val="0000EE"/>
        </w:rPr>
      </w:pPr>
      <w:hyperlink r:id="rId125">
        <w:r>
          <w:rPr>
            <w:rFonts w:ascii="Arial" w:cs="Arial" w:eastAsia="Arial" w:hAnsi="Arial"/>
            <w:sz w:val="18"/>
            <w:szCs w:val="18"/>
            <w:u w:val="single" w:color="auto"/>
            <w:color w:val="0000EE"/>
          </w:rPr>
          <w:t>Form of Non-Executive Director Indemnification Agreement. Incorporated by reference to Exhibit (10.1) to the current</w:t>
        </w:r>
      </w:hyperlink>
      <w:r>
        <w:rPr>
          <w:rFonts w:ascii="Arial" w:cs="Arial" w:eastAsia="Arial" w:hAnsi="Arial"/>
          <w:sz w:val="18"/>
          <w:szCs w:val="18"/>
          <w:u w:val="single" w:color="auto"/>
          <w:color w:val="0000EE"/>
        </w:rPr>
        <w:t xml:space="preserve"> </w:t>
      </w:r>
      <w:hyperlink r:id="rId125">
        <w:r>
          <w:rPr>
            <w:rFonts w:ascii="Arial" w:cs="Arial" w:eastAsia="Arial" w:hAnsi="Arial"/>
            <w:sz w:val="18"/>
            <w:szCs w:val="18"/>
            <w:u w:val="single" w:color="auto"/>
            <w:color w:val="0000EE"/>
          </w:rPr>
          <w:t>report on Form 8-K filed November 3, 2008 (File No. 1-3083).</w:t>
        </w:r>
      </w:hyperlink>
    </w:p>
    <w:p>
      <w:pPr>
        <w:ind w:left="2340" w:right="440" w:hanging="591"/>
        <w:spacing w:after="0" w:line="250" w:lineRule="auto"/>
        <w:tabs>
          <w:tab w:leader="none" w:pos="2340" w:val="left"/>
        </w:tabs>
        <w:numPr>
          <w:ilvl w:val="0"/>
          <w:numId w:val="26"/>
        </w:numPr>
        <w:rPr>
          <w:rFonts w:ascii="Arial" w:cs="Arial" w:eastAsia="Arial" w:hAnsi="Arial"/>
          <w:sz w:val="18"/>
          <w:szCs w:val="18"/>
          <w:u w:val="single" w:color="auto"/>
          <w:color w:val="0000EE"/>
        </w:rPr>
      </w:pPr>
      <w:hyperlink r:id="rId126">
        <w:r>
          <w:rPr>
            <w:rFonts w:ascii="Arial" w:cs="Arial" w:eastAsia="Arial" w:hAnsi="Arial"/>
            <w:sz w:val="18"/>
            <w:szCs w:val="18"/>
            <w:u w:val="single" w:color="auto"/>
            <w:color w:val="0000EE"/>
          </w:rPr>
          <w:t>Form of Officer Indemnification Agreement. Incorporated by reference to Exhibit (10.2) to the Company’s Quarterly</w:t>
        </w:r>
      </w:hyperlink>
      <w:r>
        <w:rPr>
          <w:rFonts w:ascii="Arial" w:cs="Arial" w:eastAsia="Arial" w:hAnsi="Arial"/>
          <w:sz w:val="18"/>
          <w:szCs w:val="18"/>
          <w:u w:val="single" w:color="auto"/>
          <w:color w:val="0000EE"/>
        </w:rPr>
        <w:t xml:space="preserve"> </w:t>
      </w:r>
      <w:hyperlink r:id="rId126">
        <w:r>
          <w:rPr>
            <w:rFonts w:ascii="Arial" w:cs="Arial" w:eastAsia="Arial" w:hAnsi="Arial"/>
            <w:sz w:val="18"/>
            <w:szCs w:val="18"/>
            <w:u w:val="single" w:color="auto"/>
            <w:color w:val="0000EE"/>
          </w:rPr>
          <w:t>Report on Form 10-Q for the quarter ended November 1, 2008 (File No.1-3083).</w:t>
        </w:r>
      </w:hyperlink>
    </w:p>
    <w:p>
      <w:pPr>
        <w:jc w:val="both"/>
        <w:ind w:left="2340" w:right="80" w:hanging="591"/>
        <w:spacing w:after="0" w:line="250" w:lineRule="auto"/>
        <w:tabs>
          <w:tab w:leader="none" w:pos="2340" w:val="left"/>
        </w:tabs>
        <w:numPr>
          <w:ilvl w:val="0"/>
          <w:numId w:val="26"/>
        </w:numPr>
        <w:rPr>
          <w:rFonts w:ascii="Arial" w:cs="Arial" w:eastAsia="Arial" w:hAnsi="Arial"/>
          <w:sz w:val="18"/>
          <w:szCs w:val="18"/>
          <w:u w:val="single" w:color="auto"/>
          <w:color w:val="0000EE"/>
        </w:rPr>
      </w:pPr>
      <w:hyperlink r:id="rId116">
        <w:r>
          <w:rPr>
            <w:rFonts w:ascii="Arial" w:cs="Arial" w:eastAsia="Arial" w:hAnsi="Arial"/>
            <w:sz w:val="18"/>
            <w:szCs w:val="18"/>
            <w:u w:val="single" w:color="auto"/>
            <w:color w:val="0000EE"/>
          </w:rPr>
          <w:t>Form of Employment Protection Agreement between the Company and certain executive officers dated as of February 26,</w:t>
        </w:r>
      </w:hyperlink>
      <w:r>
        <w:rPr>
          <w:rFonts w:ascii="Arial" w:cs="Arial" w:eastAsia="Arial" w:hAnsi="Arial"/>
          <w:sz w:val="18"/>
          <w:szCs w:val="18"/>
          <w:u w:val="single" w:color="auto"/>
          <w:color w:val="0000EE"/>
        </w:rPr>
        <w:t xml:space="preserve"> </w:t>
      </w:r>
      <w:hyperlink r:id="rId116">
        <w:r>
          <w:rPr>
            <w:rFonts w:ascii="Arial" w:cs="Arial" w:eastAsia="Arial" w:hAnsi="Arial"/>
            <w:sz w:val="18"/>
            <w:szCs w:val="18"/>
            <w:u w:val="single" w:color="auto"/>
            <w:color w:val="0000EE"/>
          </w:rPr>
          <w:t>1997. Incorporated by reference to Exhibit (10)p to the Company’s Annual Report on Form 10-K for the fiscal year ended</w:t>
        </w:r>
      </w:hyperlink>
      <w:r>
        <w:rPr>
          <w:rFonts w:ascii="Arial" w:cs="Arial" w:eastAsia="Arial" w:hAnsi="Arial"/>
          <w:sz w:val="18"/>
          <w:szCs w:val="18"/>
          <w:u w:val="single" w:color="auto"/>
          <w:color w:val="0000EE"/>
        </w:rPr>
        <w:t xml:space="preserve"> </w:t>
      </w:r>
      <w:hyperlink r:id="rId116">
        <w:r>
          <w:rPr>
            <w:rFonts w:ascii="Arial" w:cs="Arial" w:eastAsia="Arial" w:hAnsi="Arial"/>
            <w:sz w:val="18"/>
            <w:szCs w:val="18"/>
            <w:u w:val="single" w:color="auto"/>
            <w:color w:val="0000EE"/>
          </w:rPr>
          <w:t>February 1, 1997 (File No.1-3083).</w:t>
        </w:r>
      </w:hyperlink>
    </w:p>
    <w:p>
      <w:pPr>
        <w:spacing w:after="0" w:line="1" w:lineRule="exact"/>
        <w:rPr>
          <w:rFonts w:ascii="Arial" w:cs="Arial" w:eastAsia="Arial" w:hAnsi="Arial"/>
          <w:sz w:val="18"/>
          <w:szCs w:val="18"/>
          <w:u w:val="single" w:color="auto"/>
          <w:color w:val="0000EE"/>
        </w:rPr>
      </w:pPr>
    </w:p>
    <w:p>
      <w:pPr>
        <w:ind w:left="2340" w:right="620" w:hanging="591"/>
        <w:spacing w:after="0" w:line="290" w:lineRule="auto"/>
        <w:tabs>
          <w:tab w:leader="none" w:pos="2340" w:val="left"/>
        </w:tabs>
        <w:numPr>
          <w:ilvl w:val="0"/>
          <w:numId w:val="26"/>
        </w:numPr>
        <w:rPr>
          <w:rFonts w:ascii="Arial" w:cs="Arial" w:eastAsia="Arial" w:hAnsi="Arial"/>
          <w:sz w:val="17"/>
          <w:szCs w:val="17"/>
          <w:u w:val="single" w:color="auto"/>
          <w:color w:val="0000EE"/>
        </w:rPr>
      </w:pPr>
      <w:hyperlink r:id="rId127">
        <w:r>
          <w:rPr>
            <w:rFonts w:ascii="Arial" w:cs="Arial" w:eastAsia="Arial" w:hAnsi="Arial"/>
            <w:sz w:val="17"/>
            <w:szCs w:val="17"/>
            <w:u w:val="single" w:color="auto"/>
            <w:color w:val="0000EE"/>
          </w:rPr>
          <w:t>First Amendment to Form of Employment Protection Agreement. Incorporated by reference to Exhibit (10)s to the</w:t>
        </w:r>
      </w:hyperlink>
      <w:r>
        <w:rPr>
          <w:rFonts w:ascii="Arial" w:cs="Arial" w:eastAsia="Arial" w:hAnsi="Arial"/>
          <w:sz w:val="17"/>
          <w:szCs w:val="17"/>
          <w:u w:val="single" w:color="auto"/>
          <w:color w:val="0000EE"/>
        </w:rPr>
        <w:t xml:space="preserve"> </w:t>
      </w:r>
      <w:hyperlink r:id="rId127">
        <w:r>
          <w:rPr>
            <w:rFonts w:ascii="Arial" w:cs="Arial" w:eastAsia="Arial" w:hAnsi="Arial"/>
            <w:sz w:val="17"/>
            <w:szCs w:val="17"/>
            <w:u w:val="single" w:color="auto"/>
            <w:color w:val="0000EE"/>
          </w:rPr>
          <w:t>Company’s Annual Report on Form 10-K for the fiscal year ended January 30, 2010 (File No.1-3083).</w:t>
        </w:r>
      </w:hyperlink>
    </w:p>
    <w:p>
      <w:pPr>
        <w:spacing w:after="0" w:line="161" w:lineRule="exact"/>
        <w:rPr>
          <w:rFonts w:ascii="Arial" w:cs="Arial" w:eastAsia="Arial" w:hAnsi="Arial"/>
          <w:sz w:val="17"/>
          <w:szCs w:val="17"/>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340" w:right="180" w:hanging="591"/>
        <w:spacing w:after="0" w:line="255" w:lineRule="auto"/>
        <w:tabs>
          <w:tab w:leader="none" w:pos="2340" w:val="left"/>
        </w:tabs>
        <w:numPr>
          <w:ilvl w:val="0"/>
          <w:numId w:val="27"/>
        </w:numPr>
        <w:rPr>
          <w:rFonts w:ascii="Arial" w:cs="Arial" w:eastAsia="Arial" w:hAnsi="Arial"/>
          <w:sz w:val="18"/>
          <w:szCs w:val="18"/>
          <w:u w:val="single" w:color="auto"/>
          <w:color w:val="0000EE"/>
        </w:rPr>
      </w:pPr>
      <w:hyperlink r:id="rId129">
        <w:r>
          <w:rPr>
            <w:rFonts w:ascii="Arial" w:cs="Arial" w:eastAsia="Arial" w:hAnsi="Arial"/>
            <w:sz w:val="18"/>
            <w:szCs w:val="18"/>
            <w:u w:val="single" w:color="auto"/>
            <w:color w:val="0000EE"/>
          </w:rPr>
          <w:t>Form of Employment Protection Agreement between the Company and certain executive officers dated as of October 30,</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2019. Incorporated by reference to Exhibit 10.1 to the current report on Form 8-K filed October 31, 2019 (File No. 1-</w:t>
        </w:r>
      </w:hyperlink>
      <w:hyperlink r:id="rId129">
        <w:r>
          <w:rPr>
            <w:rFonts w:ascii="Arial" w:cs="Arial" w:eastAsia="Arial" w:hAnsi="Arial"/>
            <w:sz w:val="18"/>
            <w:szCs w:val="18"/>
            <w:u w:val="single" w:color="auto"/>
            <w:color w:val="0000EE"/>
          </w:rPr>
          <w:t>3083).</w:t>
        </w:r>
      </w:hyperlink>
    </w:p>
    <w:p>
      <w:pPr>
        <w:spacing w:after="0" w:line="2" w:lineRule="exact"/>
        <w:rPr>
          <w:rFonts w:ascii="Arial" w:cs="Arial" w:eastAsia="Arial" w:hAnsi="Arial"/>
          <w:sz w:val="18"/>
          <w:szCs w:val="18"/>
          <w:u w:val="single" w:color="auto"/>
          <w:color w:val="0000EE"/>
        </w:rPr>
      </w:pPr>
    </w:p>
    <w:p>
      <w:pPr>
        <w:ind w:left="2340" w:right="120" w:hanging="591"/>
        <w:spacing w:after="0" w:line="250" w:lineRule="auto"/>
        <w:tabs>
          <w:tab w:leader="none" w:pos="2340" w:val="left"/>
        </w:tabs>
        <w:numPr>
          <w:ilvl w:val="0"/>
          <w:numId w:val="27"/>
        </w:numPr>
        <w:rPr>
          <w:rFonts w:ascii="Arial" w:cs="Arial" w:eastAsia="Arial" w:hAnsi="Arial"/>
          <w:sz w:val="18"/>
          <w:szCs w:val="18"/>
          <w:u w:val="single" w:color="auto"/>
          <w:color w:val="0000EE"/>
        </w:rPr>
      </w:pPr>
      <w:hyperlink r:id="rId130">
        <w:r>
          <w:rPr>
            <w:rFonts w:ascii="Arial" w:cs="Arial" w:eastAsia="Arial" w:hAnsi="Arial"/>
            <w:sz w:val="18"/>
            <w:szCs w:val="18"/>
            <w:u w:val="single" w:color="auto"/>
            <w:color w:val="0000EE"/>
          </w:rPr>
          <w:t>Genesco Inc. Deferred Income Plan dated as of July 1, 2000. Incorporated by reference to Exhibit (10)p to the Company’s</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Annual Report on Form 10-K for the fiscal year ended January 29, 2005. Amended and Restated Deferred Income Plan</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dated August 22, 2007. Incorporated by reference to Exhibit (10)r to the Company’s Annual Report on Form 10-K for the</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fiscal year ended February 2, 2008 (File No.1-3083).</w:t>
        </w:r>
      </w:hyperlink>
    </w:p>
    <w:p>
      <w:pPr>
        <w:spacing w:after="0" w:line="1" w:lineRule="exact"/>
        <w:rPr>
          <w:rFonts w:ascii="Arial" w:cs="Arial" w:eastAsia="Arial" w:hAnsi="Arial"/>
          <w:sz w:val="18"/>
          <w:szCs w:val="18"/>
          <w:u w:val="single" w:color="auto"/>
          <w:color w:val="0000EE"/>
        </w:rPr>
      </w:pPr>
    </w:p>
    <w:p>
      <w:pPr>
        <w:ind w:left="2340" w:right="60" w:hanging="591"/>
        <w:spacing w:after="0" w:line="250" w:lineRule="auto"/>
        <w:tabs>
          <w:tab w:leader="none" w:pos="2340" w:val="left"/>
        </w:tabs>
        <w:numPr>
          <w:ilvl w:val="0"/>
          <w:numId w:val="27"/>
        </w:numPr>
        <w:rPr>
          <w:rFonts w:ascii="Arial" w:cs="Arial" w:eastAsia="Arial" w:hAnsi="Arial"/>
          <w:sz w:val="18"/>
          <w:szCs w:val="18"/>
          <w:u w:val="single" w:color="auto"/>
          <w:color w:val="0000EE"/>
        </w:rPr>
      </w:pPr>
      <w:hyperlink r:id="rId131">
        <w:r>
          <w:rPr>
            <w:rFonts w:ascii="Arial" w:cs="Arial" w:eastAsia="Arial" w:hAnsi="Arial"/>
            <w:sz w:val="18"/>
            <w:szCs w:val="18"/>
            <w:u w:val="single" w:color="auto"/>
            <w:color w:val="0000EE"/>
          </w:rPr>
          <w:t>The Schuh Group Limited 2015 Management Bonus Scheme. Incorporated by reference to Exhibit (10)a to the Company’s</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Quarterly Report on Form 10-Q for the quarter ended July 30, 2011 (File No.1-3083).</w:t>
        </w:r>
      </w:hyperlink>
    </w:p>
    <w:p>
      <w:pPr>
        <w:ind w:left="2340" w:right="160" w:hanging="591"/>
        <w:spacing w:after="0" w:line="250" w:lineRule="auto"/>
        <w:tabs>
          <w:tab w:leader="none" w:pos="2340" w:val="left"/>
        </w:tabs>
        <w:numPr>
          <w:ilvl w:val="0"/>
          <w:numId w:val="27"/>
        </w:numPr>
        <w:rPr>
          <w:rFonts w:ascii="Arial" w:cs="Arial" w:eastAsia="Arial" w:hAnsi="Arial"/>
          <w:sz w:val="18"/>
          <w:szCs w:val="18"/>
          <w:u w:val="single" w:color="auto"/>
          <w:color w:val="0000EE"/>
        </w:rPr>
      </w:pPr>
      <w:hyperlink r:id="rId132">
        <w:r>
          <w:rPr>
            <w:rFonts w:ascii="Arial" w:cs="Arial" w:eastAsia="Arial" w:hAnsi="Arial"/>
            <w:sz w:val="18"/>
            <w:szCs w:val="18"/>
            <w:u w:val="single" w:color="auto"/>
            <w:color w:val="0000EE"/>
          </w:rPr>
          <w:t>Jon Caplan Consulting Agreement dated February 1, 2019. Incorporated by reference to Exhibit (10) aa to the Company's</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Annual Report on Form 10-K for the fiscal year ended February 2, 2019 (File No. 1-3083).</w:t>
        </w:r>
      </w:hyperlink>
    </w:p>
    <w:p>
      <w:pPr>
        <w:ind w:left="2340" w:right="160" w:hanging="591"/>
        <w:spacing w:after="0" w:line="250" w:lineRule="auto"/>
        <w:tabs>
          <w:tab w:leader="none" w:pos="2340" w:val="left"/>
        </w:tabs>
        <w:numPr>
          <w:ilvl w:val="0"/>
          <w:numId w:val="27"/>
        </w:numPr>
        <w:rPr>
          <w:rFonts w:ascii="Arial" w:cs="Arial" w:eastAsia="Arial" w:hAnsi="Arial"/>
          <w:sz w:val="18"/>
          <w:szCs w:val="18"/>
          <w:u w:val="single" w:color="auto"/>
          <w:color w:val="0000EE"/>
        </w:rPr>
      </w:pPr>
      <w:hyperlink r:id="rId133">
        <w:r>
          <w:rPr>
            <w:rFonts w:ascii="Arial" w:cs="Arial" w:eastAsia="Arial" w:hAnsi="Arial"/>
            <w:sz w:val="18"/>
            <w:szCs w:val="18"/>
            <w:u w:val="single" w:color="auto"/>
            <w:color w:val="0000EE"/>
          </w:rPr>
          <w:t>Basic Form of Exchange Agreement (Restricted Stock). Incorporated by reference to Exhibit 10.1 to the current report on</w:t>
        </w:r>
      </w:hyperlink>
      <w:r>
        <w:rPr>
          <w:rFonts w:ascii="Arial" w:cs="Arial" w:eastAsia="Arial" w:hAnsi="Arial"/>
          <w:sz w:val="18"/>
          <w:szCs w:val="18"/>
          <w:u w:val="single" w:color="auto"/>
          <w:color w:val="0000EE"/>
        </w:rPr>
        <w:t xml:space="preserve"> </w:t>
      </w:r>
      <w:hyperlink r:id="rId133">
        <w:r>
          <w:rPr>
            <w:rFonts w:ascii="Arial" w:cs="Arial" w:eastAsia="Arial" w:hAnsi="Arial"/>
            <w:sz w:val="18"/>
            <w:szCs w:val="18"/>
            <w:u w:val="single" w:color="auto"/>
            <w:color w:val="0000EE"/>
          </w:rPr>
          <w:t>Form 8-K filed April 29, 2009 (File No. 1-3083).</w:t>
        </w:r>
      </w:hyperlink>
    </w:p>
    <w:p>
      <w:pPr>
        <w:ind w:left="2340" w:right="220" w:hanging="591"/>
        <w:spacing w:after="0" w:line="250" w:lineRule="auto"/>
        <w:tabs>
          <w:tab w:leader="none" w:pos="2340" w:val="left"/>
        </w:tabs>
        <w:numPr>
          <w:ilvl w:val="0"/>
          <w:numId w:val="27"/>
        </w:numPr>
        <w:rPr>
          <w:rFonts w:ascii="Arial" w:cs="Arial" w:eastAsia="Arial" w:hAnsi="Arial"/>
          <w:sz w:val="18"/>
          <w:szCs w:val="18"/>
          <w:u w:val="single" w:color="auto"/>
          <w:color w:val="0000EE"/>
        </w:rPr>
      </w:pPr>
      <w:hyperlink r:id="rId134">
        <w:r>
          <w:rPr>
            <w:rFonts w:ascii="Arial" w:cs="Arial" w:eastAsia="Arial" w:hAnsi="Arial"/>
            <w:sz w:val="18"/>
            <w:szCs w:val="18"/>
            <w:u w:val="single" w:color="auto"/>
            <w:color w:val="0000EE"/>
          </w:rPr>
          <w:t>Basic Form of Exchange Agreement (Unrestricted Stock). Incorporated by reference to Exhibit 10.2 to the current report</w:t>
        </w:r>
      </w:hyperlink>
      <w:r>
        <w:rPr>
          <w:rFonts w:ascii="Arial" w:cs="Arial" w:eastAsia="Arial" w:hAnsi="Arial"/>
          <w:sz w:val="18"/>
          <w:szCs w:val="18"/>
          <w:u w:val="single" w:color="auto"/>
          <w:color w:val="0000EE"/>
        </w:rPr>
        <w:t xml:space="preserve"> </w:t>
      </w:r>
      <w:hyperlink r:id="rId134">
        <w:r>
          <w:rPr>
            <w:rFonts w:ascii="Arial" w:cs="Arial" w:eastAsia="Arial" w:hAnsi="Arial"/>
            <w:sz w:val="18"/>
            <w:szCs w:val="18"/>
            <w:u w:val="single" w:color="auto"/>
            <w:color w:val="0000EE"/>
          </w:rPr>
          <w:t>on Form 8-K filed April 29, 2009 (File No. 1-3083).</w:t>
        </w:r>
      </w:hyperlink>
    </w:p>
    <w:p>
      <w:pPr>
        <w:spacing w:after="0" w:line="1" w:lineRule="exact"/>
        <w:rPr>
          <w:rFonts w:ascii="Arial" w:cs="Arial" w:eastAsia="Arial" w:hAnsi="Arial"/>
          <w:sz w:val="18"/>
          <w:szCs w:val="18"/>
          <w:color w:val="auto"/>
        </w:rPr>
      </w:pPr>
    </w:p>
    <w:p>
      <w:pPr>
        <w:ind w:left="2340" w:right="700" w:hanging="591"/>
        <w:spacing w:after="0" w:line="250" w:lineRule="auto"/>
        <w:tabs>
          <w:tab w:leader="none" w:pos="2340" w:val="left"/>
        </w:tabs>
        <w:numPr>
          <w:ilvl w:val="0"/>
          <w:numId w:val="28"/>
        </w:numPr>
        <w:rPr>
          <w:rFonts w:ascii="Arial" w:cs="Arial" w:eastAsia="Arial" w:hAnsi="Arial"/>
          <w:sz w:val="18"/>
          <w:szCs w:val="18"/>
          <w:u w:val="single" w:color="auto"/>
          <w:color w:val="0000EE"/>
        </w:rPr>
      </w:pPr>
      <w:hyperlink r:id="rId135">
        <w:r>
          <w:rPr>
            <w:rFonts w:ascii="Arial" w:cs="Arial" w:eastAsia="Arial" w:hAnsi="Arial"/>
            <w:sz w:val="18"/>
            <w:szCs w:val="18"/>
            <w:u w:val="single" w:color="auto"/>
            <w:color w:val="0000EE"/>
          </w:rPr>
          <w:t>Form of Conversion Agreement. Incorporated by reference to Exhibit 10.1 to the current report on Form 8-K filed</w:t>
        </w:r>
      </w:hyperlink>
      <w:r>
        <w:rPr>
          <w:rFonts w:ascii="Arial" w:cs="Arial" w:eastAsia="Arial" w:hAnsi="Arial"/>
          <w:sz w:val="18"/>
          <w:szCs w:val="18"/>
          <w:u w:val="single" w:color="auto"/>
          <w:color w:val="0000EE"/>
        </w:rPr>
        <w:t xml:space="preserve"> </w:t>
      </w:r>
      <w:hyperlink r:id="rId135">
        <w:r>
          <w:rPr>
            <w:rFonts w:ascii="Arial" w:cs="Arial" w:eastAsia="Arial" w:hAnsi="Arial"/>
            <w:sz w:val="18"/>
            <w:szCs w:val="18"/>
            <w:u w:val="single" w:color="auto"/>
            <w:color w:val="0000EE"/>
          </w:rPr>
          <w:t>November 2, 2009 (File No. 1-3083).</w:t>
        </w:r>
      </w:hyperlink>
    </w:p>
    <w:p>
      <w:pPr>
        <w:ind w:left="2340" w:right="700" w:hanging="591"/>
        <w:spacing w:after="0" w:line="250" w:lineRule="auto"/>
        <w:tabs>
          <w:tab w:leader="none" w:pos="2340" w:val="left"/>
        </w:tabs>
        <w:numPr>
          <w:ilvl w:val="0"/>
          <w:numId w:val="28"/>
        </w:numPr>
        <w:rPr>
          <w:rFonts w:ascii="Arial" w:cs="Arial" w:eastAsia="Arial" w:hAnsi="Arial"/>
          <w:sz w:val="18"/>
          <w:szCs w:val="18"/>
          <w:u w:val="single" w:color="auto"/>
          <w:color w:val="0000EE"/>
        </w:rPr>
      </w:pPr>
      <w:hyperlink r:id="rId136">
        <w:r>
          <w:rPr>
            <w:rFonts w:ascii="Arial" w:cs="Arial" w:eastAsia="Arial" w:hAnsi="Arial"/>
            <w:sz w:val="18"/>
            <w:szCs w:val="18"/>
            <w:u w:val="single" w:color="auto"/>
            <w:color w:val="0000EE"/>
          </w:rPr>
          <w:t>Form of Conversion Agreement. Incorporated by reference to Exhibit 10.1 to the current report on Form 8-K filed</w:t>
        </w:r>
      </w:hyperlink>
      <w:r>
        <w:rPr>
          <w:rFonts w:ascii="Arial" w:cs="Arial" w:eastAsia="Arial" w:hAnsi="Arial"/>
          <w:sz w:val="18"/>
          <w:szCs w:val="18"/>
          <w:u w:val="single" w:color="auto"/>
          <w:color w:val="0000EE"/>
        </w:rPr>
        <w:t xml:space="preserve"> </w:t>
      </w:r>
      <w:hyperlink r:id="rId136">
        <w:r>
          <w:rPr>
            <w:rFonts w:ascii="Arial" w:cs="Arial" w:eastAsia="Arial" w:hAnsi="Arial"/>
            <w:sz w:val="18"/>
            <w:szCs w:val="18"/>
            <w:u w:val="single" w:color="auto"/>
            <w:color w:val="0000EE"/>
          </w:rPr>
          <w:t>November 6, 2009 (File No. 1-3083).</w:t>
        </w:r>
      </w:hyperlink>
    </w:p>
    <w:p>
      <w:pPr>
        <w:ind w:left="2340" w:right="140" w:hanging="591"/>
        <w:spacing w:after="0" w:line="281" w:lineRule="auto"/>
        <w:tabs>
          <w:tab w:leader="none" w:pos="2340" w:val="left"/>
        </w:tabs>
        <w:numPr>
          <w:ilvl w:val="0"/>
          <w:numId w:val="28"/>
        </w:numPr>
        <w:rPr>
          <w:rFonts w:ascii="Arial" w:cs="Arial" w:eastAsia="Arial" w:hAnsi="Arial"/>
          <w:sz w:val="16"/>
          <w:szCs w:val="16"/>
          <w:u w:val="single" w:color="auto"/>
          <w:color w:val="0000EE"/>
        </w:rPr>
      </w:pPr>
      <w:hyperlink r:id="rId137">
        <w:r>
          <w:rPr>
            <w:rFonts w:ascii="Arial" w:cs="Arial" w:eastAsia="Arial" w:hAnsi="Arial"/>
            <w:sz w:val="16"/>
            <w:szCs w:val="16"/>
            <w:u w:val="single" w:color="auto"/>
            <w:color w:val="0000EE"/>
          </w:rPr>
          <w:t>Transition Agreement, dated as of October 31, 2019, by and between the Company and Robert J. Dennis. Incorporated by</w:t>
        </w:r>
      </w:hyperlink>
      <w:r>
        <w:rPr>
          <w:rFonts w:ascii="Arial" w:cs="Arial" w:eastAsia="Arial" w:hAnsi="Arial"/>
          <w:sz w:val="16"/>
          <w:szCs w:val="16"/>
          <w:u w:val="single" w:color="auto"/>
          <w:color w:val="0000EE"/>
        </w:rPr>
        <w:t xml:space="preserve"> </w:t>
      </w:r>
      <w:hyperlink r:id="rId137">
        <w:r>
          <w:rPr>
            <w:rFonts w:ascii="Arial" w:cs="Arial" w:eastAsia="Arial" w:hAnsi="Arial"/>
            <w:sz w:val="16"/>
            <w:szCs w:val="16"/>
            <w:u w:val="single" w:color="auto"/>
            <w:color w:val="0000EE"/>
          </w:rPr>
          <w:t>reference to Exhibit 10.1 to the current report on Form 8-K filed November 4, 2019 (File No. 1-3083).</w:t>
        </w:r>
      </w:hyperlink>
    </w:p>
    <w:p>
      <w:pPr>
        <w:spacing w:after="0" w:line="1" w:lineRule="exact"/>
        <w:rPr>
          <w:rFonts w:ascii="Arial" w:cs="Arial" w:eastAsia="Arial" w:hAnsi="Arial"/>
          <w:sz w:val="16"/>
          <w:szCs w:val="16"/>
          <w:u w:val="single" w:color="auto"/>
          <w:color w:val="0000EE"/>
        </w:rPr>
      </w:pPr>
    </w:p>
    <w:p>
      <w:pPr>
        <w:ind w:left="2340" w:right="240" w:hanging="591"/>
        <w:spacing w:after="0" w:line="250" w:lineRule="auto"/>
        <w:tabs>
          <w:tab w:leader="none" w:pos="2340" w:val="left"/>
        </w:tabs>
        <w:numPr>
          <w:ilvl w:val="0"/>
          <w:numId w:val="28"/>
        </w:numPr>
        <w:rPr>
          <w:rFonts w:ascii="Arial" w:cs="Arial" w:eastAsia="Arial" w:hAnsi="Arial"/>
          <w:sz w:val="18"/>
          <w:szCs w:val="18"/>
          <w:u w:val="single" w:color="auto"/>
          <w:color w:val="0000EE"/>
        </w:rPr>
      </w:pPr>
      <w:hyperlink r:id="rId109">
        <w:r>
          <w:rPr>
            <w:rFonts w:ascii="Arial" w:cs="Arial" w:eastAsia="Arial" w:hAnsi="Arial"/>
            <w:sz w:val="18"/>
            <w:szCs w:val="18"/>
            <w:u w:val="single" w:color="auto"/>
            <w:color w:val="0000EE"/>
          </w:rPr>
          <w:t>Terms and Conditions to Trademark License Agreement dated December 17, 2019, between Levi Strauss &amp; Co. and</w:t>
        </w:r>
      </w:hyperlink>
      <w:r>
        <w:rPr>
          <w:rFonts w:ascii="Arial" w:cs="Arial" w:eastAsia="Arial" w:hAnsi="Arial"/>
          <w:sz w:val="18"/>
          <w:szCs w:val="18"/>
          <w:u w:val="single" w:color="auto"/>
          <w:color w:val="0000EE"/>
        </w:rPr>
        <w:t xml:space="preserve"> </w:t>
      </w:r>
      <w:hyperlink r:id="rId109">
        <w:r>
          <w:rPr>
            <w:rFonts w:ascii="Arial" w:cs="Arial" w:eastAsia="Arial" w:hAnsi="Arial"/>
            <w:sz w:val="18"/>
            <w:szCs w:val="18"/>
            <w:u w:val="single" w:color="auto"/>
            <w:color w:val="0000EE"/>
          </w:rPr>
          <w:t>Genesco Inc.* Incorporated by reference to Exhibit (10)bb to the Company’s Annual Report on Form 10-K for the fiscal</w:t>
        </w:r>
      </w:hyperlink>
      <w:r>
        <w:rPr>
          <w:rFonts w:ascii="Arial" w:cs="Arial" w:eastAsia="Arial" w:hAnsi="Arial"/>
          <w:sz w:val="18"/>
          <w:szCs w:val="18"/>
          <w:u w:val="single" w:color="auto"/>
          <w:color w:val="0000EE"/>
        </w:rPr>
        <w:t xml:space="preserve"> </w:t>
      </w:r>
      <w:hyperlink r:id="rId109">
        <w:r>
          <w:rPr>
            <w:rFonts w:ascii="Arial" w:cs="Arial" w:eastAsia="Arial" w:hAnsi="Arial"/>
            <w:sz w:val="18"/>
            <w:szCs w:val="18"/>
            <w:u w:val="single" w:color="auto"/>
            <w:color w:val="0000EE"/>
          </w:rPr>
          <w:t>year ended February 1, 2020. (File No. 1-3083).</w:t>
        </w:r>
      </w:hyperlink>
    </w:p>
    <w:p>
      <w:pPr>
        <w:spacing w:after="0" w:line="1" w:lineRule="exact"/>
        <w:rPr>
          <w:rFonts w:ascii="Arial" w:cs="Arial" w:eastAsia="Arial" w:hAnsi="Arial"/>
          <w:sz w:val="18"/>
          <w:szCs w:val="18"/>
          <w:u w:val="single" w:color="auto"/>
          <w:color w:val="0000EE"/>
        </w:rPr>
      </w:pPr>
    </w:p>
    <w:p>
      <w:pPr>
        <w:jc w:val="both"/>
        <w:ind w:left="2340" w:right="240" w:hanging="591"/>
        <w:spacing w:after="0" w:line="250" w:lineRule="auto"/>
        <w:tabs>
          <w:tab w:leader="none" w:pos="2340" w:val="left"/>
        </w:tabs>
        <w:numPr>
          <w:ilvl w:val="0"/>
          <w:numId w:val="28"/>
        </w:numPr>
        <w:rPr>
          <w:rFonts w:ascii="Arial" w:cs="Arial" w:eastAsia="Arial" w:hAnsi="Arial"/>
          <w:sz w:val="18"/>
          <w:szCs w:val="18"/>
          <w:u w:val="single" w:color="auto"/>
          <w:color w:val="0000EE"/>
        </w:rPr>
      </w:pPr>
      <w:hyperlink r:id="rId109">
        <w:r>
          <w:rPr>
            <w:rFonts w:ascii="Arial" w:cs="Arial" w:eastAsia="Arial" w:hAnsi="Arial"/>
            <w:sz w:val="18"/>
            <w:szCs w:val="18"/>
            <w:u w:val="single" w:color="auto"/>
            <w:color w:val="0000EE"/>
          </w:rPr>
          <w:t>Schedule to Trademark License Agreement (Levi’s® Brand) dated December 17, 2019, between Levi Strauss &amp; Co. and</w:t>
        </w:r>
      </w:hyperlink>
      <w:r>
        <w:rPr>
          <w:rFonts w:ascii="Arial" w:cs="Arial" w:eastAsia="Arial" w:hAnsi="Arial"/>
          <w:sz w:val="18"/>
          <w:szCs w:val="18"/>
          <w:u w:val="single" w:color="auto"/>
          <w:color w:val="0000EE"/>
        </w:rPr>
        <w:t xml:space="preserve"> </w:t>
      </w:r>
      <w:hyperlink r:id="rId109">
        <w:r>
          <w:rPr>
            <w:rFonts w:ascii="Arial" w:cs="Arial" w:eastAsia="Arial" w:hAnsi="Arial"/>
            <w:sz w:val="18"/>
            <w:szCs w:val="18"/>
            <w:u w:val="single" w:color="auto"/>
            <w:color w:val="0000EE"/>
          </w:rPr>
          <w:t>Genesco Inc.* Incorporated by reference to Exhibit (10)cc to the Company’s Annual Report on Form 10-K for the fiscal</w:t>
        </w:r>
      </w:hyperlink>
      <w:r>
        <w:rPr>
          <w:rFonts w:ascii="Arial" w:cs="Arial" w:eastAsia="Arial" w:hAnsi="Arial"/>
          <w:sz w:val="18"/>
          <w:szCs w:val="18"/>
          <w:u w:val="single" w:color="auto"/>
          <w:color w:val="0000EE"/>
        </w:rPr>
        <w:t xml:space="preserve"> </w:t>
      </w:r>
      <w:hyperlink r:id="rId109">
        <w:r>
          <w:rPr>
            <w:rFonts w:ascii="Arial" w:cs="Arial" w:eastAsia="Arial" w:hAnsi="Arial"/>
            <w:sz w:val="18"/>
            <w:szCs w:val="18"/>
            <w:u w:val="single" w:color="auto"/>
            <w:color w:val="0000EE"/>
          </w:rPr>
          <w:t>year ended February 1, 2020. (File No. 1-3083).</w:t>
        </w:r>
      </w:hyperlink>
    </w:p>
    <w:p>
      <w:pPr>
        <w:spacing w:after="0" w:line="1" w:lineRule="exact"/>
        <w:rPr>
          <w:rFonts w:ascii="Arial" w:cs="Arial" w:eastAsia="Arial" w:hAnsi="Arial"/>
          <w:sz w:val="18"/>
          <w:szCs w:val="18"/>
          <w:u w:val="single" w:color="auto"/>
          <w:color w:val="0000EE"/>
        </w:rPr>
      </w:pPr>
    </w:p>
    <w:p>
      <w:pPr>
        <w:ind w:left="2340" w:right="100" w:hanging="591"/>
        <w:spacing w:after="0" w:line="250" w:lineRule="auto"/>
        <w:tabs>
          <w:tab w:leader="none" w:pos="2340" w:val="left"/>
        </w:tabs>
        <w:numPr>
          <w:ilvl w:val="0"/>
          <w:numId w:val="28"/>
        </w:numPr>
        <w:rPr>
          <w:rFonts w:ascii="Arial" w:cs="Arial" w:eastAsia="Arial" w:hAnsi="Arial"/>
          <w:sz w:val="18"/>
          <w:szCs w:val="18"/>
          <w:u w:val="single" w:color="auto"/>
          <w:color w:val="0000EE"/>
        </w:rPr>
      </w:pPr>
      <w:hyperlink r:id="rId109">
        <w:r>
          <w:rPr>
            <w:rFonts w:ascii="Arial" w:cs="Arial" w:eastAsia="Arial" w:hAnsi="Arial"/>
            <w:sz w:val="18"/>
            <w:szCs w:val="18"/>
            <w:u w:val="single" w:color="auto"/>
            <w:color w:val="0000EE"/>
          </w:rPr>
          <w:t>Schedule to Trademark License Agreement (Dockers® Brand) dated December 17, 2019, between Levi Strauss &amp; Co. and</w:t>
        </w:r>
      </w:hyperlink>
      <w:r>
        <w:rPr>
          <w:rFonts w:ascii="Arial" w:cs="Arial" w:eastAsia="Arial" w:hAnsi="Arial"/>
          <w:sz w:val="18"/>
          <w:szCs w:val="18"/>
          <w:u w:val="single" w:color="auto"/>
          <w:color w:val="0000EE"/>
        </w:rPr>
        <w:t xml:space="preserve"> </w:t>
      </w:r>
      <w:hyperlink r:id="rId109">
        <w:r>
          <w:rPr>
            <w:rFonts w:ascii="Arial" w:cs="Arial" w:eastAsia="Arial" w:hAnsi="Arial"/>
            <w:sz w:val="18"/>
            <w:szCs w:val="18"/>
            <w:u w:val="single" w:color="auto"/>
            <w:color w:val="0000EE"/>
          </w:rPr>
          <w:t>Genesco Inc.* Incorporated by reference to Exhibit (10)dd to the Company’s Annual Report on Form 10-K for the fiscal</w:t>
        </w:r>
      </w:hyperlink>
      <w:r>
        <w:rPr>
          <w:rFonts w:ascii="Arial" w:cs="Arial" w:eastAsia="Arial" w:hAnsi="Arial"/>
          <w:sz w:val="18"/>
          <w:szCs w:val="18"/>
          <w:u w:val="single" w:color="auto"/>
          <w:color w:val="0000EE"/>
        </w:rPr>
        <w:t xml:space="preserve"> </w:t>
      </w:r>
      <w:hyperlink r:id="rId109">
        <w:r>
          <w:rPr>
            <w:rFonts w:ascii="Arial" w:cs="Arial" w:eastAsia="Arial" w:hAnsi="Arial"/>
            <w:sz w:val="18"/>
            <w:szCs w:val="18"/>
            <w:u w:val="single" w:color="auto"/>
            <w:color w:val="0000EE"/>
          </w:rPr>
          <w:t>year ended February 1, 2020. (File No. 1-3083).</w:t>
        </w:r>
      </w:hyperlink>
    </w:p>
    <w:p>
      <w:pPr>
        <w:spacing w:after="0" w:line="1" w:lineRule="exact"/>
        <w:rPr>
          <w:rFonts w:ascii="Arial" w:cs="Arial" w:eastAsia="Arial" w:hAnsi="Arial"/>
          <w:sz w:val="18"/>
          <w:szCs w:val="18"/>
          <w:u w:val="single" w:color="auto"/>
          <w:color w:val="0000EE"/>
        </w:rPr>
      </w:pPr>
    </w:p>
    <w:p>
      <w:pPr>
        <w:jc w:val="both"/>
        <w:ind w:left="2340" w:right="100" w:hanging="591"/>
        <w:spacing w:after="0" w:line="250" w:lineRule="auto"/>
        <w:tabs>
          <w:tab w:leader="none" w:pos="2340" w:val="left"/>
        </w:tabs>
        <w:numPr>
          <w:ilvl w:val="0"/>
          <w:numId w:val="28"/>
        </w:numPr>
        <w:rPr>
          <w:rFonts w:ascii="Arial" w:cs="Arial" w:eastAsia="Arial" w:hAnsi="Arial"/>
          <w:sz w:val="18"/>
          <w:szCs w:val="18"/>
          <w:u w:val="single" w:color="auto"/>
          <w:color w:val="0000EE"/>
        </w:rPr>
      </w:pPr>
      <w:hyperlink r:id="rId109">
        <w:r>
          <w:rPr>
            <w:rFonts w:ascii="Arial" w:cs="Arial" w:eastAsia="Arial" w:hAnsi="Arial"/>
            <w:sz w:val="18"/>
            <w:szCs w:val="18"/>
            <w:u w:val="single" w:color="auto"/>
            <w:color w:val="0000EE"/>
          </w:rPr>
          <w:t>Amendment No. 1 to Trademark License Agreement, dated December 17, 2019, between Levi Strauss &amp; Co. and Genesco</w:t>
        </w:r>
      </w:hyperlink>
      <w:r>
        <w:rPr>
          <w:rFonts w:ascii="Arial" w:cs="Arial" w:eastAsia="Arial" w:hAnsi="Arial"/>
          <w:sz w:val="18"/>
          <w:szCs w:val="18"/>
          <w:u w:val="single" w:color="auto"/>
          <w:color w:val="0000EE"/>
        </w:rPr>
        <w:t xml:space="preserve"> </w:t>
      </w:r>
      <w:hyperlink r:id="rId109">
        <w:r>
          <w:rPr>
            <w:rFonts w:ascii="Arial" w:cs="Arial" w:eastAsia="Arial" w:hAnsi="Arial"/>
            <w:sz w:val="18"/>
            <w:szCs w:val="18"/>
            <w:u w:val="single" w:color="auto"/>
            <w:color w:val="0000EE"/>
          </w:rPr>
          <w:t>Inc.* Incorporated by reference to Exhibit (10)ee to the Company’s Annual Report on Form 10-K for the fiscal year ended</w:t>
        </w:r>
      </w:hyperlink>
      <w:r>
        <w:rPr>
          <w:rFonts w:ascii="Arial" w:cs="Arial" w:eastAsia="Arial" w:hAnsi="Arial"/>
          <w:sz w:val="18"/>
          <w:szCs w:val="18"/>
          <w:u w:val="single" w:color="auto"/>
          <w:color w:val="0000EE"/>
        </w:rPr>
        <w:t xml:space="preserve"> </w:t>
      </w:r>
      <w:hyperlink r:id="rId109">
        <w:r>
          <w:rPr>
            <w:rFonts w:ascii="Arial" w:cs="Arial" w:eastAsia="Arial" w:hAnsi="Arial"/>
            <w:sz w:val="18"/>
            <w:szCs w:val="18"/>
            <w:u w:val="single" w:color="auto"/>
            <w:color w:val="0000EE"/>
          </w:rPr>
          <w:t>February 1, 2020. (File No. 1-3083).</w:t>
        </w:r>
      </w:hyperlink>
    </w:p>
    <w:p>
      <w:pPr>
        <w:spacing w:after="0" w:line="1" w:lineRule="exact"/>
        <w:rPr>
          <w:rFonts w:ascii="Arial" w:cs="Arial" w:eastAsia="Arial" w:hAnsi="Arial"/>
          <w:sz w:val="18"/>
          <w:szCs w:val="18"/>
          <w:u w:val="single" w:color="auto"/>
          <w:color w:val="0000EE"/>
        </w:rPr>
      </w:pPr>
    </w:p>
    <w:p>
      <w:pPr>
        <w:ind w:left="2340" w:right="160" w:hanging="591"/>
        <w:spacing w:after="0" w:line="250" w:lineRule="auto"/>
        <w:tabs>
          <w:tab w:leader="none" w:pos="2340" w:val="left"/>
        </w:tabs>
        <w:numPr>
          <w:ilvl w:val="0"/>
          <w:numId w:val="28"/>
        </w:numPr>
        <w:rPr>
          <w:rFonts w:ascii="Arial" w:cs="Arial" w:eastAsia="Arial" w:hAnsi="Arial"/>
          <w:sz w:val="18"/>
          <w:szCs w:val="18"/>
          <w:u w:val="single" w:color="auto"/>
          <w:color w:val="0000EE"/>
        </w:rPr>
      </w:pPr>
      <w:hyperlink r:id="rId138">
        <w:r>
          <w:rPr>
            <w:rFonts w:ascii="Arial" w:cs="Arial" w:eastAsia="Arial" w:hAnsi="Arial"/>
            <w:sz w:val="18"/>
            <w:szCs w:val="18"/>
            <w:u w:val="single" w:color="auto"/>
            <w:color w:val="0000EE"/>
          </w:rPr>
          <w:t>Facility Letter, dated October 9, 2020, between Schuh Limited and Lloyds Bank plc. Incorporated by reference to Exhibit</w:t>
        </w:r>
      </w:hyperlink>
      <w:r>
        <w:rPr>
          <w:rFonts w:ascii="Arial" w:cs="Arial" w:eastAsia="Arial" w:hAnsi="Arial"/>
          <w:sz w:val="18"/>
          <w:szCs w:val="18"/>
          <w:u w:val="single" w:color="auto"/>
          <w:color w:val="0000EE"/>
        </w:rPr>
        <w:t xml:space="preserve"> </w:t>
      </w:r>
      <w:hyperlink r:id="rId138">
        <w:r>
          <w:rPr>
            <w:rFonts w:ascii="Arial" w:cs="Arial" w:eastAsia="Arial" w:hAnsi="Arial"/>
            <w:sz w:val="18"/>
            <w:szCs w:val="18"/>
            <w:u w:val="single" w:color="auto"/>
            <w:color w:val="0000EE"/>
          </w:rPr>
          <w:t>10.1 to the current report on Form 8-K filed October 14, 2020. (File No. 1-3083).</w:t>
        </w:r>
      </w:hyperlink>
    </w:p>
    <w:tbl>
      <w:tblPr>
        <w:tblLayout w:type="fixed"/>
        <w:tblInd w:w="0" w:type="dxa"/>
        <w:tblCellMar>
          <w:top w:w="0" w:type="dxa"/>
          <w:left w:w="0" w:type="dxa"/>
          <w:bottom w:w="0" w:type="dxa"/>
          <w:right w:w="0" w:type="dxa"/>
        </w:tblCellMar>
      </w:tblPr>
      <w:tr>
        <w:trPr>
          <w:trHeight w:val="176"/>
        </w:trPr>
        <w:tc>
          <w:tcPr>
            <w:tcW w:w="2320" w:type="dxa"/>
            <w:vAlign w:val="bottom"/>
          </w:tcPr>
          <w:p>
            <w:pPr>
              <w:ind w:left="700"/>
              <w:spacing w:after="0" w:line="176" w:lineRule="exact"/>
              <w:rPr>
                <w:sz w:val="20"/>
                <w:szCs w:val="20"/>
                <w:color w:val="auto"/>
              </w:rPr>
            </w:pPr>
            <w:r>
              <w:rPr>
                <w:rFonts w:ascii="Arial" w:cs="Arial" w:eastAsia="Arial" w:hAnsi="Arial"/>
                <w:sz w:val="18"/>
                <w:szCs w:val="18"/>
                <w:color w:val="auto"/>
              </w:rPr>
              <w:t>(21)</w:t>
            </w:r>
          </w:p>
        </w:tc>
        <w:tc>
          <w:tcPr>
            <w:tcW w:w="2100" w:type="dxa"/>
            <w:vAlign w:val="bottom"/>
            <w:tcBorders>
              <w:bottom w:val="single" w:sz="8" w:color="0000EE"/>
            </w:tcBorders>
            <w:gridSpan w:val="2"/>
          </w:tcPr>
          <w:p>
            <w:pPr>
              <w:ind w:left="20"/>
              <w:spacing w:after="0" w:line="176" w:lineRule="exact"/>
              <w:rPr>
                <w:rFonts w:ascii="Arial" w:cs="Arial" w:eastAsia="Arial" w:hAnsi="Arial"/>
                <w:sz w:val="18"/>
                <w:szCs w:val="18"/>
                <w:color w:val="0000EE"/>
                <w:w w:val="89"/>
              </w:rPr>
            </w:pPr>
            <w:hyperlink w:anchor="page102">
              <w:r>
                <w:rPr>
                  <w:rFonts w:ascii="Arial" w:cs="Arial" w:eastAsia="Arial" w:hAnsi="Arial"/>
                  <w:sz w:val="18"/>
                  <w:szCs w:val="18"/>
                  <w:color w:val="0000EE"/>
                  <w:w w:val="89"/>
                </w:rPr>
                <w:t>Subsidiaries of the Company</w:t>
              </w:r>
            </w:hyperlink>
          </w:p>
        </w:tc>
        <w:tc>
          <w:tcPr>
            <w:tcW w:w="6820" w:type="dxa"/>
            <w:vAlign w:val="bottom"/>
            <w:gridSpan w:val="6"/>
          </w:tcPr>
          <w:p>
            <w:pPr>
              <w:spacing w:after="0"/>
              <w:rPr>
                <w:sz w:val="15"/>
                <w:szCs w:val="15"/>
                <w:color w:val="auto"/>
              </w:rPr>
            </w:pPr>
          </w:p>
        </w:tc>
      </w:tr>
      <w:tr>
        <w:trPr>
          <w:trHeight w:val="196"/>
        </w:trPr>
        <w:tc>
          <w:tcPr>
            <w:tcW w:w="2320" w:type="dxa"/>
            <w:vAlign w:val="bottom"/>
          </w:tcPr>
          <w:p>
            <w:pPr>
              <w:ind w:left="700"/>
              <w:spacing w:after="0" w:line="196" w:lineRule="exact"/>
              <w:rPr>
                <w:sz w:val="20"/>
                <w:szCs w:val="20"/>
                <w:color w:val="auto"/>
              </w:rPr>
            </w:pPr>
            <w:r>
              <w:rPr>
                <w:rFonts w:ascii="Arial" w:cs="Arial" w:eastAsia="Arial" w:hAnsi="Arial"/>
                <w:sz w:val="18"/>
                <w:szCs w:val="18"/>
                <w:color w:val="auto"/>
              </w:rPr>
              <w:t>(23)</w:t>
            </w:r>
          </w:p>
        </w:tc>
        <w:tc>
          <w:tcPr>
            <w:tcW w:w="8920" w:type="dxa"/>
            <w:vAlign w:val="bottom"/>
            <w:gridSpan w:val="8"/>
          </w:tcPr>
          <w:p>
            <w:pPr>
              <w:ind w:left="20"/>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Consent of Ernst &amp; Young LLP, Independent Registered Public Accounting Firm included on page 92</w:t>
              </w:r>
            </w:hyperlink>
            <w:r>
              <w:rPr>
                <w:rFonts w:ascii="Arial" w:cs="Arial" w:eastAsia="Arial" w:hAnsi="Arial"/>
                <w:sz w:val="18"/>
                <w:szCs w:val="18"/>
                <w:color w:val="000000"/>
              </w:rPr>
              <w:t>.</w:t>
            </w:r>
          </w:p>
        </w:tc>
      </w:tr>
      <w:tr>
        <w:trPr>
          <w:trHeight w:val="196"/>
        </w:trPr>
        <w:tc>
          <w:tcPr>
            <w:tcW w:w="2320" w:type="dxa"/>
            <w:vAlign w:val="bottom"/>
          </w:tcPr>
          <w:p>
            <w:pPr>
              <w:ind w:left="700"/>
              <w:spacing w:after="0" w:line="196" w:lineRule="exact"/>
              <w:rPr>
                <w:sz w:val="20"/>
                <w:szCs w:val="20"/>
                <w:color w:val="auto"/>
              </w:rPr>
            </w:pPr>
            <w:r>
              <w:rPr>
                <w:rFonts w:ascii="Arial" w:cs="Arial" w:eastAsia="Arial" w:hAnsi="Arial"/>
                <w:sz w:val="18"/>
                <w:szCs w:val="18"/>
                <w:color w:val="auto"/>
              </w:rPr>
              <w:t>(24)</w:t>
            </w:r>
          </w:p>
        </w:tc>
        <w:tc>
          <w:tcPr>
            <w:tcW w:w="7340" w:type="dxa"/>
            <w:vAlign w:val="bottom"/>
            <w:tcBorders>
              <w:top w:val="single" w:sz="8" w:color="0000EE"/>
            </w:tcBorders>
            <w:gridSpan w:val="3"/>
          </w:tcPr>
          <w:p>
            <w:pPr>
              <w:ind w:left="20"/>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Power of Attorney</w:t>
              </w:r>
            </w:hyperlink>
          </w:p>
        </w:tc>
        <w:tc>
          <w:tcPr>
            <w:tcW w:w="1580" w:type="dxa"/>
            <w:vAlign w:val="bottom"/>
            <w:gridSpan w:val="5"/>
          </w:tcPr>
          <w:p>
            <w:pPr>
              <w:spacing w:after="0"/>
              <w:rPr>
                <w:sz w:val="17"/>
                <w:szCs w:val="17"/>
                <w:color w:val="auto"/>
              </w:rPr>
            </w:pPr>
          </w:p>
        </w:tc>
      </w:tr>
      <w:tr>
        <w:trPr>
          <w:trHeight w:val="20"/>
        </w:trPr>
        <w:tc>
          <w:tcPr>
            <w:tcW w:w="23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320" w:type="dxa"/>
            <w:vAlign w:val="bottom"/>
          </w:tcPr>
          <w:p>
            <w:pPr>
              <w:ind w:left="700"/>
              <w:spacing w:after="0" w:line="196" w:lineRule="exact"/>
              <w:rPr>
                <w:sz w:val="20"/>
                <w:szCs w:val="20"/>
                <w:color w:val="auto"/>
              </w:rPr>
            </w:pPr>
            <w:r>
              <w:rPr>
                <w:rFonts w:ascii="Arial" w:cs="Arial" w:eastAsia="Arial" w:hAnsi="Arial"/>
                <w:sz w:val="18"/>
                <w:szCs w:val="18"/>
                <w:color w:val="auto"/>
              </w:rPr>
              <w:t>(31.1)</w:t>
            </w:r>
          </w:p>
        </w:tc>
        <w:tc>
          <w:tcPr>
            <w:tcW w:w="7520" w:type="dxa"/>
            <w:vAlign w:val="bottom"/>
            <w:tcBorders>
              <w:bottom w:val="single" w:sz="8" w:color="0000EE"/>
            </w:tcBorders>
            <w:gridSpan w:val="5"/>
          </w:tcPr>
          <w:p>
            <w:pPr>
              <w:ind w:left="20"/>
              <w:spacing w:after="0" w:line="196" w:lineRule="exact"/>
              <w:rPr>
                <w:rFonts w:ascii="Arial" w:cs="Arial" w:eastAsia="Arial" w:hAnsi="Arial"/>
                <w:sz w:val="18"/>
                <w:szCs w:val="18"/>
                <w:color w:val="0000EE"/>
                <w:w w:val="91"/>
              </w:rPr>
            </w:pPr>
            <w:hyperlink w:anchor="page104">
              <w:r>
                <w:rPr>
                  <w:rFonts w:ascii="Arial" w:cs="Arial" w:eastAsia="Arial" w:hAnsi="Arial"/>
                  <w:sz w:val="18"/>
                  <w:szCs w:val="18"/>
                  <w:color w:val="0000EE"/>
                  <w:w w:val="91"/>
                </w:rPr>
                <w:t>Certification of the Chief Executive Officer Pursuant to Section 302 of the Sarbanes-Oxley Act of 2002.</w:t>
              </w:r>
            </w:hyperlink>
          </w:p>
        </w:tc>
        <w:tc>
          <w:tcPr>
            <w:tcW w:w="1400" w:type="dxa"/>
            <w:vAlign w:val="bottom"/>
            <w:gridSpan w:val="3"/>
          </w:tcPr>
          <w:p>
            <w:pPr>
              <w:spacing w:after="0"/>
              <w:rPr>
                <w:sz w:val="17"/>
                <w:szCs w:val="17"/>
                <w:color w:val="auto"/>
              </w:rPr>
            </w:pPr>
          </w:p>
        </w:tc>
      </w:tr>
      <w:tr>
        <w:trPr>
          <w:trHeight w:val="196"/>
        </w:trPr>
        <w:tc>
          <w:tcPr>
            <w:tcW w:w="2320" w:type="dxa"/>
            <w:vAlign w:val="bottom"/>
          </w:tcPr>
          <w:p>
            <w:pPr>
              <w:ind w:left="700"/>
              <w:spacing w:after="0" w:line="196" w:lineRule="exact"/>
              <w:rPr>
                <w:sz w:val="20"/>
                <w:szCs w:val="20"/>
                <w:color w:val="auto"/>
              </w:rPr>
            </w:pPr>
            <w:r>
              <w:rPr>
                <w:rFonts w:ascii="Arial" w:cs="Arial" w:eastAsia="Arial" w:hAnsi="Arial"/>
                <w:sz w:val="18"/>
                <w:szCs w:val="18"/>
                <w:color w:val="auto"/>
              </w:rPr>
              <w:t>(31.2)</w:t>
            </w:r>
          </w:p>
        </w:tc>
        <w:tc>
          <w:tcPr>
            <w:tcW w:w="8920" w:type="dxa"/>
            <w:vAlign w:val="bottom"/>
            <w:gridSpan w:val="8"/>
          </w:tcPr>
          <w:p>
            <w:pPr>
              <w:ind w:left="20"/>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Certification of the Chief Financial Officer Pursuant to Section 302 of the Sarbanes-Oxley Act of 2002.</w:t>
              </w:r>
            </w:hyperlink>
          </w:p>
        </w:tc>
      </w:tr>
      <w:tr>
        <w:trPr>
          <w:trHeight w:val="20"/>
        </w:trPr>
        <w:tc>
          <w:tcPr>
            <w:tcW w:w="2320" w:type="dxa"/>
            <w:vAlign w:val="bottom"/>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536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320" w:type="dxa"/>
            <w:vAlign w:val="bottom"/>
          </w:tcPr>
          <w:p>
            <w:pPr>
              <w:ind w:left="700"/>
              <w:spacing w:after="0" w:line="196" w:lineRule="exact"/>
              <w:rPr>
                <w:sz w:val="20"/>
                <w:szCs w:val="20"/>
                <w:color w:val="auto"/>
              </w:rPr>
            </w:pPr>
            <w:r>
              <w:rPr>
                <w:rFonts w:ascii="Arial" w:cs="Arial" w:eastAsia="Arial" w:hAnsi="Arial"/>
                <w:sz w:val="18"/>
                <w:szCs w:val="18"/>
                <w:color w:val="auto"/>
              </w:rPr>
              <w:t>(32.1)</w:t>
            </w:r>
          </w:p>
        </w:tc>
        <w:tc>
          <w:tcPr>
            <w:tcW w:w="8880" w:type="dxa"/>
            <w:vAlign w:val="bottom"/>
            <w:tcBorders>
              <w:bottom w:val="single" w:sz="8" w:color="0000EE"/>
            </w:tcBorders>
            <w:gridSpan w:val="7"/>
          </w:tcPr>
          <w:p>
            <w:pPr>
              <w:ind w:left="20"/>
              <w:spacing w:after="0" w:line="196" w:lineRule="exact"/>
              <w:rPr>
                <w:rFonts w:ascii="Arial" w:cs="Arial" w:eastAsia="Arial" w:hAnsi="Arial"/>
                <w:sz w:val="18"/>
                <w:szCs w:val="18"/>
                <w:color w:val="0000EE"/>
                <w:w w:val="90"/>
              </w:rPr>
            </w:pPr>
            <w:hyperlink w:anchor="page106">
              <w:r>
                <w:rPr>
                  <w:rFonts w:ascii="Arial" w:cs="Arial" w:eastAsia="Arial" w:hAnsi="Arial"/>
                  <w:sz w:val="18"/>
                  <w:szCs w:val="18"/>
                  <w:color w:val="0000EE"/>
                  <w:w w:val="90"/>
                </w:rPr>
                <w:t>Certification of the Chief Executive Officer Pursuant to 18 U.S.C. Section 1350, as Adopted Pursuant to Section 906 of the</w:t>
              </w:r>
            </w:hyperlink>
          </w:p>
        </w:tc>
        <w:tc>
          <w:tcPr>
            <w:tcW w:w="40" w:type="dxa"/>
            <w:vAlign w:val="bottom"/>
          </w:tcPr>
          <w:p>
            <w:pPr>
              <w:spacing w:after="0"/>
              <w:rPr>
                <w:sz w:val="17"/>
                <w:szCs w:val="17"/>
                <w:color w:val="auto"/>
              </w:rPr>
            </w:pPr>
          </w:p>
        </w:tc>
      </w:tr>
      <w:tr>
        <w:trPr>
          <w:trHeight w:val="196"/>
        </w:trPr>
        <w:tc>
          <w:tcPr>
            <w:tcW w:w="2320" w:type="dxa"/>
            <w:vAlign w:val="bottom"/>
          </w:tcPr>
          <w:p>
            <w:pPr>
              <w:spacing w:after="0"/>
              <w:rPr>
                <w:sz w:val="17"/>
                <w:szCs w:val="17"/>
                <w:color w:val="auto"/>
              </w:rPr>
            </w:pPr>
          </w:p>
        </w:tc>
        <w:tc>
          <w:tcPr>
            <w:tcW w:w="8920" w:type="dxa"/>
            <w:vAlign w:val="bottom"/>
            <w:gridSpan w:val="8"/>
          </w:tcPr>
          <w:p>
            <w:pPr>
              <w:ind w:left="20"/>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Sarbanes-Oxley Act of 2002.</w:t>
              </w:r>
            </w:hyperlink>
          </w:p>
        </w:tc>
      </w:tr>
      <w:tr>
        <w:trPr>
          <w:trHeight w:val="20"/>
        </w:trPr>
        <w:tc>
          <w:tcPr>
            <w:tcW w:w="2320" w:type="dxa"/>
            <w:vAlign w:val="bottom"/>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67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2320" w:type="dxa"/>
            <w:vAlign w:val="bottom"/>
          </w:tcPr>
          <w:p>
            <w:pPr>
              <w:ind w:left="700"/>
              <w:spacing w:after="0" w:line="196" w:lineRule="exact"/>
              <w:rPr>
                <w:sz w:val="20"/>
                <w:szCs w:val="20"/>
                <w:color w:val="auto"/>
              </w:rPr>
            </w:pPr>
            <w:r>
              <w:rPr>
                <w:rFonts w:ascii="Arial" w:cs="Arial" w:eastAsia="Arial" w:hAnsi="Arial"/>
                <w:sz w:val="18"/>
                <w:szCs w:val="18"/>
                <w:color w:val="auto"/>
              </w:rPr>
              <w:t>(32.2)</w:t>
            </w:r>
          </w:p>
        </w:tc>
        <w:tc>
          <w:tcPr>
            <w:tcW w:w="8920" w:type="dxa"/>
            <w:vAlign w:val="bottom"/>
            <w:gridSpan w:val="8"/>
          </w:tcPr>
          <w:p>
            <w:pPr>
              <w:ind w:left="20"/>
              <w:spacing w:after="0" w:line="196" w:lineRule="exact"/>
              <w:rPr>
                <w:rFonts w:ascii="Arial" w:cs="Arial" w:eastAsia="Arial" w:hAnsi="Arial"/>
                <w:sz w:val="18"/>
                <w:szCs w:val="18"/>
                <w:color w:val="0000EE"/>
                <w:w w:val="91"/>
              </w:rPr>
            </w:pPr>
            <w:hyperlink w:anchor="page107">
              <w:r>
                <w:rPr>
                  <w:rFonts w:ascii="Arial" w:cs="Arial" w:eastAsia="Arial" w:hAnsi="Arial"/>
                  <w:sz w:val="18"/>
                  <w:szCs w:val="18"/>
                  <w:color w:val="0000EE"/>
                  <w:w w:val="91"/>
                </w:rPr>
                <w:t>Certification of the Chief Financial Officer Pursuant to 18 U.S.C. Section 1350, as Adopted Pursuant to Section 906 of the</w:t>
              </w:r>
            </w:hyperlink>
          </w:p>
        </w:tc>
      </w:tr>
      <w:tr>
        <w:trPr>
          <w:trHeight w:val="196"/>
        </w:trPr>
        <w:tc>
          <w:tcPr>
            <w:tcW w:w="2320" w:type="dxa"/>
            <w:vAlign w:val="bottom"/>
          </w:tcPr>
          <w:p>
            <w:pPr>
              <w:spacing w:after="0"/>
              <w:rPr>
                <w:sz w:val="17"/>
                <w:szCs w:val="17"/>
                <w:color w:val="auto"/>
              </w:rPr>
            </w:pPr>
          </w:p>
        </w:tc>
        <w:tc>
          <w:tcPr>
            <w:tcW w:w="8820" w:type="dxa"/>
            <w:vAlign w:val="bottom"/>
            <w:tcBorders>
              <w:top w:val="single" w:sz="8" w:color="0000EE"/>
            </w:tcBorders>
            <w:gridSpan w:val="6"/>
          </w:tcPr>
          <w:p>
            <w:pPr>
              <w:ind w:left="20"/>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Sarbanes-Oxley Act of 2002.</w:t>
              </w:r>
            </w:hyperlink>
          </w:p>
        </w:tc>
        <w:tc>
          <w:tcPr>
            <w:tcW w:w="100" w:type="dxa"/>
            <w:vAlign w:val="bottom"/>
            <w:gridSpan w:val="2"/>
          </w:tcPr>
          <w:p>
            <w:pPr>
              <w:spacing w:after="0"/>
              <w:rPr>
                <w:sz w:val="17"/>
                <w:szCs w:val="17"/>
                <w:color w:val="auto"/>
              </w:rPr>
            </w:pPr>
          </w:p>
        </w:tc>
      </w:tr>
      <w:tr>
        <w:trPr>
          <w:trHeight w:val="20"/>
        </w:trPr>
        <w:tc>
          <w:tcPr>
            <w:tcW w:w="2320" w:type="dxa"/>
            <w:vAlign w:val="bottom"/>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6820" w:type="dxa"/>
            <w:vAlign w:val="bottom"/>
            <w:gridSpan w:val="6"/>
          </w:tcPr>
          <w:p>
            <w:pPr>
              <w:spacing w:after="0" w:line="20" w:lineRule="exact"/>
              <w:rPr>
                <w:sz w:val="1"/>
                <w:szCs w:val="1"/>
                <w:color w:val="auto"/>
              </w:rPr>
            </w:pPr>
          </w:p>
        </w:tc>
      </w:tr>
      <w:tr>
        <w:trPr>
          <w:trHeight w:val="222"/>
        </w:trPr>
        <w:tc>
          <w:tcPr>
            <w:tcW w:w="2320" w:type="dxa"/>
            <w:vAlign w:val="bottom"/>
          </w:tcPr>
          <w:p>
            <w:pPr>
              <w:ind w:left="700"/>
              <w:spacing w:after="0"/>
              <w:rPr>
                <w:sz w:val="20"/>
                <w:szCs w:val="20"/>
                <w:color w:val="auto"/>
              </w:rPr>
            </w:pPr>
            <w:r>
              <w:rPr>
                <w:rFonts w:ascii="Arial" w:cs="Arial" w:eastAsia="Arial" w:hAnsi="Arial"/>
                <w:sz w:val="18"/>
                <w:szCs w:val="18"/>
                <w:color w:val="auto"/>
              </w:rPr>
              <w:t>101.INS</w:t>
            </w:r>
          </w:p>
        </w:tc>
        <w:tc>
          <w:tcPr>
            <w:tcW w:w="8920" w:type="dxa"/>
            <w:vAlign w:val="bottom"/>
            <w:gridSpan w:val="8"/>
          </w:tcPr>
          <w:p>
            <w:pPr>
              <w:ind w:left="20"/>
              <w:spacing w:after="0"/>
              <w:rPr>
                <w:sz w:val="20"/>
                <w:szCs w:val="20"/>
                <w:color w:val="auto"/>
              </w:rPr>
            </w:pPr>
            <w:r>
              <w:rPr>
                <w:rFonts w:ascii="Arial" w:cs="Arial" w:eastAsia="Arial" w:hAnsi="Arial"/>
                <w:sz w:val="18"/>
                <w:szCs w:val="18"/>
                <w:color w:val="auto"/>
                <w:w w:val="93"/>
              </w:rPr>
              <w:t>Inline XBRL Instance Document (The instance document does not appear in the Interactive Data File because its XBRL</w:t>
            </w:r>
          </w:p>
        </w:tc>
      </w:tr>
      <w:tr>
        <w:trPr>
          <w:trHeight w:val="216"/>
        </w:trPr>
        <w:tc>
          <w:tcPr>
            <w:tcW w:w="2320" w:type="dxa"/>
            <w:vAlign w:val="bottom"/>
          </w:tcPr>
          <w:p>
            <w:pPr>
              <w:spacing w:after="0"/>
              <w:rPr>
                <w:sz w:val="18"/>
                <w:szCs w:val="18"/>
                <w:color w:val="auto"/>
              </w:rPr>
            </w:pPr>
          </w:p>
        </w:tc>
        <w:tc>
          <w:tcPr>
            <w:tcW w:w="8920" w:type="dxa"/>
            <w:vAlign w:val="bottom"/>
            <w:gridSpan w:val="8"/>
          </w:tcPr>
          <w:p>
            <w:pPr>
              <w:ind w:left="20"/>
              <w:spacing w:after="0"/>
              <w:rPr>
                <w:sz w:val="20"/>
                <w:szCs w:val="20"/>
                <w:color w:val="auto"/>
              </w:rPr>
            </w:pPr>
            <w:r>
              <w:rPr>
                <w:rFonts w:ascii="Arial" w:cs="Arial" w:eastAsia="Arial" w:hAnsi="Arial"/>
                <w:sz w:val="18"/>
                <w:szCs w:val="18"/>
                <w:color w:val="auto"/>
              </w:rPr>
              <w:t>tags are embedded within the Inline XBRL document.)</w:t>
            </w:r>
          </w:p>
        </w:tc>
      </w:tr>
      <w:tr>
        <w:trPr>
          <w:trHeight w:val="216"/>
        </w:trPr>
        <w:tc>
          <w:tcPr>
            <w:tcW w:w="2320" w:type="dxa"/>
            <w:vAlign w:val="bottom"/>
          </w:tcPr>
          <w:p>
            <w:pPr>
              <w:ind w:left="700"/>
              <w:spacing w:after="0"/>
              <w:rPr>
                <w:sz w:val="20"/>
                <w:szCs w:val="20"/>
                <w:color w:val="auto"/>
              </w:rPr>
            </w:pPr>
            <w:r>
              <w:rPr>
                <w:rFonts w:ascii="Arial" w:cs="Arial" w:eastAsia="Arial" w:hAnsi="Arial"/>
                <w:sz w:val="18"/>
                <w:szCs w:val="18"/>
                <w:color w:val="auto"/>
              </w:rPr>
              <w:t>101.SCH</w:t>
            </w:r>
          </w:p>
        </w:tc>
        <w:tc>
          <w:tcPr>
            <w:tcW w:w="8920" w:type="dxa"/>
            <w:vAlign w:val="bottom"/>
            <w:gridSpan w:val="8"/>
          </w:tcPr>
          <w:p>
            <w:pPr>
              <w:ind w:left="20"/>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2320" w:type="dxa"/>
            <w:vAlign w:val="bottom"/>
          </w:tcPr>
          <w:p>
            <w:pPr>
              <w:ind w:left="700"/>
              <w:spacing w:after="0"/>
              <w:rPr>
                <w:sz w:val="20"/>
                <w:szCs w:val="20"/>
                <w:color w:val="auto"/>
              </w:rPr>
            </w:pPr>
            <w:r>
              <w:rPr>
                <w:rFonts w:ascii="Arial" w:cs="Arial" w:eastAsia="Arial" w:hAnsi="Arial"/>
                <w:sz w:val="18"/>
                <w:szCs w:val="18"/>
                <w:color w:val="auto"/>
              </w:rPr>
              <w:t>101.CAL</w:t>
            </w:r>
          </w:p>
        </w:tc>
        <w:tc>
          <w:tcPr>
            <w:tcW w:w="8920" w:type="dxa"/>
            <w:vAlign w:val="bottom"/>
            <w:gridSpan w:val="8"/>
          </w:tcPr>
          <w:p>
            <w:pPr>
              <w:ind w:left="2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2320" w:type="dxa"/>
            <w:vAlign w:val="bottom"/>
          </w:tcPr>
          <w:p>
            <w:pPr>
              <w:ind w:left="700"/>
              <w:spacing w:after="0"/>
              <w:rPr>
                <w:sz w:val="20"/>
                <w:szCs w:val="20"/>
                <w:color w:val="auto"/>
              </w:rPr>
            </w:pPr>
            <w:r>
              <w:rPr>
                <w:rFonts w:ascii="Arial" w:cs="Arial" w:eastAsia="Arial" w:hAnsi="Arial"/>
                <w:sz w:val="18"/>
                <w:szCs w:val="18"/>
                <w:color w:val="auto"/>
              </w:rPr>
              <w:t>101.DEF</w:t>
            </w:r>
          </w:p>
        </w:tc>
        <w:tc>
          <w:tcPr>
            <w:tcW w:w="8920" w:type="dxa"/>
            <w:vAlign w:val="bottom"/>
            <w:gridSpan w:val="8"/>
          </w:tcPr>
          <w:p>
            <w:pPr>
              <w:ind w:left="2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2320" w:type="dxa"/>
            <w:vAlign w:val="bottom"/>
          </w:tcPr>
          <w:p>
            <w:pPr>
              <w:ind w:left="700"/>
              <w:spacing w:after="0"/>
              <w:rPr>
                <w:sz w:val="20"/>
                <w:szCs w:val="20"/>
                <w:color w:val="auto"/>
              </w:rPr>
            </w:pPr>
            <w:r>
              <w:rPr>
                <w:rFonts w:ascii="Arial" w:cs="Arial" w:eastAsia="Arial" w:hAnsi="Arial"/>
                <w:sz w:val="18"/>
                <w:szCs w:val="18"/>
                <w:color w:val="auto"/>
              </w:rPr>
              <w:t>101.LAB</w:t>
            </w:r>
          </w:p>
        </w:tc>
        <w:tc>
          <w:tcPr>
            <w:tcW w:w="8920" w:type="dxa"/>
            <w:vAlign w:val="bottom"/>
            <w:gridSpan w:val="8"/>
          </w:tcPr>
          <w:p>
            <w:pPr>
              <w:ind w:left="2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2320" w:type="dxa"/>
            <w:vAlign w:val="bottom"/>
          </w:tcPr>
          <w:p>
            <w:pPr>
              <w:ind w:left="700"/>
              <w:spacing w:after="0"/>
              <w:rPr>
                <w:sz w:val="20"/>
                <w:szCs w:val="20"/>
                <w:color w:val="auto"/>
              </w:rPr>
            </w:pPr>
            <w:r>
              <w:rPr>
                <w:rFonts w:ascii="Arial" w:cs="Arial" w:eastAsia="Arial" w:hAnsi="Arial"/>
                <w:sz w:val="18"/>
                <w:szCs w:val="18"/>
                <w:color w:val="auto"/>
              </w:rPr>
              <w:t>101.PRE</w:t>
            </w:r>
          </w:p>
        </w:tc>
        <w:tc>
          <w:tcPr>
            <w:tcW w:w="8920" w:type="dxa"/>
            <w:vAlign w:val="bottom"/>
            <w:gridSpan w:val="8"/>
          </w:tcPr>
          <w:p>
            <w:pPr>
              <w:ind w:left="2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30"/>
        </w:trPr>
        <w:tc>
          <w:tcPr>
            <w:tcW w:w="2320" w:type="dxa"/>
            <w:vAlign w:val="bottom"/>
          </w:tcPr>
          <w:p>
            <w:pPr>
              <w:ind w:left="700"/>
              <w:spacing w:after="0"/>
              <w:rPr>
                <w:sz w:val="20"/>
                <w:szCs w:val="20"/>
                <w:color w:val="auto"/>
              </w:rPr>
            </w:pPr>
            <w:r>
              <w:rPr>
                <w:rFonts w:ascii="Arial" w:cs="Arial" w:eastAsia="Arial" w:hAnsi="Arial"/>
                <w:sz w:val="18"/>
                <w:szCs w:val="18"/>
                <w:color w:val="auto"/>
              </w:rPr>
              <w:t>104</w:t>
            </w:r>
          </w:p>
        </w:tc>
        <w:tc>
          <w:tcPr>
            <w:tcW w:w="8920" w:type="dxa"/>
            <w:vAlign w:val="bottom"/>
            <w:gridSpan w:val="8"/>
          </w:tcPr>
          <w:p>
            <w:pPr>
              <w:ind w:left="2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432"/>
        </w:trPr>
        <w:tc>
          <w:tcPr>
            <w:tcW w:w="2320" w:type="dxa"/>
            <w:vAlign w:val="bottom"/>
          </w:tcPr>
          <w:p>
            <w:pPr>
              <w:spacing w:after="0"/>
              <w:rPr>
                <w:sz w:val="24"/>
                <w:szCs w:val="24"/>
                <w:color w:val="auto"/>
              </w:rPr>
            </w:pPr>
          </w:p>
        </w:tc>
        <w:tc>
          <w:tcPr>
            <w:tcW w:w="7340" w:type="dxa"/>
            <w:vAlign w:val="bottom"/>
            <w:gridSpan w:val="3"/>
          </w:tcPr>
          <w:p>
            <w:pPr>
              <w:ind w:left="322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23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5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Exhibits (10)f through (10)o, (10)s through (10)x and (10)cc are Management Contracts or Compensatory Plans or Arrangements required to be filed as Exhibits to this Annual Report on Form 10-K.</w:t>
      </w:r>
    </w:p>
    <w:p>
      <w:pPr>
        <w:spacing w:after="0" w:line="130" w:lineRule="exact"/>
        <w:rPr>
          <w:sz w:val="20"/>
          <w:szCs w:val="20"/>
          <w:color w:val="auto"/>
        </w:rPr>
      </w:pPr>
    </w:p>
    <w:p>
      <w:pPr>
        <w:ind w:left="400" w:hanging="392"/>
        <w:spacing w:after="0"/>
        <w:tabs>
          <w:tab w:leader="none" w:pos="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Certain portions of this exhibit have been omitted pursuant to a request for confidential treatment.</w:t>
      </w:r>
    </w:p>
    <w:p>
      <w:pPr>
        <w:spacing w:after="0" w:line="185"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A copy of any of the above described exhibits will be furnished to the shareholders upon written request, addressed to Director, Corporate Relations, Genesco Inc., Genesco Park, Room 498, P.O. Box 731, Nashville, Tennessee 37202-0731, accompanied by a check in the amount of $15.00 payable to Genesco Inc.</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16, FORM 10-K SUMMARY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25" w:right="6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2720" w:firstLine="3319"/>
        <w:spacing w:after="0" w:line="491" w:lineRule="auto"/>
        <w:rPr>
          <w:sz w:val="20"/>
          <w:szCs w:val="20"/>
          <w:color w:val="auto"/>
        </w:rPr>
      </w:pPr>
      <w:r>
        <w:rPr>
          <w:rFonts w:ascii="Arial" w:cs="Arial" w:eastAsia="Arial" w:hAnsi="Arial"/>
          <w:sz w:val="17"/>
          <w:szCs w:val="17"/>
          <w:b w:val="1"/>
          <w:bCs w:val="1"/>
          <w:color w:val="auto"/>
        </w:rPr>
        <w:t xml:space="preserve">Consent of Independent Registered Public Accounting Firm </w:t>
      </w:r>
      <w:r>
        <w:rPr>
          <w:rFonts w:ascii="Arial" w:cs="Arial" w:eastAsia="Arial" w:hAnsi="Arial"/>
          <w:sz w:val="17"/>
          <w:szCs w:val="17"/>
          <w:color w:val="auto"/>
        </w:rPr>
        <w:t>We consent to the incorporation by reference in the following Registration Statements:</w:t>
      </w:r>
    </w:p>
    <w:p>
      <w:pPr>
        <w:spacing w:after="0" w:line="1" w:lineRule="exact"/>
        <w:rPr>
          <w:sz w:val="20"/>
          <w:szCs w:val="20"/>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Registration statement (Form S-8 No. 333-08463) of Genesco Inc.,</w:t>
      </w:r>
    </w:p>
    <w:p>
      <w:pPr>
        <w:spacing w:after="0" w:line="184" w:lineRule="exact"/>
        <w:rPr>
          <w:rFonts w:ascii="Arial" w:cs="Arial" w:eastAsia="Arial" w:hAnsi="Arial"/>
          <w:sz w:val="18"/>
          <w:szCs w:val="18"/>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Registration statement (Form S-8 No. 333-104908) of Genesco Inc.,</w:t>
      </w:r>
    </w:p>
    <w:p>
      <w:pPr>
        <w:spacing w:after="0" w:line="184" w:lineRule="exact"/>
        <w:rPr>
          <w:rFonts w:ascii="Arial" w:cs="Arial" w:eastAsia="Arial" w:hAnsi="Arial"/>
          <w:sz w:val="18"/>
          <w:szCs w:val="18"/>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Registration statement (Form S-8 No. 333-40249) of Genesco Inc.,</w:t>
      </w:r>
    </w:p>
    <w:p>
      <w:pPr>
        <w:spacing w:after="0" w:line="198" w:lineRule="exact"/>
        <w:rPr>
          <w:rFonts w:ascii="Arial" w:cs="Arial" w:eastAsia="Arial" w:hAnsi="Arial"/>
          <w:sz w:val="18"/>
          <w:szCs w:val="18"/>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Registration statement (Form S-8 No. 333-128201) of Genesco Inc.,</w:t>
      </w:r>
    </w:p>
    <w:p>
      <w:pPr>
        <w:spacing w:after="0" w:line="184" w:lineRule="exact"/>
        <w:rPr>
          <w:rFonts w:ascii="Arial" w:cs="Arial" w:eastAsia="Arial" w:hAnsi="Arial"/>
          <w:sz w:val="18"/>
          <w:szCs w:val="18"/>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Registration statement (Form S-8 No. 333-160339) of Genesco Inc.,</w:t>
      </w:r>
    </w:p>
    <w:p>
      <w:pPr>
        <w:spacing w:after="0" w:line="184" w:lineRule="exact"/>
        <w:rPr>
          <w:rFonts w:ascii="Arial" w:cs="Arial" w:eastAsia="Arial" w:hAnsi="Arial"/>
          <w:sz w:val="18"/>
          <w:szCs w:val="18"/>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Registration statement (Form S-8 No. 333-180463) of Genesco Inc.,</w:t>
      </w:r>
    </w:p>
    <w:p>
      <w:pPr>
        <w:spacing w:after="0" w:line="198" w:lineRule="exact"/>
        <w:rPr>
          <w:rFonts w:ascii="Arial" w:cs="Arial" w:eastAsia="Arial" w:hAnsi="Arial"/>
          <w:sz w:val="18"/>
          <w:szCs w:val="18"/>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Registration statement (Form S-8 No. 333-218670) of Genesco Inc., and</w:t>
      </w:r>
    </w:p>
    <w:p>
      <w:pPr>
        <w:spacing w:after="0" w:line="184" w:lineRule="exact"/>
        <w:rPr>
          <w:rFonts w:ascii="Arial" w:cs="Arial" w:eastAsia="Arial" w:hAnsi="Arial"/>
          <w:sz w:val="18"/>
          <w:szCs w:val="18"/>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Registration statement (Form S-8 No. 333-248715) of Genesco Inc.,</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of our reports dated March 31, 2021, with respect to the consolidated financial statements of Genesco Inc. and Subsidiaries and the effectiveness of internal control over financial reporting of Genesco Inc. and Subsidiaries and included in this Annual Report (Form 10-K) of Genesco Inc. for the year ended January 30, 2021.</w:t>
      </w:r>
    </w:p>
    <w:p>
      <w:pPr>
        <w:spacing w:after="0" w:line="22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 Ernst &amp; Young LLP</w:t>
      </w:r>
    </w:p>
    <w:p>
      <w:pPr>
        <w:spacing w:after="0" w:line="7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Nashville, Tennessee</w:t>
      </w:r>
    </w:p>
    <w:p>
      <w:pPr>
        <w:spacing w:after="0" w:line="7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March 31, 2021</w:t>
      </w:r>
    </w:p>
    <w:p>
      <w:pPr>
        <w:spacing w:after="0" w:line="200" w:lineRule="exact"/>
        <w:rPr>
          <w:sz w:val="20"/>
          <w:szCs w:val="20"/>
          <w:color w:val="auto"/>
        </w:rPr>
      </w:pPr>
    </w:p>
    <w:p>
      <w:pPr>
        <w:spacing w:after="0" w:line="26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5" w:right="9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p>
        </w:tc>
        <w:tc>
          <w:tcPr>
            <w:tcW w:w="5220" w:type="dxa"/>
            <w:vAlign w:val="bottom"/>
            <w:gridSpan w:val="2"/>
          </w:tcPr>
          <w:p>
            <w:pPr>
              <w:ind w:left="140"/>
              <w:spacing w:after="0"/>
              <w:rPr>
                <w:sz w:val="20"/>
                <w:szCs w:val="20"/>
                <w:color w:val="auto"/>
              </w:rPr>
            </w:pPr>
            <w:r>
              <w:rPr>
                <w:rFonts w:ascii="Arial" w:cs="Arial" w:eastAsia="Arial" w:hAnsi="Arial"/>
                <w:sz w:val="18"/>
                <w:szCs w:val="18"/>
                <w:color w:val="auto"/>
              </w:rPr>
              <w:t>GENESCO INC.</w:t>
            </w:r>
          </w:p>
        </w:tc>
      </w:tr>
      <w:tr>
        <w:trPr>
          <w:trHeight w:val="432"/>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24"/>
                <w:szCs w:val="24"/>
                <w:color w:val="auto"/>
              </w:rPr>
            </w:pP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/s/Thomas A. George</w:t>
            </w:r>
          </w:p>
        </w:tc>
      </w:tr>
      <w:tr>
        <w:trPr>
          <w:trHeight w:val="195"/>
        </w:trPr>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Thomas A. George</w:t>
            </w: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Senior Vice President – Finance and</w:t>
            </w:r>
          </w:p>
        </w:tc>
      </w:tr>
      <w:tr>
        <w:trPr>
          <w:trHeight w:val="230"/>
        </w:trPr>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Interim 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2021</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the 16th day of March, 2021.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/s/Mimi Eckel Vaughn</w:t>
            </w:r>
          </w:p>
        </w:tc>
        <w:tc>
          <w:tcPr>
            <w:tcW w:w="3560" w:type="dxa"/>
            <w:vAlign w:val="bottom"/>
          </w:tcPr>
          <w:p>
            <w:pPr>
              <w:ind w:left="100"/>
              <w:spacing w:after="0"/>
              <w:rPr>
                <w:sz w:val="20"/>
                <w:szCs w:val="20"/>
                <w:color w:val="auto"/>
              </w:rPr>
            </w:pPr>
            <w:r>
              <w:rPr>
                <w:rFonts w:ascii="Arial" w:cs="Arial" w:eastAsia="Arial" w:hAnsi="Arial"/>
                <w:sz w:val="18"/>
                <w:szCs w:val="18"/>
                <w:color w:val="auto"/>
                <w:w w:val="91"/>
              </w:rPr>
              <w:t>Board Chair, President, Chief Executive Officer</w:t>
            </w:r>
          </w:p>
        </w:tc>
      </w:tr>
      <w:tr>
        <w:trPr>
          <w:trHeight w:val="224"/>
        </w:trPr>
        <w:tc>
          <w:tcPr>
            <w:tcW w:w="5640" w:type="dxa"/>
            <w:vAlign w:val="bottom"/>
            <w:gridSpan w:val="3"/>
          </w:tcPr>
          <w:p>
            <w:pPr>
              <w:spacing w:after="0"/>
              <w:rPr>
                <w:sz w:val="20"/>
                <w:szCs w:val="20"/>
                <w:color w:val="auto"/>
              </w:rPr>
            </w:pPr>
            <w:r>
              <w:rPr>
                <w:rFonts w:ascii="Arial" w:cs="Arial" w:eastAsia="Arial" w:hAnsi="Arial"/>
                <w:sz w:val="18"/>
                <w:szCs w:val="18"/>
                <w:color w:val="auto"/>
              </w:rPr>
              <w:t>Mimi Eckel Vaughn</w:t>
            </w:r>
          </w:p>
        </w:tc>
        <w:tc>
          <w:tcPr>
            <w:tcW w:w="356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r>
        <w:trPr>
          <w:trHeight w:val="418"/>
        </w:trPr>
        <w:tc>
          <w:tcPr>
            <w:tcW w:w="56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/s/Thomas A. George</w:t>
            </w:r>
          </w:p>
        </w:tc>
        <w:tc>
          <w:tcPr>
            <w:tcW w:w="3560" w:type="dxa"/>
            <w:vAlign w:val="bottom"/>
          </w:tcPr>
          <w:p>
            <w:pPr>
              <w:ind w:left="100"/>
              <w:spacing w:after="0"/>
              <w:rPr>
                <w:sz w:val="20"/>
                <w:szCs w:val="20"/>
                <w:color w:val="auto"/>
              </w:rPr>
            </w:pPr>
            <w:r>
              <w:rPr>
                <w:rFonts w:ascii="Arial" w:cs="Arial" w:eastAsia="Arial" w:hAnsi="Arial"/>
                <w:sz w:val="18"/>
                <w:szCs w:val="18"/>
                <w:color w:val="auto"/>
              </w:rPr>
              <w:t>Senior Vice President – Finance and</w:t>
            </w:r>
          </w:p>
        </w:tc>
      </w:tr>
      <w:tr>
        <w:trPr>
          <w:trHeight w:val="195"/>
        </w:trPr>
        <w:tc>
          <w:tcPr>
            <w:tcW w:w="5640" w:type="dxa"/>
            <w:vAlign w:val="bottom"/>
            <w:gridSpan w:val="3"/>
          </w:tcPr>
          <w:p>
            <w:pPr>
              <w:spacing w:after="0" w:line="195" w:lineRule="exact"/>
              <w:rPr>
                <w:sz w:val="20"/>
                <w:szCs w:val="20"/>
                <w:color w:val="auto"/>
              </w:rPr>
            </w:pPr>
            <w:r>
              <w:rPr>
                <w:rFonts w:ascii="Arial" w:cs="Arial" w:eastAsia="Arial" w:hAnsi="Arial"/>
                <w:sz w:val="18"/>
                <w:szCs w:val="18"/>
                <w:color w:val="auto"/>
              </w:rPr>
              <w:t>Thomas A. George</w:t>
            </w:r>
          </w:p>
        </w:tc>
        <w:tc>
          <w:tcPr>
            <w:tcW w:w="3560" w:type="dxa"/>
            <w:vAlign w:val="bottom"/>
          </w:tcPr>
          <w:p>
            <w:pPr>
              <w:ind w:left="100"/>
              <w:spacing w:after="0" w:line="195" w:lineRule="exact"/>
              <w:rPr>
                <w:sz w:val="20"/>
                <w:szCs w:val="20"/>
                <w:color w:val="auto"/>
              </w:rPr>
            </w:pPr>
            <w:r>
              <w:rPr>
                <w:rFonts w:ascii="Arial" w:cs="Arial" w:eastAsia="Arial" w:hAnsi="Arial"/>
                <w:sz w:val="18"/>
                <w:szCs w:val="18"/>
                <w:color w:val="auto"/>
              </w:rPr>
              <w:t>Interim Chief Financial Officer</w:t>
            </w:r>
          </w:p>
        </w:tc>
      </w:tr>
      <w:tr>
        <w:trPr>
          <w:trHeight w:val="230"/>
        </w:trPr>
        <w:tc>
          <w:tcPr>
            <w:tcW w:w="70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rPr>
              <w:t>(Principal Financial Officer)</w:t>
            </w:r>
          </w:p>
        </w:tc>
      </w:tr>
      <w:tr>
        <w:trPr>
          <w:trHeight w:val="432"/>
        </w:trPr>
        <w:tc>
          <w:tcPr>
            <w:tcW w:w="56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/s/Brently G. Baxter</w:t>
            </w:r>
          </w:p>
        </w:tc>
        <w:tc>
          <w:tcPr>
            <w:tcW w:w="3560" w:type="dxa"/>
            <w:vAlign w:val="bottom"/>
          </w:tcPr>
          <w:p>
            <w:pPr>
              <w:ind w:left="100"/>
              <w:spacing w:after="0"/>
              <w:rPr>
                <w:sz w:val="20"/>
                <w:szCs w:val="20"/>
                <w:color w:val="auto"/>
              </w:rPr>
            </w:pPr>
            <w:r>
              <w:rPr>
                <w:rFonts w:ascii="Arial" w:cs="Arial" w:eastAsia="Arial" w:hAnsi="Arial"/>
                <w:sz w:val="18"/>
                <w:szCs w:val="18"/>
                <w:color w:val="auto"/>
                <w:w w:val="98"/>
              </w:rPr>
              <w:t>Vice President and Chief Accounting Officer</w:t>
            </w:r>
          </w:p>
        </w:tc>
      </w:tr>
      <w:tr>
        <w:trPr>
          <w:trHeight w:val="224"/>
        </w:trPr>
        <w:tc>
          <w:tcPr>
            <w:tcW w:w="5640" w:type="dxa"/>
            <w:vAlign w:val="bottom"/>
            <w:gridSpan w:val="3"/>
          </w:tcPr>
          <w:p>
            <w:pPr>
              <w:spacing w:after="0"/>
              <w:rPr>
                <w:sz w:val="20"/>
                <w:szCs w:val="20"/>
                <w:color w:val="auto"/>
              </w:rPr>
            </w:pPr>
            <w:r>
              <w:rPr>
                <w:rFonts w:ascii="Arial" w:cs="Arial" w:eastAsia="Arial" w:hAnsi="Arial"/>
                <w:sz w:val="18"/>
                <w:szCs w:val="18"/>
                <w:color w:val="auto"/>
              </w:rPr>
              <w:t>Brently G. Baxter</w:t>
            </w:r>
          </w:p>
        </w:tc>
        <w:tc>
          <w:tcPr>
            <w:tcW w:w="3560" w:type="dxa"/>
            <w:vAlign w:val="bottom"/>
          </w:tcPr>
          <w:p>
            <w:pPr>
              <w:ind w:left="100"/>
              <w:spacing w:after="0"/>
              <w:rPr>
                <w:sz w:val="20"/>
                <w:szCs w:val="20"/>
                <w:color w:val="auto"/>
              </w:rPr>
            </w:pPr>
            <w:r>
              <w:rPr>
                <w:rFonts w:ascii="Arial" w:cs="Arial" w:eastAsia="Arial" w:hAnsi="Arial"/>
                <w:sz w:val="18"/>
                <w:szCs w:val="18"/>
                <w:color w:val="auto"/>
              </w:rPr>
              <w:t>(Principal Accounting Officer)</w:t>
            </w:r>
          </w:p>
        </w:tc>
      </w:tr>
      <w:tr>
        <w:trPr>
          <w:trHeight w:val="403"/>
        </w:trPr>
        <w:tc>
          <w:tcPr>
            <w:tcW w:w="5640" w:type="dxa"/>
            <w:vAlign w:val="bottom"/>
            <w:gridSpan w:val="3"/>
          </w:tcPr>
          <w:p>
            <w:pPr>
              <w:spacing w:after="0"/>
              <w:rPr>
                <w:sz w:val="20"/>
                <w:szCs w:val="20"/>
                <w:color w:val="auto"/>
              </w:rPr>
            </w:pPr>
            <w:r>
              <w:rPr>
                <w:rFonts w:ascii="Arial" w:cs="Arial" w:eastAsia="Arial" w:hAnsi="Arial"/>
                <w:sz w:val="18"/>
                <w:szCs w:val="18"/>
                <w:color w:val="auto"/>
              </w:rPr>
              <w:t>Directors:</w:t>
            </w:r>
          </w:p>
        </w:tc>
        <w:tc>
          <w:tcPr>
            <w:tcW w:w="3560" w:type="dxa"/>
            <w:vAlign w:val="bottom"/>
          </w:tcPr>
          <w:p>
            <w:pPr>
              <w:spacing w:after="0"/>
              <w:rPr>
                <w:sz w:val="24"/>
                <w:szCs w:val="24"/>
                <w:color w:val="auto"/>
              </w:rPr>
            </w:pPr>
          </w:p>
        </w:tc>
      </w:tr>
      <w:tr>
        <w:trPr>
          <w:trHeight w:val="230"/>
        </w:trPr>
        <w:tc>
          <w:tcPr>
            <w:tcW w:w="5640" w:type="dxa"/>
            <w:vAlign w:val="bottom"/>
            <w:gridSpan w:val="3"/>
          </w:tcPr>
          <w:p>
            <w:pPr>
              <w:spacing w:after="0"/>
              <w:rPr>
                <w:sz w:val="20"/>
                <w:szCs w:val="20"/>
                <w:color w:val="auto"/>
              </w:rPr>
            </w:pPr>
            <w:r>
              <w:rPr>
                <w:rFonts w:ascii="Arial" w:cs="Arial" w:eastAsia="Arial" w:hAnsi="Arial"/>
                <w:sz w:val="18"/>
                <w:szCs w:val="18"/>
                <w:color w:val="auto"/>
              </w:rPr>
              <w:t>Joanna Barsh*</w:t>
            </w:r>
          </w:p>
        </w:tc>
        <w:tc>
          <w:tcPr>
            <w:tcW w:w="3560" w:type="dxa"/>
            <w:vAlign w:val="bottom"/>
          </w:tcPr>
          <w:p>
            <w:pPr>
              <w:ind w:left="100"/>
              <w:spacing w:after="0"/>
              <w:rPr>
                <w:sz w:val="20"/>
                <w:szCs w:val="20"/>
                <w:color w:val="auto"/>
              </w:rPr>
            </w:pPr>
            <w:r>
              <w:rPr>
                <w:rFonts w:ascii="Arial" w:cs="Arial" w:eastAsia="Arial" w:hAnsi="Arial"/>
                <w:sz w:val="18"/>
                <w:szCs w:val="18"/>
                <w:color w:val="auto"/>
              </w:rPr>
              <w:t>Thurgood Marshall, Jr. *</w:t>
            </w:r>
          </w:p>
        </w:tc>
      </w:tr>
      <w:tr>
        <w:trPr>
          <w:trHeight w:val="432"/>
        </w:trPr>
        <w:tc>
          <w:tcPr>
            <w:tcW w:w="5640" w:type="dxa"/>
            <w:vAlign w:val="bottom"/>
            <w:gridSpan w:val="3"/>
          </w:tcPr>
          <w:p>
            <w:pPr>
              <w:spacing w:after="0"/>
              <w:rPr>
                <w:sz w:val="20"/>
                <w:szCs w:val="20"/>
                <w:color w:val="auto"/>
              </w:rPr>
            </w:pPr>
            <w:r>
              <w:rPr>
                <w:rFonts w:ascii="Arial" w:cs="Arial" w:eastAsia="Arial" w:hAnsi="Arial"/>
                <w:sz w:val="18"/>
                <w:szCs w:val="18"/>
                <w:color w:val="auto"/>
              </w:rPr>
              <w:t>Matthew C. Diamond*</w:t>
            </w:r>
          </w:p>
        </w:tc>
        <w:tc>
          <w:tcPr>
            <w:tcW w:w="3560" w:type="dxa"/>
            <w:vAlign w:val="bottom"/>
          </w:tcPr>
          <w:p>
            <w:pPr>
              <w:ind w:left="100"/>
              <w:spacing w:after="0"/>
              <w:rPr>
                <w:sz w:val="20"/>
                <w:szCs w:val="20"/>
                <w:color w:val="auto"/>
              </w:rPr>
            </w:pPr>
            <w:r>
              <w:rPr>
                <w:rFonts w:ascii="Arial" w:cs="Arial" w:eastAsia="Arial" w:hAnsi="Arial"/>
                <w:sz w:val="18"/>
                <w:szCs w:val="18"/>
                <w:color w:val="auto"/>
              </w:rPr>
              <w:t>Kathleen Mason*</w:t>
            </w:r>
          </w:p>
        </w:tc>
      </w:tr>
      <w:tr>
        <w:trPr>
          <w:trHeight w:val="432"/>
        </w:trPr>
        <w:tc>
          <w:tcPr>
            <w:tcW w:w="5640" w:type="dxa"/>
            <w:vAlign w:val="bottom"/>
            <w:gridSpan w:val="3"/>
          </w:tcPr>
          <w:p>
            <w:pPr>
              <w:spacing w:after="0"/>
              <w:rPr>
                <w:sz w:val="20"/>
                <w:szCs w:val="20"/>
                <w:color w:val="auto"/>
              </w:rPr>
            </w:pPr>
            <w:r>
              <w:rPr>
                <w:rFonts w:ascii="Arial" w:cs="Arial" w:eastAsia="Arial" w:hAnsi="Arial"/>
                <w:sz w:val="18"/>
                <w:szCs w:val="18"/>
                <w:color w:val="auto"/>
              </w:rPr>
              <w:t>Marty G. Dickens *</w:t>
            </w:r>
          </w:p>
        </w:tc>
        <w:tc>
          <w:tcPr>
            <w:tcW w:w="3560" w:type="dxa"/>
            <w:vAlign w:val="bottom"/>
          </w:tcPr>
          <w:p>
            <w:pPr>
              <w:ind w:left="100"/>
              <w:spacing w:after="0"/>
              <w:rPr>
                <w:sz w:val="20"/>
                <w:szCs w:val="20"/>
                <w:color w:val="auto"/>
              </w:rPr>
            </w:pPr>
            <w:r>
              <w:rPr>
                <w:rFonts w:ascii="Arial" w:cs="Arial" w:eastAsia="Arial" w:hAnsi="Arial"/>
                <w:sz w:val="18"/>
                <w:szCs w:val="18"/>
                <w:color w:val="auto"/>
              </w:rPr>
              <w:t>Kevin P. McDermott*</w:t>
            </w:r>
          </w:p>
        </w:tc>
      </w:tr>
      <w:tr>
        <w:trPr>
          <w:trHeight w:val="432"/>
        </w:trPr>
        <w:tc>
          <w:tcPr>
            <w:tcW w:w="5640" w:type="dxa"/>
            <w:vAlign w:val="bottom"/>
            <w:gridSpan w:val="3"/>
          </w:tcPr>
          <w:p>
            <w:pPr>
              <w:spacing w:after="0"/>
              <w:rPr>
                <w:sz w:val="20"/>
                <w:szCs w:val="20"/>
                <w:color w:val="auto"/>
              </w:rPr>
            </w:pPr>
            <w:r>
              <w:rPr>
                <w:rFonts w:ascii="Arial" w:cs="Arial" w:eastAsia="Arial" w:hAnsi="Arial"/>
                <w:sz w:val="18"/>
                <w:szCs w:val="18"/>
                <w:color w:val="auto"/>
              </w:rPr>
              <w:t>John F. Lambros*</w:t>
            </w:r>
          </w:p>
        </w:tc>
        <w:tc>
          <w:tcPr>
            <w:tcW w:w="3560" w:type="dxa"/>
            <w:vAlign w:val="bottom"/>
          </w:tcPr>
          <w:p>
            <w:pPr>
              <w:spacing w:after="0"/>
              <w:rPr>
                <w:sz w:val="24"/>
                <w:szCs w:val="24"/>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gridSpan w:val="2"/>
          </w:tcPr>
          <w:p>
            <w:pPr>
              <w:spacing w:after="0"/>
              <w:rPr>
                <w:sz w:val="20"/>
                <w:szCs w:val="20"/>
                <w:color w:val="auto"/>
              </w:rPr>
            </w:pPr>
            <w:r>
              <w:rPr>
                <w:rFonts w:ascii="Arial" w:cs="Arial" w:eastAsia="Arial" w:hAnsi="Arial"/>
                <w:sz w:val="18"/>
                <w:szCs w:val="18"/>
                <w:color w:val="auto"/>
              </w:rPr>
              <w:t>/s/Scott E. Becker</w:t>
            </w:r>
          </w:p>
        </w:tc>
        <w:tc>
          <w:tcPr>
            <w:tcW w:w="3560" w:type="dxa"/>
            <w:vAlign w:val="bottom"/>
          </w:tcPr>
          <w:p>
            <w:pPr>
              <w:spacing w:after="0"/>
              <w:rPr>
                <w:sz w:val="24"/>
                <w:szCs w:val="24"/>
                <w:color w:val="auto"/>
              </w:rPr>
            </w:pPr>
          </w:p>
        </w:tc>
      </w:tr>
      <w:tr>
        <w:trPr>
          <w:trHeight w:val="195"/>
        </w:trPr>
        <w:tc>
          <w:tcPr>
            <w:tcW w:w="700" w:type="dxa"/>
            <w:vAlign w:val="bottom"/>
          </w:tcPr>
          <w:p>
            <w:pPr>
              <w:spacing w:after="0"/>
              <w:rPr>
                <w:sz w:val="16"/>
                <w:szCs w:val="16"/>
                <w:color w:val="auto"/>
              </w:rPr>
            </w:pPr>
          </w:p>
        </w:tc>
        <w:tc>
          <w:tcPr>
            <w:tcW w:w="4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Scott E. Becker</w:t>
            </w:r>
          </w:p>
        </w:tc>
        <w:tc>
          <w:tcPr>
            <w:tcW w:w="20" w:type="dxa"/>
            <w:vAlign w:val="bottom"/>
          </w:tcPr>
          <w:p>
            <w:pPr>
              <w:spacing w:after="0"/>
              <w:rPr>
                <w:sz w:val="16"/>
                <w:szCs w:val="16"/>
                <w:color w:val="auto"/>
              </w:rPr>
            </w:pPr>
          </w:p>
        </w:tc>
        <w:tc>
          <w:tcPr>
            <w:tcW w:w="3560" w:type="dxa"/>
            <w:vAlign w:val="bottom"/>
          </w:tcPr>
          <w:p>
            <w:pPr>
              <w:spacing w:after="0"/>
              <w:rPr>
                <w:sz w:val="16"/>
                <w:szCs w:val="16"/>
                <w:color w:val="auto"/>
              </w:rPr>
            </w:pPr>
          </w:p>
        </w:tc>
      </w:tr>
      <w:tr>
        <w:trPr>
          <w:trHeight w:val="230"/>
        </w:trPr>
        <w:tc>
          <w:tcPr>
            <w:tcW w:w="700" w:type="dxa"/>
            <w:vAlign w:val="bottom"/>
          </w:tcPr>
          <w:p>
            <w:pPr>
              <w:spacing w:after="0"/>
              <w:rPr>
                <w:sz w:val="20"/>
                <w:szCs w:val="20"/>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Attorney-In-Fact</w:t>
            </w:r>
          </w:p>
        </w:tc>
        <w:tc>
          <w:tcPr>
            <w:tcW w:w="35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Genesco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and Subsidiaries</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Financial Statement Schedule</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January 30, 2021</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07"/>
        </w:trPr>
        <w:tc>
          <w:tcPr>
            <w:tcW w:w="414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668"/>
        </w:trPr>
        <w:tc>
          <w:tcPr>
            <w:tcW w:w="1280" w:type="dxa"/>
            <w:vAlign w:val="bottom"/>
            <w:tcBorders>
              <w:top w:val="single" w:sz="8" w:color="0000EE"/>
            </w:tcBorders>
          </w:tcPr>
          <w:p>
            <w:pPr>
              <w:spacing w:after="0"/>
              <w:rPr>
                <w:sz w:val="24"/>
                <w:szCs w:val="24"/>
                <w:color w:val="auto"/>
              </w:rPr>
            </w:pPr>
          </w:p>
        </w:tc>
        <w:tc>
          <w:tcPr>
            <w:tcW w:w="10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center"/>
              <w:ind w:left="90"/>
              <w:spacing w:after="0"/>
              <w:rPr>
                <w:sz w:val="20"/>
                <w:szCs w:val="20"/>
                <w:color w:val="auto"/>
              </w:rPr>
            </w:pPr>
            <w:r>
              <w:rPr>
                <w:rFonts w:ascii="Arial" w:cs="Arial" w:eastAsia="Arial" w:hAnsi="Arial"/>
                <w:sz w:val="18"/>
                <w:szCs w:val="18"/>
                <w:b w:val="1"/>
                <w:bCs w:val="1"/>
                <w:color w:val="auto"/>
                <w:w w:val="86"/>
              </w:rPr>
              <w:t>Schedule 2</w:t>
            </w:r>
          </w:p>
        </w:tc>
      </w:tr>
      <w:tr>
        <w:trPr>
          <w:trHeight w:val="373"/>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0" w:type="dxa"/>
            <w:vAlign w:val="bottom"/>
          </w:tcPr>
          <w:p>
            <w:pPr>
              <w:jc w:val="center"/>
              <w:ind w:left="890"/>
              <w:spacing w:after="0"/>
              <w:rPr>
                <w:sz w:val="20"/>
                <w:szCs w:val="20"/>
                <w:color w:val="auto"/>
              </w:rPr>
            </w:pPr>
            <w:r>
              <w:rPr>
                <w:rFonts w:ascii="Arial" w:cs="Arial" w:eastAsia="Arial" w:hAnsi="Arial"/>
                <w:sz w:val="18"/>
                <w:szCs w:val="18"/>
                <w:b w:val="1"/>
                <w:bCs w:val="1"/>
                <w:color w:val="auto"/>
                <w:w w:val="87"/>
              </w:rPr>
              <w:t>Genesco Inc.</w:t>
            </w: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0"/>
        </w:trPr>
        <w:tc>
          <w:tcPr>
            <w:tcW w:w="1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and Subsidiaries</w:t>
            </w: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1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940" w:type="dxa"/>
            <w:vAlign w:val="bottom"/>
            <w:gridSpan w:val="2"/>
          </w:tcPr>
          <w:p>
            <w:pPr>
              <w:jc w:val="center"/>
              <w:spacing w:after="0"/>
              <w:rPr>
                <w:sz w:val="20"/>
                <w:szCs w:val="20"/>
                <w:color w:val="auto"/>
              </w:rPr>
            </w:pPr>
            <w:r>
              <w:rPr>
                <w:rFonts w:ascii="Arial" w:cs="Arial" w:eastAsia="Arial" w:hAnsi="Arial"/>
                <w:sz w:val="18"/>
                <w:szCs w:val="18"/>
                <w:color w:val="auto"/>
                <w:w w:val="92"/>
              </w:rPr>
              <w:t>Valuation and Qualifying Accounts</w:t>
            </w: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64"/>
        </w:trPr>
        <w:tc>
          <w:tcPr>
            <w:tcW w:w="4140" w:type="dxa"/>
            <w:vAlign w:val="bottom"/>
            <w:gridSpan w:val="3"/>
          </w:tcPr>
          <w:p>
            <w:pPr>
              <w:spacing w:after="0"/>
              <w:rPr>
                <w:sz w:val="20"/>
                <w:szCs w:val="20"/>
                <w:color w:val="auto"/>
              </w:rPr>
            </w:pPr>
            <w:r>
              <w:rPr>
                <w:rFonts w:ascii="Arial" w:cs="Arial" w:eastAsia="Arial" w:hAnsi="Arial"/>
                <w:sz w:val="18"/>
                <w:szCs w:val="18"/>
                <w:b w:val="1"/>
                <w:bCs w:val="1"/>
                <w:color w:val="auto"/>
              </w:rPr>
              <w:t>Year Ended January 30, 2021</w:t>
            </w:r>
          </w:p>
        </w:tc>
        <w:tc>
          <w:tcPr>
            <w:tcW w:w="2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48"/>
        </w:trPr>
        <w:tc>
          <w:tcPr>
            <w:tcW w:w="1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8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Charged</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Beginning</w:t>
            </w:r>
          </w:p>
        </w:tc>
        <w:tc>
          <w:tcPr>
            <w:tcW w:w="40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to Profit</w:t>
            </w:r>
          </w:p>
        </w:tc>
        <w:tc>
          <w:tcPr>
            <w:tcW w:w="260" w:type="dxa"/>
            <w:vAlign w:val="bottom"/>
          </w:tcPr>
          <w:p>
            <w:pPr>
              <w:spacing w:after="0"/>
              <w:rPr>
                <w:sz w:val="18"/>
                <w:szCs w:val="18"/>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b w:val="1"/>
                <w:bCs w:val="1"/>
                <w:color w:val="auto"/>
              </w:rPr>
              <w:t>Additions</w:t>
            </w:r>
          </w:p>
        </w:tc>
        <w:tc>
          <w:tcPr>
            <w:tcW w:w="340" w:type="dxa"/>
            <w:vAlign w:val="bottom"/>
          </w:tcPr>
          <w:p>
            <w:pPr>
              <w:spacing w:after="0"/>
              <w:rPr>
                <w:sz w:val="18"/>
                <w:szCs w:val="18"/>
                <w:color w:val="auto"/>
              </w:rPr>
            </w:pPr>
          </w:p>
        </w:tc>
        <w:tc>
          <w:tcPr>
            <w:tcW w:w="1000" w:type="dxa"/>
            <w:vAlign w:val="bottom"/>
          </w:tcPr>
          <w:p>
            <w:pPr>
              <w:jc w:val="center"/>
              <w:ind w:left="110"/>
              <w:spacing w:after="0"/>
              <w:rPr>
                <w:sz w:val="20"/>
                <w:szCs w:val="20"/>
                <w:color w:val="auto"/>
              </w:rPr>
            </w:pPr>
            <w:r>
              <w:rPr>
                <w:rFonts w:ascii="Arial" w:cs="Arial" w:eastAsia="Arial" w:hAnsi="Arial"/>
                <w:sz w:val="18"/>
                <w:szCs w:val="18"/>
                <w:b w:val="1"/>
                <w:bCs w:val="1"/>
                <w:color w:val="auto"/>
                <w:w w:val="91"/>
              </w:rPr>
              <w:t>Ending</w:t>
            </w:r>
          </w:p>
        </w:tc>
      </w:tr>
      <w:tr>
        <w:trPr>
          <w:trHeight w:val="234"/>
        </w:trPr>
        <w:tc>
          <w:tcPr>
            <w:tcW w:w="41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(In thousands)</w:t>
            </w:r>
          </w:p>
        </w:tc>
        <w:tc>
          <w:tcPr>
            <w:tcW w:w="20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Balance</w:t>
            </w:r>
          </w:p>
        </w:tc>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and Loss</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89"/>
              </w:rPr>
              <w:t>(Reductions)</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9"/>
              </w:rPr>
              <w:t>Balance</w:t>
            </w:r>
          </w:p>
        </w:tc>
      </w:tr>
      <w:tr>
        <w:trPr>
          <w:trHeight w:val="223"/>
        </w:trPr>
        <w:tc>
          <w:tcPr>
            <w:tcW w:w="4140" w:type="dxa"/>
            <w:vAlign w:val="bottom"/>
            <w:gridSpan w:val="3"/>
            <w:shd w:val="clear" w:color="auto" w:fill="CFF0FC"/>
          </w:tcPr>
          <w:p>
            <w:pPr>
              <w:spacing w:after="0"/>
              <w:rPr>
                <w:sz w:val="20"/>
                <w:szCs w:val="20"/>
                <w:color w:val="auto"/>
              </w:rPr>
            </w:pPr>
            <w:r>
              <w:rPr>
                <w:rFonts w:ascii="Arial" w:cs="Arial" w:eastAsia="Arial" w:hAnsi="Arial"/>
                <w:sz w:val="18"/>
                <w:szCs w:val="18"/>
                <w:color w:val="auto"/>
                <w:w w:val="93"/>
              </w:rPr>
              <w:t>Allowances deducted from assets in the balance sheet:</w:t>
            </w:r>
          </w:p>
        </w:tc>
        <w:tc>
          <w:tcPr>
            <w:tcW w:w="20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r>
      <w:tr>
        <w:trPr>
          <w:trHeight w:val="270"/>
        </w:trPr>
        <w:tc>
          <w:tcPr>
            <w:tcW w:w="41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Accounts Receivable Allowances</w:t>
            </w:r>
          </w:p>
        </w:tc>
        <w:tc>
          <w:tcPr>
            <w:tcW w:w="2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2,940</w:t>
            </w:r>
          </w:p>
        </w:tc>
        <w:tc>
          <w:tcPr>
            <w:tcW w:w="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2,606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(531)</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5,015</w:t>
            </w:r>
          </w:p>
        </w:tc>
      </w:tr>
      <w:tr>
        <w:trPr>
          <w:trHeight w:val="210"/>
        </w:trPr>
        <w:tc>
          <w:tcPr>
            <w:tcW w:w="4140" w:type="dxa"/>
            <w:vAlign w:val="bottom"/>
            <w:tcBorders>
              <w:bottom w:val="single" w:sz="8" w:color="auto"/>
            </w:tcBorders>
            <w:gridSpan w:val="3"/>
            <w:shd w:val="clear" w:color="auto" w:fill="CFF0FC"/>
          </w:tcPr>
          <w:p>
            <w:pPr>
              <w:spacing w:after="0"/>
              <w:rPr>
                <w:sz w:val="20"/>
                <w:szCs w:val="20"/>
                <w:color w:val="auto"/>
              </w:rPr>
            </w:pPr>
            <w:r>
              <w:rPr>
                <w:rFonts w:ascii="Arial" w:cs="Arial" w:eastAsia="Arial" w:hAnsi="Arial"/>
                <w:sz w:val="18"/>
                <w:szCs w:val="18"/>
                <w:b w:val="1"/>
                <w:bCs w:val="1"/>
                <w:color w:val="auto"/>
              </w:rPr>
              <w:t xml:space="preserve">Markdown Allowance </w:t>
            </w:r>
            <w:r>
              <w:rPr>
                <w:rFonts w:ascii="Arial" w:cs="Arial" w:eastAsia="Arial" w:hAnsi="Arial"/>
                <w:sz w:val="15"/>
                <w:szCs w:val="15"/>
                <w:b w:val="1"/>
                <w:bCs w:val="1"/>
                <w:color w:val="auto"/>
              </w:rPr>
              <w:t>(1)</w:t>
            </w:r>
          </w:p>
        </w:tc>
        <w:tc>
          <w:tcPr>
            <w:tcW w:w="20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5,559</w:t>
            </w:r>
          </w:p>
        </w:tc>
        <w:tc>
          <w:tcPr>
            <w:tcW w:w="4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11,080</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(1,688)</w:t>
            </w:r>
          </w:p>
        </w:tc>
        <w:tc>
          <w:tcPr>
            <w:tcW w:w="3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14,951</w:t>
            </w: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372"/>
        </w:trPr>
        <w:tc>
          <w:tcPr>
            <w:tcW w:w="4140" w:type="dxa"/>
            <w:vAlign w:val="bottom"/>
            <w:gridSpan w:val="3"/>
          </w:tcPr>
          <w:p>
            <w:pPr>
              <w:spacing w:after="0"/>
              <w:rPr>
                <w:sz w:val="20"/>
                <w:szCs w:val="20"/>
                <w:color w:val="auto"/>
              </w:rPr>
            </w:pPr>
            <w:r>
              <w:rPr>
                <w:rFonts w:ascii="Arial" w:cs="Arial" w:eastAsia="Arial" w:hAnsi="Arial"/>
                <w:sz w:val="18"/>
                <w:szCs w:val="18"/>
                <w:b w:val="1"/>
                <w:bCs w:val="1"/>
                <w:color w:val="auto"/>
              </w:rPr>
              <w:t>Year Ended February 1, 2020</w:t>
            </w:r>
          </w:p>
        </w:tc>
        <w:tc>
          <w:tcPr>
            <w:tcW w:w="2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48"/>
        </w:trPr>
        <w:tc>
          <w:tcPr>
            <w:tcW w:w="1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8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Charged</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Beginning</w:t>
            </w:r>
          </w:p>
        </w:tc>
        <w:tc>
          <w:tcPr>
            <w:tcW w:w="40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to Profit</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center"/>
              <w:ind w:left="110"/>
              <w:spacing w:after="0"/>
              <w:rPr>
                <w:sz w:val="20"/>
                <w:szCs w:val="20"/>
                <w:color w:val="auto"/>
              </w:rPr>
            </w:pPr>
            <w:r>
              <w:rPr>
                <w:rFonts w:ascii="Arial" w:cs="Arial" w:eastAsia="Arial" w:hAnsi="Arial"/>
                <w:sz w:val="18"/>
                <w:szCs w:val="18"/>
                <w:b w:val="1"/>
                <w:bCs w:val="1"/>
                <w:color w:val="auto"/>
                <w:w w:val="91"/>
              </w:rPr>
              <w:t>Ending</w:t>
            </w:r>
          </w:p>
        </w:tc>
      </w:tr>
      <w:tr>
        <w:trPr>
          <w:trHeight w:val="234"/>
        </w:trPr>
        <w:tc>
          <w:tcPr>
            <w:tcW w:w="41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(In thousands)</w:t>
            </w:r>
          </w:p>
        </w:tc>
        <w:tc>
          <w:tcPr>
            <w:tcW w:w="20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Balance</w:t>
            </w:r>
          </w:p>
        </w:tc>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and Loss</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Reductions</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9"/>
              </w:rPr>
              <w:t>Balance</w:t>
            </w:r>
          </w:p>
        </w:tc>
      </w:tr>
      <w:tr>
        <w:trPr>
          <w:trHeight w:val="223"/>
        </w:trPr>
        <w:tc>
          <w:tcPr>
            <w:tcW w:w="4140" w:type="dxa"/>
            <w:vAlign w:val="bottom"/>
            <w:gridSpan w:val="3"/>
            <w:shd w:val="clear" w:color="auto" w:fill="CFF0FC"/>
          </w:tcPr>
          <w:p>
            <w:pPr>
              <w:spacing w:after="0"/>
              <w:rPr>
                <w:sz w:val="20"/>
                <w:szCs w:val="20"/>
                <w:color w:val="auto"/>
              </w:rPr>
            </w:pPr>
            <w:r>
              <w:rPr>
                <w:rFonts w:ascii="Arial" w:cs="Arial" w:eastAsia="Arial" w:hAnsi="Arial"/>
                <w:sz w:val="18"/>
                <w:szCs w:val="18"/>
                <w:color w:val="auto"/>
                <w:w w:val="93"/>
              </w:rPr>
              <w:t>Allowances deducted from assets in the balance sheet:</w:t>
            </w:r>
          </w:p>
        </w:tc>
        <w:tc>
          <w:tcPr>
            <w:tcW w:w="20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r>
      <w:tr>
        <w:trPr>
          <w:trHeight w:val="270"/>
        </w:trPr>
        <w:tc>
          <w:tcPr>
            <w:tcW w:w="41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Accounts Receivable Allowances</w:t>
            </w:r>
          </w:p>
        </w:tc>
        <w:tc>
          <w:tcPr>
            <w:tcW w:w="2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2,894</w:t>
            </w:r>
          </w:p>
        </w:tc>
        <w:tc>
          <w:tcPr>
            <w:tcW w:w="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2,940</w:t>
            </w:r>
          </w:p>
        </w:tc>
      </w:tr>
      <w:tr>
        <w:trPr>
          <w:trHeight w:val="210"/>
        </w:trPr>
        <w:tc>
          <w:tcPr>
            <w:tcW w:w="4140" w:type="dxa"/>
            <w:vAlign w:val="bottom"/>
            <w:tcBorders>
              <w:bottom w:val="single" w:sz="8" w:color="auto"/>
            </w:tcBorders>
            <w:gridSpan w:val="3"/>
            <w:shd w:val="clear" w:color="auto" w:fill="CFF0FC"/>
          </w:tcPr>
          <w:p>
            <w:pPr>
              <w:spacing w:after="0"/>
              <w:rPr>
                <w:sz w:val="20"/>
                <w:szCs w:val="20"/>
                <w:color w:val="auto"/>
              </w:rPr>
            </w:pPr>
            <w:r>
              <w:rPr>
                <w:rFonts w:ascii="Arial" w:cs="Arial" w:eastAsia="Arial" w:hAnsi="Arial"/>
                <w:sz w:val="18"/>
                <w:szCs w:val="18"/>
                <w:color w:val="auto"/>
              </w:rPr>
              <w:t xml:space="preserve">Markdown Allowance </w:t>
            </w:r>
            <w:r>
              <w:rPr>
                <w:rFonts w:ascii="Arial" w:cs="Arial" w:eastAsia="Arial" w:hAnsi="Arial"/>
                <w:sz w:val="15"/>
                <w:szCs w:val="15"/>
                <w:color w:val="auto"/>
              </w:rPr>
              <w:t>(1)</w:t>
            </w:r>
          </w:p>
        </w:tc>
        <w:tc>
          <w:tcPr>
            <w:tcW w:w="20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7,019</w:t>
            </w:r>
          </w:p>
        </w:tc>
        <w:tc>
          <w:tcPr>
            <w:tcW w:w="4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1,579</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(3,039)</w:t>
            </w:r>
          </w:p>
        </w:tc>
        <w:tc>
          <w:tcPr>
            <w:tcW w:w="3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5,559</w:t>
            </w: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372"/>
        </w:trPr>
        <w:tc>
          <w:tcPr>
            <w:tcW w:w="4140" w:type="dxa"/>
            <w:vAlign w:val="bottom"/>
            <w:gridSpan w:val="3"/>
          </w:tcPr>
          <w:p>
            <w:pPr>
              <w:spacing w:after="0"/>
              <w:rPr>
                <w:sz w:val="20"/>
                <w:szCs w:val="20"/>
                <w:color w:val="auto"/>
              </w:rPr>
            </w:pPr>
            <w:r>
              <w:rPr>
                <w:rFonts w:ascii="Arial" w:cs="Arial" w:eastAsia="Arial" w:hAnsi="Arial"/>
                <w:sz w:val="18"/>
                <w:szCs w:val="18"/>
                <w:b w:val="1"/>
                <w:bCs w:val="1"/>
                <w:color w:val="auto"/>
              </w:rPr>
              <w:t>Year Ended February 2, 2019</w:t>
            </w:r>
          </w:p>
        </w:tc>
        <w:tc>
          <w:tcPr>
            <w:tcW w:w="2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48"/>
        </w:trPr>
        <w:tc>
          <w:tcPr>
            <w:tcW w:w="1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8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Charged</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Beginning</w:t>
            </w:r>
          </w:p>
        </w:tc>
        <w:tc>
          <w:tcPr>
            <w:tcW w:w="40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to Profit</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center"/>
              <w:ind w:left="110"/>
              <w:spacing w:after="0"/>
              <w:rPr>
                <w:sz w:val="20"/>
                <w:szCs w:val="20"/>
                <w:color w:val="auto"/>
              </w:rPr>
            </w:pPr>
            <w:r>
              <w:rPr>
                <w:rFonts w:ascii="Arial" w:cs="Arial" w:eastAsia="Arial" w:hAnsi="Arial"/>
                <w:sz w:val="18"/>
                <w:szCs w:val="18"/>
                <w:b w:val="1"/>
                <w:bCs w:val="1"/>
                <w:color w:val="auto"/>
                <w:w w:val="91"/>
              </w:rPr>
              <w:t>Ending</w:t>
            </w:r>
          </w:p>
        </w:tc>
      </w:tr>
      <w:tr>
        <w:trPr>
          <w:trHeight w:val="234"/>
        </w:trPr>
        <w:tc>
          <w:tcPr>
            <w:tcW w:w="41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(In thousands)</w:t>
            </w:r>
          </w:p>
        </w:tc>
        <w:tc>
          <w:tcPr>
            <w:tcW w:w="20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Balance</w:t>
            </w:r>
          </w:p>
        </w:tc>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and Loss</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Reductions</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9"/>
              </w:rPr>
              <w:t>Balance</w:t>
            </w:r>
          </w:p>
        </w:tc>
      </w:tr>
      <w:tr>
        <w:trPr>
          <w:trHeight w:val="223"/>
        </w:trPr>
        <w:tc>
          <w:tcPr>
            <w:tcW w:w="4140" w:type="dxa"/>
            <w:vAlign w:val="bottom"/>
            <w:gridSpan w:val="3"/>
            <w:shd w:val="clear" w:color="auto" w:fill="CFF0FC"/>
          </w:tcPr>
          <w:p>
            <w:pPr>
              <w:spacing w:after="0"/>
              <w:rPr>
                <w:sz w:val="20"/>
                <w:szCs w:val="20"/>
                <w:color w:val="auto"/>
              </w:rPr>
            </w:pPr>
            <w:r>
              <w:rPr>
                <w:rFonts w:ascii="Arial" w:cs="Arial" w:eastAsia="Arial" w:hAnsi="Arial"/>
                <w:sz w:val="18"/>
                <w:szCs w:val="18"/>
                <w:color w:val="auto"/>
                <w:w w:val="93"/>
              </w:rPr>
              <w:t>Allowances deducted from assets in the balance sheet:</w:t>
            </w:r>
          </w:p>
        </w:tc>
        <w:tc>
          <w:tcPr>
            <w:tcW w:w="20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r>
      <w:tr>
        <w:trPr>
          <w:trHeight w:val="270"/>
        </w:trPr>
        <w:tc>
          <w:tcPr>
            <w:tcW w:w="41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Accounts Receivable Allowances</w:t>
            </w:r>
          </w:p>
        </w:tc>
        <w:tc>
          <w:tcPr>
            <w:tcW w:w="2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4,593</w:t>
            </w:r>
          </w:p>
        </w:tc>
        <w:tc>
          <w:tcPr>
            <w:tcW w:w="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(1,739)</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2,894</w:t>
            </w:r>
          </w:p>
        </w:tc>
      </w:tr>
      <w:tr>
        <w:trPr>
          <w:trHeight w:val="210"/>
        </w:trPr>
        <w:tc>
          <w:tcPr>
            <w:tcW w:w="4140" w:type="dxa"/>
            <w:vAlign w:val="bottom"/>
            <w:tcBorders>
              <w:bottom w:val="single" w:sz="8" w:color="auto"/>
            </w:tcBorders>
            <w:gridSpan w:val="3"/>
            <w:shd w:val="clear" w:color="auto" w:fill="CFF0FC"/>
          </w:tcPr>
          <w:p>
            <w:pPr>
              <w:spacing w:after="0"/>
              <w:rPr>
                <w:sz w:val="20"/>
                <w:szCs w:val="20"/>
                <w:color w:val="auto"/>
              </w:rPr>
            </w:pPr>
            <w:r>
              <w:rPr>
                <w:rFonts w:ascii="Arial" w:cs="Arial" w:eastAsia="Arial" w:hAnsi="Arial"/>
                <w:sz w:val="18"/>
                <w:szCs w:val="18"/>
                <w:color w:val="auto"/>
              </w:rPr>
              <w:t xml:space="preserve">Markdown Allowance </w:t>
            </w:r>
            <w:r>
              <w:rPr>
                <w:rFonts w:ascii="Arial" w:cs="Arial" w:eastAsia="Arial" w:hAnsi="Arial"/>
                <w:sz w:val="15"/>
                <w:szCs w:val="15"/>
                <w:color w:val="auto"/>
              </w:rPr>
              <w:t>(1)</w:t>
            </w:r>
          </w:p>
        </w:tc>
        <w:tc>
          <w:tcPr>
            <w:tcW w:w="20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6,498</w:t>
            </w:r>
          </w:p>
        </w:tc>
        <w:tc>
          <w:tcPr>
            <w:tcW w:w="4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4,297</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(3,776)</w:t>
            </w:r>
          </w:p>
        </w:tc>
        <w:tc>
          <w:tcPr>
            <w:tcW w:w="3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7,019</w:t>
            </w: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00" w:hanging="392"/>
        <w:spacing w:after="0" w:line="277" w:lineRule="auto"/>
        <w:tabs>
          <w:tab w:leader="none" w:pos="400" w:val="left"/>
        </w:tabs>
        <w:numPr>
          <w:ilvl w:val="0"/>
          <w:numId w:val="31"/>
        </w:numPr>
        <w:rPr>
          <w:rFonts w:ascii="Arial" w:cs="Arial" w:eastAsia="Arial" w:hAnsi="Arial"/>
          <w:sz w:val="15"/>
          <w:szCs w:val="15"/>
          <w:color w:val="auto"/>
        </w:rPr>
      </w:pPr>
      <w:r>
        <w:rPr>
          <w:rFonts w:ascii="Arial" w:cs="Arial" w:eastAsia="Arial" w:hAnsi="Arial"/>
          <w:sz w:val="18"/>
          <w:szCs w:val="18"/>
          <w:color w:val="auto"/>
        </w:rPr>
        <w:t>Reflects adjustment of merchandise inventories to realizable value. Charged to Profit and Loss column represents increases to the allowance and the Reductions column represents decreases to the allowance based on quarterly assessments of the allowance.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108"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color w:val="auto"/>
        </w:rPr>
        <w:t>Exhibit (2)c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1 TO ASSET PURCHASE AGREEMENT</w:t>
      </w:r>
    </w:p>
    <w:p>
      <w:pPr>
        <w:spacing w:after="0" w:line="212"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22"/>
          <w:szCs w:val="22"/>
          <w:color w:val="auto"/>
        </w:rPr>
        <w:t>This Amendment No. 1 to Asset Purchase Agreement (this “</w:t>
      </w:r>
      <w:r>
        <w:rPr>
          <w:rFonts w:ascii="Arial" w:cs="Arial" w:eastAsia="Arial" w:hAnsi="Arial"/>
          <w:sz w:val="22"/>
          <w:szCs w:val="22"/>
          <w:u w:val="single" w:color="auto"/>
          <w:color w:val="auto"/>
        </w:rPr>
        <w:t>Amendment</w:t>
      </w:r>
      <w:r>
        <w:rPr>
          <w:rFonts w:ascii="Arial" w:cs="Arial" w:eastAsia="Arial" w:hAnsi="Arial"/>
          <w:sz w:val="22"/>
          <w:szCs w:val="22"/>
          <w:color w:val="auto"/>
        </w:rPr>
        <w:t>”), dated and effective as of December 28, 2020, is made and entered into by and among Genesco Brands NY, LLC, a Delaware limited liability company (“</w:t>
      </w:r>
      <w:r>
        <w:rPr>
          <w:rFonts w:ascii="Arial" w:cs="Arial" w:eastAsia="Arial" w:hAnsi="Arial"/>
          <w:sz w:val="22"/>
          <w:szCs w:val="22"/>
          <w:u w:val="single" w:color="auto"/>
          <w:color w:val="auto"/>
        </w:rPr>
        <w:t>Purchaser</w:t>
      </w:r>
      <w:r>
        <w:rPr>
          <w:rFonts w:ascii="Arial" w:cs="Arial" w:eastAsia="Arial" w:hAnsi="Arial"/>
          <w:sz w:val="22"/>
          <w:szCs w:val="22"/>
          <w:color w:val="auto"/>
        </w:rPr>
        <w:t>”), each of Togast LLC, a Delaware limited liability company (“</w:t>
      </w:r>
      <w:r>
        <w:rPr>
          <w:rFonts w:ascii="Arial" w:cs="Arial" w:eastAsia="Arial" w:hAnsi="Arial"/>
          <w:sz w:val="22"/>
          <w:szCs w:val="22"/>
          <w:u w:val="single" w:color="auto"/>
          <w:color w:val="auto"/>
        </w:rPr>
        <w:t>Togast</w:t>
      </w:r>
      <w:r>
        <w:rPr>
          <w:rFonts w:ascii="Arial" w:cs="Arial" w:eastAsia="Arial" w:hAnsi="Arial"/>
          <w:sz w:val="22"/>
          <w:szCs w:val="22"/>
          <w:color w:val="auto"/>
        </w:rPr>
        <w:t>”), Togast Direct, LLC, a New York limited liability company (“</w:t>
      </w:r>
      <w:r>
        <w:rPr>
          <w:rFonts w:ascii="Arial" w:cs="Arial" w:eastAsia="Arial" w:hAnsi="Arial"/>
          <w:sz w:val="22"/>
          <w:szCs w:val="22"/>
          <w:u w:val="single" w:color="auto"/>
          <w:color w:val="auto"/>
        </w:rPr>
        <w:t>Togast Direct</w:t>
      </w:r>
      <w:r>
        <w:rPr>
          <w:rFonts w:ascii="Arial" w:cs="Arial" w:eastAsia="Arial" w:hAnsi="Arial"/>
          <w:sz w:val="22"/>
          <w:szCs w:val="22"/>
          <w:color w:val="auto"/>
        </w:rPr>
        <w:t>”), TGB Design, LLC, a New Jersey limited liability company (“</w:t>
      </w:r>
      <w:r>
        <w:rPr>
          <w:rFonts w:ascii="Arial" w:cs="Arial" w:eastAsia="Arial" w:hAnsi="Arial"/>
          <w:sz w:val="22"/>
          <w:szCs w:val="22"/>
          <w:u w:val="single" w:color="auto"/>
          <w:color w:val="auto"/>
        </w:rPr>
        <w:t>TGB Design</w:t>
      </w:r>
      <w:r>
        <w:rPr>
          <w:rFonts w:ascii="Arial" w:cs="Arial" w:eastAsia="Arial" w:hAnsi="Arial"/>
          <w:sz w:val="22"/>
          <w:szCs w:val="22"/>
          <w:color w:val="auto"/>
        </w:rPr>
        <w:t>”), Quanzhou TGB Footwear Co. Ltd., an entity organized under the laws of China (“</w:t>
      </w:r>
      <w:r>
        <w:rPr>
          <w:rFonts w:ascii="Arial" w:cs="Arial" w:eastAsia="Arial" w:hAnsi="Arial"/>
          <w:sz w:val="22"/>
          <w:szCs w:val="22"/>
          <w:u w:val="single" w:color="auto"/>
          <w:color w:val="auto"/>
        </w:rPr>
        <w:t>TGB China</w:t>
      </w:r>
      <w:r>
        <w:rPr>
          <w:rFonts w:ascii="Arial" w:cs="Arial" w:eastAsia="Arial" w:hAnsi="Arial"/>
          <w:sz w:val="22"/>
          <w:szCs w:val="22"/>
          <w:color w:val="auto"/>
        </w:rPr>
        <w:t>” and, together with Togast, Togast Direct and TGB Design, each a “</w:t>
      </w:r>
      <w:r>
        <w:rPr>
          <w:rFonts w:ascii="Arial" w:cs="Arial" w:eastAsia="Arial" w:hAnsi="Arial"/>
          <w:sz w:val="22"/>
          <w:szCs w:val="22"/>
          <w:u w:val="single" w:color="auto"/>
          <w:color w:val="auto"/>
        </w:rPr>
        <w:t>Seller</w:t>
      </w:r>
      <w:r>
        <w:rPr>
          <w:rFonts w:ascii="Arial" w:cs="Arial" w:eastAsia="Arial" w:hAnsi="Arial"/>
          <w:sz w:val="22"/>
          <w:szCs w:val="22"/>
          <w:color w:val="auto"/>
        </w:rPr>
        <w:t>”) and collectively the “</w:t>
      </w:r>
      <w:r>
        <w:rPr>
          <w:rFonts w:ascii="Arial" w:cs="Arial" w:eastAsia="Arial" w:hAnsi="Arial"/>
          <w:sz w:val="22"/>
          <w:szCs w:val="22"/>
          <w:u w:val="single" w:color="auto"/>
          <w:color w:val="auto"/>
        </w:rPr>
        <w:t>Sellers</w:t>
      </w:r>
      <w:r>
        <w:rPr>
          <w:rFonts w:ascii="Arial" w:cs="Arial" w:eastAsia="Arial" w:hAnsi="Arial"/>
          <w:sz w:val="22"/>
          <w:szCs w:val="22"/>
          <w:color w:val="auto"/>
        </w:rPr>
        <w:t>”), and Anthony LoConte (the “</w:t>
      </w:r>
      <w:r>
        <w:rPr>
          <w:rFonts w:ascii="Arial" w:cs="Arial" w:eastAsia="Arial" w:hAnsi="Arial"/>
          <w:sz w:val="22"/>
          <w:szCs w:val="22"/>
          <w:u w:val="single" w:color="auto"/>
          <w:color w:val="auto"/>
        </w:rPr>
        <w:t>Sellers’ Representative</w:t>
      </w:r>
      <w:r>
        <w:rPr>
          <w:rFonts w:ascii="Arial" w:cs="Arial" w:eastAsia="Arial" w:hAnsi="Arial"/>
          <w:sz w:val="22"/>
          <w:szCs w:val="22"/>
          <w:color w:val="auto"/>
        </w:rPr>
        <w:t>” and, together with the Sellers, the “</w:t>
      </w:r>
      <w:r>
        <w:rPr>
          <w:rFonts w:ascii="Arial" w:cs="Arial" w:eastAsia="Arial" w:hAnsi="Arial"/>
          <w:sz w:val="22"/>
          <w:szCs w:val="22"/>
          <w:u w:val="single" w:color="auto"/>
          <w:color w:val="auto"/>
        </w:rPr>
        <w:t>Seller Parties</w:t>
      </w:r>
      <w:r>
        <w:rPr>
          <w:rFonts w:ascii="Arial" w:cs="Arial" w:eastAsia="Arial" w:hAnsi="Arial"/>
          <w:sz w:val="22"/>
          <w:szCs w:val="22"/>
          <w:color w:val="auto"/>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12" w:lineRule="exact"/>
        <w:rPr>
          <w:sz w:val="20"/>
          <w:szCs w:val="20"/>
          <w:color w:val="auto"/>
        </w:rPr>
      </w:pPr>
    </w:p>
    <w:p>
      <w:pPr>
        <w:jc w:val="both"/>
        <w:ind w:left="860" w:hanging="784"/>
        <w:spacing w:after="0"/>
        <w:tabs>
          <w:tab w:leader="none" w:pos="84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On December 18, 2019, Purchaser and the Seller Parties entered into that certain Asset Purchase Agreement (the “</w:t>
      </w:r>
      <w:r>
        <w:rPr>
          <w:rFonts w:ascii="Arial" w:cs="Arial" w:eastAsia="Arial" w:hAnsi="Arial"/>
          <w:sz w:val="22"/>
          <w:szCs w:val="22"/>
          <w:u w:val="single" w:color="auto"/>
          <w:color w:val="auto"/>
        </w:rPr>
        <w:t>Purchase Agreement</w:t>
      </w:r>
      <w:r>
        <w:rPr>
          <w:rFonts w:ascii="Arial" w:cs="Arial" w:eastAsia="Arial" w:hAnsi="Arial"/>
          <w:sz w:val="22"/>
          <w:szCs w:val="22"/>
          <w:color w:val="auto"/>
        </w:rPr>
        <w:t>”), pursuant to which Purchaser agreed to purchase the Purchased Assets from, and assume the Assumed Liabilities of, Sellers.</w:t>
      </w:r>
    </w:p>
    <w:p>
      <w:pPr>
        <w:spacing w:after="0" w:line="186" w:lineRule="exact"/>
        <w:rPr>
          <w:sz w:val="20"/>
          <w:szCs w:val="20"/>
          <w:color w:val="auto"/>
        </w:rPr>
      </w:pPr>
    </w:p>
    <w:p>
      <w:pPr>
        <w:jc w:val="both"/>
        <w:ind w:left="860" w:hanging="784"/>
        <w:spacing w:after="0" w:line="250" w:lineRule="auto"/>
        <w:tabs>
          <w:tab w:leader="none" w:pos="84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 xml:space="preserve">Pursuant to </w:t>
      </w:r>
      <w:r>
        <w:rPr>
          <w:rFonts w:ascii="Arial" w:cs="Arial" w:eastAsia="Arial" w:hAnsi="Arial"/>
          <w:sz w:val="22"/>
          <w:szCs w:val="22"/>
          <w:u w:val="single" w:color="auto"/>
          <w:color w:val="auto"/>
        </w:rPr>
        <w:t>Section 11.05</w:t>
      </w:r>
      <w:r>
        <w:rPr>
          <w:rFonts w:ascii="Arial" w:cs="Arial" w:eastAsia="Arial" w:hAnsi="Arial"/>
          <w:sz w:val="22"/>
          <w:szCs w:val="22"/>
          <w:color w:val="auto"/>
        </w:rPr>
        <w:t xml:space="preserve"> of the Purchase Agreement, no provision of the Purchase Agreement may be amended unless such amendment is by written agreement of the Parties.</w:t>
      </w:r>
    </w:p>
    <w:p>
      <w:pPr>
        <w:spacing w:after="0" w:line="175" w:lineRule="exact"/>
        <w:rPr>
          <w:sz w:val="20"/>
          <w:szCs w:val="20"/>
          <w:color w:val="auto"/>
        </w:rPr>
      </w:pPr>
    </w:p>
    <w:p>
      <w:pPr>
        <w:jc w:val="both"/>
        <w:ind w:left="860" w:hanging="784"/>
        <w:spacing w:after="0"/>
        <w:tabs>
          <w:tab w:leader="none" w:pos="84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In consideration of Purchaser and Sellers’ Representative entering into that certain side letter agreement of even date herewith, the Parties desire to amend the Purchase Agreement to delete the Earnout as more fully set forth below.</w:t>
      </w:r>
    </w:p>
    <w:p>
      <w:pPr>
        <w:spacing w:after="0" w:line="180" w:lineRule="exact"/>
        <w:rPr>
          <w:sz w:val="20"/>
          <w:szCs w:val="20"/>
          <w:color w:val="auto"/>
        </w:rPr>
      </w:pPr>
    </w:p>
    <w:p>
      <w:pPr>
        <w:ind w:firstLine="864"/>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 recitals and for other good and valuable consideration, the</w:t>
      </w:r>
      <w:r>
        <w:rPr>
          <w:rFonts w:ascii="Arial" w:cs="Arial" w:eastAsia="Arial" w:hAnsi="Arial"/>
          <w:sz w:val="22"/>
          <w:szCs w:val="22"/>
          <w:b w:val="1"/>
          <w:bCs w:val="1"/>
          <w:color w:val="auto"/>
        </w:rPr>
        <w:t xml:space="preserve"> </w:t>
      </w:r>
      <w:r>
        <w:rPr>
          <w:rFonts w:ascii="Arial" w:cs="Arial" w:eastAsia="Arial" w:hAnsi="Arial"/>
          <w:sz w:val="22"/>
          <w:szCs w:val="22"/>
          <w:color w:val="auto"/>
        </w:rPr>
        <w:t>receipt and sufficiency of which are hereby acknowledged, the parties hereby agree as follows:</w:t>
      </w:r>
    </w:p>
    <w:p>
      <w:pPr>
        <w:spacing w:after="0" w:line="168" w:lineRule="exact"/>
        <w:rPr>
          <w:sz w:val="20"/>
          <w:szCs w:val="20"/>
          <w:color w:val="auto"/>
        </w:rPr>
      </w:pPr>
    </w:p>
    <w:p>
      <w:pPr>
        <w:jc w:val="both"/>
        <w:ind w:firstLine="872"/>
        <w:spacing w:after="0" w:line="297" w:lineRule="auto"/>
        <w:tabs>
          <w:tab w:leader="none" w:pos="1674"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Definitions; Construction</w:t>
      </w:r>
      <w:r>
        <w:rPr>
          <w:rFonts w:ascii="Arial" w:cs="Arial" w:eastAsia="Arial" w:hAnsi="Arial"/>
          <w:sz w:val="19"/>
          <w:szCs w:val="19"/>
          <w:color w:val="auto"/>
        </w:rPr>
        <w:t>. Capitalized terms not otherwise defined herein shall have the meanings set forth in the Purchase Agreement. References in the Purchase Agreement to “this Agreement” (and indirect references such as “hereunder,” “hereby,” “herein” and “hereof”) shall be deemed to be references to the Purchase Agreement as amended hereby.</w:t>
      </w:r>
    </w:p>
    <w:p>
      <w:pPr>
        <w:spacing w:after="0" w:line="133" w:lineRule="exact"/>
        <w:rPr>
          <w:rFonts w:ascii="Arial" w:cs="Arial" w:eastAsia="Arial" w:hAnsi="Arial"/>
          <w:sz w:val="19"/>
          <w:szCs w:val="19"/>
          <w:color w:val="auto"/>
        </w:rPr>
      </w:pPr>
    </w:p>
    <w:p>
      <w:pPr>
        <w:ind w:left="1680" w:hanging="808"/>
        <w:spacing w:after="0"/>
        <w:tabs>
          <w:tab w:leader="none" w:pos="1680"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Amendments</w:t>
      </w:r>
      <w:r>
        <w:rPr>
          <w:rFonts w:ascii="Arial" w:cs="Arial" w:eastAsia="Arial" w:hAnsi="Arial"/>
          <w:sz w:val="22"/>
          <w:szCs w:val="22"/>
          <w:color w:val="auto"/>
        </w:rPr>
        <w:t>. The Purchase Agreement is hereby amended as follows:</w:t>
      </w:r>
    </w:p>
    <w:p>
      <w:pPr>
        <w:spacing w:after="0" w:line="206" w:lineRule="exact"/>
        <w:rPr>
          <w:rFonts w:ascii="Arial" w:cs="Arial" w:eastAsia="Arial" w:hAnsi="Arial"/>
          <w:sz w:val="22"/>
          <w:szCs w:val="22"/>
          <w:color w:val="auto"/>
        </w:rPr>
      </w:pPr>
    </w:p>
    <w:p>
      <w:pPr>
        <w:ind w:left="2580" w:hanging="426"/>
        <w:spacing w:after="0" w:line="250" w:lineRule="auto"/>
        <w:tabs>
          <w:tab w:leader="none" w:pos="2580" w:val="left"/>
        </w:tabs>
        <w:numPr>
          <w:ilvl w:val="1"/>
          <w:numId w:val="32"/>
        </w:numPr>
        <w:rPr>
          <w:rFonts w:ascii="Arial" w:cs="Arial" w:eastAsia="Arial" w:hAnsi="Arial"/>
          <w:sz w:val="22"/>
          <w:szCs w:val="22"/>
          <w:color w:val="auto"/>
        </w:rPr>
      </w:pPr>
      <w:r>
        <w:rPr>
          <w:rFonts w:ascii="Arial" w:cs="Arial" w:eastAsia="Arial" w:hAnsi="Arial"/>
          <w:sz w:val="22"/>
          <w:szCs w:val="22"/>
          <w:u w:val="single" w:color="auto"/>
          <w:color w:val="auto"/>
        </w:rPr>
        <w:t>Section 3.01</w:t>
      </w:r>
      <w:r>
        <w:rPr>
          <w:rFonts w:ascii="Arial" w:cs="Arial" w:eastAsia="Arial" w:hAnsi="Arial"/>
          <w:sz w:val="22"/>
          <w:szCs w:val="22"/>
          <w:color w:val="auto"/>
        </w:rPr>
        <w:t xml:space="preserve"> of the Purchase Agreement shall be amended to amend the proviso in the third line thereof to read “as adjusted pursuant to </w:t>
      </w:r>
      <w:r>
        <w:rPr>
          <w:rFonts w:ascii="Arial" w:cs="Arial" w:eastAsia="Arial" w:hAnsi="Arial"/>
          <w:sz w:val="22"/>
          <w:szCs w:val="22"/>
          <w:u w:val="single" w:color="auto"/>
          <w:color w:val="auto"/>
        </w:rPr>
        <w:t>Section 3.02</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2580" w:right="20" w:hanging="426"/>
        <w:spacing w:after="0" w:line="250" w:lineRule="auto"/>
        <w:tabs>
          <w:tab w:leader="none" w:pos="2580" w:val="left"/>
        </w:tabs>
        <w:numPr>
          <w:ilvl w:val="1"/>
          <w:numId w:val="32"/>
        </w:numPr>
        <w:rPr>
          <w:rFonts w:ascii="Arial" w:cs="Arial" w:eastAsia="Arial" w:hAnsi="Arial"/>
          <w:sz w:val="22"/>
          <w:szCs w:val="22"/>
          <w:color w:val="auto"/>
        </w:rPr>
      </w:pPr>
      <w:r>
        <w:rPr>
          <w:rFonts w:ascii="Arial" w:cs="Arial" w:eastAsia="Arial" w:hAnsi="Arial"/>
          <w:sz w:val="22"/>
          <w:szCs w:val="22"/>
          <w:u w:val="single" w:color="auto"/>
          <w:color w:val="auto"/>
        </w:rPr>
        <w:t>Section 3.04</w:t>
      </w:r>
      <w:r>
        <w:rPr>
          <w:rFonts w:ascii="Arial" w:cs="Arial" w:eastAsia="Arial" w:hAnsi="Arial"/>
          <w:sz w:val="22"/>
          <w:szCs w:val="22"/>
          <w:color w:val="auto"/>
        </w:rPr>
        <w:t xml:space="preserve"> of the Purchase Agreement shall be removed in its entirety and replaced with “[INTENTIONALLY DELETED].”</w:t>
      </w:r>
    </w:p>
    <w:p>
      <w:pPr>
        <w:spacing w:after="0" w:line="174" w:lineRule="exact"/>
        <w:rPr>
          <w:rFonts w:ascii="Arial" w:cs="Arial" w:eastAsia="Arial" w:hAnsi="Arial"/>
          <w:sz w:val="22"/>
          <w:szCs w:val="22"/>
          <w:color w:val="auto"/>
        </w:rPr>
      </w:pPr>
    </w:p>
    <w:p>
      <w:pPr>
        <w:ind w:left="2580" w:hanging="426"/>
        <w:spacing w:after="0"/>
        <w:tabs>
          <w:tab w:leader="none" w:pos="2580" w:val="left"/>
        </w:tabs>
        <w:numPr>
          <w:ilvl w:val="1"/>
          <w:numId w:val="32"/>
        </w:numPr>
        <w:rPr>
          <w:rFonts w:ascii="Arial" w:cs="Arial" w:eastAsia="Arial" w:hAnsi="Arial"/>
          <w:sz w:val="21"/>
          <w:szCs w:val="21"/>
          <w:color w:val="auto"/>
        </w:rPr>
      </w:pPr>
      <w:r>
        <w:rPr>
          <w:rFonts w:ascii="Arial" w:cs="Arial" w:eastAsia="Arial" w:hAnsi="Arial"/>
          <w:sz w:val="21"/>
          <w:szCs w:val="21"/>
          <w:color w:val="auto"/>
        </w:rPr>
        <w:t xml:space="preserve">The parenthetical at the end of </w:t>
      </w:r>
      <w:r>
        <w:rPr>
          <w:rFonts w:ascii="Arial" w:cs="Arial" w:eastAsia="Arial" w:hAnsi="Arial"/>
          <w:sz w:val="21"/>
          <w:szCs w:val="21"/>
          <w:u w:val="single" w:color="auto"/>
          <w:color w:val="auto"/>
        </w:rPr>
        <w:t>Section 10.05(c)</w:t>
      </w:r>
      <w:r>
        <w:rPr>
          <w:rFonts w:ascii="Arial" w:cs="Arial" w:eastAsia="Arial" w:hAnsi="Arial"/>
          <w:sz w:val="21"/>
          <w:szCs w:val="21"/>
          <w:color w:val="auto"/>
        </w:rPr>
        <w:t xml:space="preserve"> of the Purchase Agreement shall be deleted.</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748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6" w:name="page97"/>
    <w:bookmarkEnd w:id="96"/>
    <w:p>
      <w:pPr>
        <w:ind w:left="1708" w:right="20" w:hanging="426"/>
        <w:spacing w:after="0" w:line="250" w:lineRule="auto"/>
        <w:tabs>
          <w:tab w:leader="none" w:pos="1708" w:val="left"/>
        </w:tabs>
        <w:numPr>
          <w:ilvl w:val="1"/>
          <w:numId w:val="33"/>
        </w:numPr>
        <w:rPr>
          <w:rFonts w:ascii="Arial" w:cs="Arial" w:eastAsia="Arial" w:hAnsi="Arial"/>
          <w:sz w:val="22"/>
          <w:szCs w:val="22"/>
          <w:color w:val="auto"/>
        </w:rPr>
      </w:pPr>
      <w:r>
        <w:rPr>
          <w:rFonts w:ascii="Arial" w:cs="Arial" w:eastAsia="Arial" w:hAnsi="Arial"/>
          <w:sz w:val="22"/>
          <w:szCs w:val="22"/>
          <w:u w:val="single" w:color="auto"/>
          <w:color w:val="auto"/>
        </w:rPr>
        <w:t>Section 10.09</w:t>
      </w:r>
      <w:r>
        <w:rPr>
          <w:rFonts w:ascii="Arial" w:cs="Arial" w:eastAsia="Arial" w:hAnsi="Arial"/>
          <w:sz w:val="22"/>
          <w:szCs w:val="22"/>
          <w:color w:val="auto"/>
        </w:rPr>
        <w:t xml:space="preserve"> of the Purchase Agreement shall be removed in its entirety and replaced with “[INTENTIONALLY DELETED].”</w:t>
      </w:r>
    </w:p>
    <w:p>
      <w:pPr>
        <w:spacing w:after="0" w:line="174" w:lineRule="exact"/>
        <w:rPr>
          <w:rFonts w:ascii="Arial" w:cs="Arial" w:eastAsia="Arial" w:hAnsi="Arial"/>
          <w:sz w:val="22"/>
          <w:szCs w:val="22"/>
          <w:color w:val="auto"/>
        </w:rPr>
      </w:pPr>
    </w:p>
    <w:p>
      <w:pPr>
        <w:ind w:left="1708" w:hanging="426"/>
        <w:spacing w:after="0" w:line="250" w:lineRule="auto"/>
        <w:tabs>
          <w:tab w:leader="none" w:pos="1708" w:val="left"/>
        </w:tabs>
        <w:numPr>
          <w:ilvl w:val="1"/>
          <w:numId w:val="33"/>
        </w:numPr>
        <w:rPr>
          <w:rFonts w:ascii="Arial" w:cs="Arial" w:eastAsia="Arial" w:hAnsi="Arial"/>
          <w:sz w:val="22"/>
          <w:szCs w:val="22"/>
          <w:color w:val="auto"/>
        </w:rPr>
      </w:pPr>
      <w:r>
        <w:rPr>
          <w:rFonts w:ascii="Arial" w:cs="Arial" w:eastAsia="Arial" w:hAnsi="Arial"/>
          <w:sz w:val="22"/>
          <w:szCs w:val="22"/>
          <w:color w:val="auto"/>
        </w:rPr>
        <w:t xml:space="preserve">Clause (ii) of </w:t>
      </w:r>
      <w:r>
        <w:rPr>
          <w:rFonts w:ascii="Arial" w:cs="Arial" w:eastAsia="Arial" w:hAnsi="Arial"/>
          <w:sz w:val="22"/>
          <w:szCs w:val="22"/>
          <w:u w:val="single" w:color="auto"/>
          <w:color w:val="auto"/>
        </w:rPr>
        <w:t>Section 11.15(a)</w:t>
      </w:r>
      <w:r>
        <w:rPr>
          <w:rFonts w:ascii="Arial" w:cs="Arial" w:eastAsia="Arial" w:hAnsi="Arial"/>
          <w:sz w:val="22"/>
          <w:szCs w:val="22"/>
          <w:color w:val="auto"/>
        </w:rPr>
        <w:t xml:space="preserve"> of the Purchase Agreement shall be removed and replaced with “[INTENTIONALLY DELETED].”</w:t>
      </w:r>
    </w:p>
    <w:p>
      <w:pPr>
        <w:spacing w:after="0" w:line="174" w:lineRule="exact"/>
        <w:rPr>
          <w:rFonts w:ascii="Arial" w:cs="Arial" w:eastAsia="Arial" w:hAnsi="Arial"/>
          <w:sz w:val="22"/>
          <w:szCs w:val="22"/>
          <w:color w:val="auto"/>
        </w:rPr>
      </w:pPr>
    </w:p>
    <w:p>
      <w:pPr>
        <w:jc w:val="both"/>
        <w:ind w:left="1708" w:hanging="426"/>
        <w:spacing w:after="0" w:line="238" w:lineRule="auto"/>
        <w:tabs>
          <w:tab w:leader="none" w:pos="1708" w:val="left"/>
        </w:tabs>
        <w:numPr>
          <w:ilvl w:val="1"/>
          <w:numId w:val="33"/>
        </w:numPr>
        <w:rPr>
          <w:rFonts w:ascii="Arial" w:cs="Arial" w:eastAsia="Arial" w:hAnsi="Arial"/>
          <w:sz w:val="22"/>
          <w:szCs w:val="22"/>
          <w:color w:val="auto"/>
        </w:rPr>
      </w:pPr>
      <w:r>
        <w:rPr>
          <w:rFonts w:ascii="Arial" w:cs="Arial" w:eastAsia="Arial" w:hAnsi="Arial"/>
          <w:sz w:val="22"/>
          <w:szCs w:val="22"/>
          <w:color w:val="auto"/>
        </w:rPr>
        <w:t xml:space="preserve">The second sentence of </w:t>
      </w:r>
      <w:r>
        <w:rPr>
          <w:rFonts w:ascii="Arial" w:cs="Arial" w:eastAsia="Arial" w:hAnsi="Arial"/>
          <w:sz w:val="22"/>
          <w:szCs w:val="22"/>
          <w:u w:val="single" w:color="auto"/>
          <w:color w:val="auto"/>
        </w:rPr>
        <w:t>Section 11.15(c)</w:t>
      </w:r>
      <w:r>
        <w:rPr>
          <w:rFonts w:ascii="Arial" w:cs="Arial" w:eastAsia="Arial" w:hAnsi="Arial"/>
          <w:sz w:val="22"/>
          <w:szCs w:val="22"/>
          <w:color w:val="auto"/>
        </w:rPr>
        <w:t xml:space="preserve"> of the Purchase Agreement shall be amended and restated in its entirety to read: “Each Seller Party hereby renounces his, her or its right to renounce this power of attorney unilaterally before the complete distribution of the Total Consideration and the Escrow Amount.”</w:t>
      </w:r>
    </w:p>
    <w:p>
      <w:pPr>
        <w:spacing w:after="0" w:line="184" w:lineRule="exact"/>
        <w:rPr>
          <w:rFonts w:ascii="Arial" w:cs="Arial" w:eastAsia="Arial" w:hAnsi="Arial"/>
          <w:sz w:val="22"/>
          <w:szCs w:val="22"/>
          <w:color w:val="auto"/>
        </w:rPr>
      </w:pPr>
    </w:p>
    <w:p>
      <w:pPr>
        <w:ind w:left="1708" w:hanging="426"/>
        <w:spacing w:after="0"/>
        <w:tabs>
          <w:tab w:leader="none" w:pos="1708" w:val="left"/>
        </w:tabs>
        <w:numPr>
          <w:ilvl w:val="1"/>
          <w:numId w:val="33"/>
        </w:numPr>
        <w:rPr>
          <w:rFonts w:ascii="Arial" w:cs="Arial" w:eastAsia="Arial" w:hAnsi="Arial"/>
          <w:sz w:val="22"/>
          <w:szCs w:val="22"/>
          <w:color w:val="auto"/>
        </w:rPr>
      </w:pPr>
      <w:r>
        <w:rPr>
          <w:rFonts w:ascii="Arial" w:cs="Arial" w:eastAsia="Arial" w:hAnsi="Arial"/>
          <w:sz w:val="22"/>
          <w:szCs w:val="22"/>
          <w:color w:val="auto"/>
        </w:rPr>
        <w:t>The definition of “Earnout Amount” shall be deleted.</w:t>
      </w:r>
    </w:p>
    <w:p>
      <w:pPr>
        <w:spacing w:after="0" w:line="206" w:lineRule="exact"/>
        <w:rPr>
          <w:rFonts w:ascii="Arial" w:cs="Arial" w:eastAsia="Arial" w:hAnsi="Arial"/>
          <w:sz w:val="22"/>
          <w:szCs w:val="22"/>
          <w:color w:val="auto"/>
        </w:rPr>
      </w:pPr>
    </w:p>
    <w:p>
      <w:pPr>
        <w:ind w:left="1708" w:hanging="426"/>
        <w:spacing w:after="0" w:line="250" w:lineRule="auto"/>
        <w:tabs>
          <w:tab w:leader="none" w:pos="1708" w:val="left"/>
        </w:tabs>
        <w:numPr>
          <w:ilvl w:val="1"/>
          <w:numId w:val="33"/>
        </w:numPr>
        <w:rPr>
          <w:rFonts w:ascii="Arial" w:cs="Arial" w:eastAsia="Arial" w:hAnsi="Arial"/>
          <w:sz w:val="22"/>
          <w:szCs w:val="22"/>
          <w:color w:val="auto"/>
        </w:rPr>
      </w:pPr>
      <w:r>
        <w:rPr>
          <w:rFonts w:ascii="Arial" w:cs="Arial" w:eastAsia="Arial" w:hAnsi="Arial"/>
          <w:sz w:val="22"/>
          <w:szCs w:val="22"/>
          <w:u w:val="single" w:color="auto"/>
          <w:color w:val="auto"/>
        </w:rPr>
        <w:t>Annex 3.04</w:t>
      </w:r>
      <w:r>
        <w:rPr>
          <w:rFonts w:ascii="Arial" w:cs="Arial" w:eastAsia="Arial" w:hAnsi="Arial"/>
          <w:sz w:val="22"/>
          <w:szCs w:val="22"/>
          <w:color w:val="auto"/>
        </w:rPr>
        <w:t xml:space="preserve"> of the Purchase Agreement shall be removed in its entirety and replaced with “[INTENTIONALLY DELETED].”</w:t>
      </w:r>
    </w:p>
    <w:p>
      <w:pPr>
        <w:spacing w:after="0" w:line="174" w:lineRule="exact"/>
        <w:rPr>
          <w:rFonts w:ascii="Arial" w:cs="Arial" w:eastAsia="Arial" w:hAnsi="Arial"/>
          <w:sz w:val="22"/>
          <w:szCs w:val="22"/>
          <w:color w:val="auto"/>
        </w:rPr>
      </w:pPr>
    </w:p>
    <w:p>
      <w:pPr>
        <w:ind w:left="808" w:hanging="808"/>
        <w:spacing w:after="0"/>
        <w:tabs>
          <w:tab w:leader="none" w:pos="808"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Mutual Releases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708" w:hanging="426"/>
        <w:spacing w:after="0" w:line="270" w:lineRule="auto"/>
        <w:tabs>
          <w:tab w:leader="none" w:pos="1708" w:val="left"/>
        </w:tabs>
        <w:numPr>
          <w:ilvl w:val="1"/>
          <w:numId w:val="34"/>
        </w:numPr>
        <w:rPr>
          <w:rFonts w:ascii="Arial" w:cs="Arial" w:eastAsia="Arial" w:hAnsi="Arial"/>
          <w:sz w:val="19"/>
          <w:szCs w:val="19"/>
          <w:color w:val="auto"/>
        </w:rPr>
      </w:pPr>
      <w:r>
        <w:rPr>
          <w:rFonts w:ascii="Arial" w:cs="Arial" w:eastAsia="Arial" w:hAnsi="Arial"/>
          <w:sz w:val="19"/>
          <w:szCs w:val="19"/>
          <w:color w:val="auto"/>
        </w:rPr>
        <w:t>Sellers’ Representative (“</w:t>
      </w:r>
      <w:r>
        <w:rPr>
          <w:rFonts w:ascii="Arial" w:cs="Arial" w:eastAsia="Arial" w:hAnsi="Arial"/>
          <w:sz w:val="19"/>
          <w:szCs w:val="19"/>
          <w:u w:val="single" w:color="auto"/>
          <w:color w:val="auto"/>
        </w:rPr>
        <w:t>Seller Releasor</w:t>
      </w:r>
      <w:r>
        <w:rPr>
          <w:rFonts w:ascii="Arial" w:cs="Arial" w:eastAsia="Arial" w:hAnsi="Arial"/>
          <w:sz w:val="19"/>
          <w:szCs w:val="19"/>
          <w:color w:val="auto"/>
        </w:rPr>
        <w:t>”), on behalf of himself, Sellers and his and their respective Affiliates, successors and assigns (collectively, the “</w:t>
      </w:r>
      <w:r>
        <w:rPr>
          <w:rFonts w:ascii="Arial" w:cs="Arial" w:eastAsia="Arial" w:hAnsi="Arial"/>
          <w:sz w:val="19"/>
          <w:szCs w:val="19"/>
          <w:u w:val="single" w:color="auto"/>
          <w:color w:val="auto"/>
        </w:rPr>
        <w:t>Seller Release Parties</w:t>
      </w:r>
      <w:r>
        <w:rPr>
          <w:rFonts w:ascii="Arial" w:cs="Arial" w:eastAsia="Arial" w:hAnsi="Arial"/>
          <w:sz w:val="19"/>
          <w:szCs w:val="19"/>
          <w:color w:val="auto"/>
        </w:rPr>
        <w:t>”), hereby fully releases and forever discharges any and all rights and claims that he has had, now has or might now have against Purchaser and its Affiliates and each of their officers, directors, representatives, subsidiaries, predecessors, successors, assigns, beneficiaries, heirs, executors, insurers, and attorneys of each of them (collectively, the “</w:t>
      </w:r>
      <w:r>
        <w:rPr>
          <w:rFonts w:ascii="Arial" w:cs="Arial" w:eastAsia="Arial" w:hAnsi="Arial"/>
          <w:sz w:val="19"/>
          <w:szCs w:val="19"/>
          <w:u w:val="single" w:color="auto"/>
          <w:color w:val="auto"/>
        </w:rPr>
        <w:t>Purchaser Release Parties</w:t>
      </w:r>
      <w:r>
        <w:rPr>
          <w:rFonts w:ascii="Arial" w:cs="Arial" w:eastAsia="Arial" w:hAnsi="Arial"/>
          <w:sz w:val="19"/>
          <w:szCs w:val="19"/>
          <w:color w:val="auto"/>
        </w:rPr>
        <w:t xml:space="preserve">”) in connection with the matters that are the subject of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of this Amendment, including payment of any Earnout Amount; provided, however, that for the avoidance of doubt, Purchaser Release Parties’ obligations under Article X of the Purchase Agreement shall survive according to their terms for all matters that do not directly arise from the matters that are the subject of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of this Amendment. Seller Releasor acknowledges that there is a possibility that subsequent to the date hereof, Seller Releasor or the Seller Release Parties will discover facts or incur or suffer claims that were unknown or unsuspected at the time this Amendment was executed, and which if known by Seller Releasor or the Seller Release Parties at that time may have materially affected their decision to agree to this </w:t>
      </w:r>
      <w:r>
        <w:rPr>
          <w:rFonts w:ascii="Arial" w:cs="Arial" w:eastAsia="Arial" w:hAnsi="Arial"/>
          <w:sz w:val="19"/>
          <w:szCs w:val="19"/>
          <w:u w:val="single" w:color="auto"/>
          <w:color w:val="auto"/>
        </w:rPr>
        <w:t>Section 3(a)</w:t>
      </w:r>
      <w:r>
        <w:rPr>
          <w:rFonts w:ascii="Arial" w:cs="Arial" w:eastAsia="Arial" w:hAnsi="Arial"/>
          <w:sz w:val="19"/>
          <w:szCs w:val="19"/>
          <w:color w:val="auto"/>
        </w:rPr>
        <w:t xml:space="preserve">. Seller Releasor, on behalf of himself and the Seller Release Parties, acknowledges and agrees that by reason of this Agreement, and the releases contained in the first sentence of this </w:t>
      </w:r>
      <w:r>
        <w:rPr>
          <w:rFonts w:ascii="Arial" w:cs="Arial" w:eastAsia="Arial" w:hAnsi="Arial"/>
          <w:sz w:val="19"/>
          <w:szCs w:val="19"/>
          <w:u w:val="single" w:color="auto"/>
          <w:color w:val="auto"/>
        </w:rPr>
        <w:t>Section 3(a)</w:t>
      </w:r>
      <w:r>
        <w:rPr>
          <w:rFonts w:ascii="Arial" w:cs="Arial" w:eastAsia="Arial" w:hAnsi="Arial"/>
          <w:sz w:val="19"/>
          <w:szCs w:val="19"/>
          <w:color w:val="auto"/>
        </w:rPr>
        <w:t>, Seller Releasor, on behalf of himself and the Seller Release Parties, is assuming any risk of such unknown facts and such unknown and unsuspected claims. Seller Releasor, on behalf of himself and the Seller Release Parties, agrees that Seller Releasor and the Seller Release Parties will forever refrain and forbear from commencing,</w:t>
      </w:r>
    </w:p>
    <w:p>
      <w:pPr>
        <w:spacing w:after="0" w:line="200" w:lineRule="exact"/>
        <w:rPr>
          <w:sz w:val="20"/>
          <w:szCs w:val="20"/>
          <w:color w:val="auto"/>
        </w:rPr>
      </w:pPr>
    </w:p>
    <w:p>
      <w:pPr>
        <w:spacing w:after="0" w:line="395" w:lineRule="exact"/>
        <w:rPr>
          <w:sz w:val="20"/>
          <w:szCs w:val="20"/>
          <w:color w:val="auto"/>
        </w:rPr>
      </w:pPr>
    </w:p>
    <w:p>
      <w:pPr>
        <w:ind w:left="8"/>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37465</wp:posOffset>
            </wp:positionV>
            <wp:extent cx="71748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793" w:right="339" w:bottom="1440" w:gutter="0" w:footer="0" w:header="0"/>
        </w:sectPr>
      </w:pPr>
    </w:p>
    <w:bookmarkStart w:id="97" w:name="page98"/>
    <w:bookmarkEnd w:id="97"/>
    <w:p>
      <w:pPr>
        <w:jc w:val="both"/>
        <w:ind w:left="1700"/>
        <w:spacing w:after="0" w:line="273" w:lineRule="auto"/>
        <w:rPr>
          <w:sz w:val="20"/>
          <w:szCs w:val="20"/>
          <w:color w:val="auto"/>
        </w:rPr>
      </w:pPr>
      <w:r>
        <w:rPr>
          <w:rFonts w:ascii="Arial" w:cs="Arial" w:eastAsia="Arial" w:hAnsi="Arial"/>
          <w:sz w:val="19"/>
          <w:szCs w:val="19"/>
          <w:color w:val="auto"/>
        </w:rPr>
        <w:t xml:space="preserve">instituting or prosecuting any lawsuit, action or other proceeding of any kind whatsoever, by way of action, defense, set-off, cross-complaint or counterclaim, against the Purchaser Release Parties based on, arising out of, or in connection with any right or claim, which is released and discharged by reason of the first sentence of this </w:t>
      </w:r>
      <w:r>
        <w:rPr>
          <w:rFonts w:ascii="Arial" w:cs="Arial" w:eastAsia="Arial" w:hAnsi="Arial"/>
          <w:sz w:val="19"/>
          <w:szCs w:val="19"/>
          <w:u w:val="single" w:color="auto"/>
          <w:color w:val="auto"/>
        </w:rPr>
        <w:t>Section 3(a)</w:t>
      </w:r>
      <w:r>
        <w:rPr>
          <w:rFonts w:ascii="Arial" w:cs="Arial" w:eastAsia="Arial" w:hAnsi="Arial"/>
          <w:sz w:val="19"/>
          <w:szCs w:val="19"/>
          <w:color w:val="auto"/>
        </w:rPr>
        <w:t xml:space="preserve">. If any provision of this </w:t>
      </w:r>
      <w:r>
        <w:rPr>
          <w:rFonts w:ascii="Arial" w:cs="Arial" w:eastAsia="Arial" w:hAnsi="Arial"/>
          <w:sz w:val="19"/>
          <w:szCs w:val="19"/>
          <w:u w:val="single" w:color="auto"/>
          <w:color w:val="auto"/>
        </w:rPr>
        <w:t>Section 3(a)</w:t>
      </w:r>
      <w:r>
        <w:rPr>
          <w:rFonts w:ascii="Arial" w:cs="Arial" w:eastAsia="Arial" w:hAnsi="Arial"/>
          <w:sz w:val="19"/>
          <w:szCs w:val="19"/>
          <w:color w:val="auto"/>
        </w:rPr>
        <w:t xml:space="preserve"> is held to be invalid or unenforceable for any reason, such provision shall be ineffective to the extent of such invalidity or unenforceability;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remaining provisions of this </w:t>
      </w:r>
      <w:r>
        <w:rPr>
          <w:rFonts w:ascii="Arial" w:cs="Arial" w:eastAsia="Arial" w:hAnsi="Arial"/>
          <w:sz w:val="19"/>
          <w:szCs w:val="19"/>
          <w:u w:val="single" w:color="auto"/>
          <w:color w:val="auto"/>
        </w:rPr>
        <w:t>Section 3(a)</w:t>
      </w:r>
      <w:r>
        <w:rPr>
          <w:rFonts w:ascii="Arial" w:cs="Arial" w:eastAsia="Arial" w:hAnsi="Arial"/>
          <w:sz w:val="19"/>
          <w:szCs w:val="19"/>
          <w:color w:val="auto"/>
        </w:rPr>
        <w:t xml:space="preserve"> will continue in full force and effect without being impaired or invalidated in any way unless such invalid or unenforceable provision or clause is so significant as to materially affect the expectations of the parties regarding this </w:t>
      </w:r>
      <w:r>
        <w:rPr>
          <w:rFonts w:ascii="Arial" w:cs="Arial" w:eastAsia="Arial" w:hAnsi="Arial"/>
          <w:sz w:val="19"/>
          <w:szCs w:val="19"/>
          <w:u w:val="single" w:color="auto"/>
          <w:color w:val="auto"/>
        </w:rPr>
        <w:t>Section 3(a)</w:t>
      </w:r>
      <w:r>
        <w:rPr>
          <w:rFonts w:ascii="Arial" w:cs="Arial" w:eastAsia="Arial" w:hAnsi="Arial"/>
          <w:sz w:val="19"/>
          <w:szCs w:val="19"/>
          <w:color w:val="auto"/>
        </w:rPr>
        <w:t>. Otherwise, any invalid or unenforceable provision shall be replaced by the parties with a valid provision that most closely approximates the intent and economic effect of the invalid or unenforceable provision.</w:t>
      </w:r>
    </w:p>
    <w:p>
      <w:pPr>
        <w:spacing w:after="0" w:line="155" w:lineRule="exact"/>
        <w:rPr>
          <w:sz w:val="20"/>
          <w:szCs w:val="20"/>
          <w:color w:val="auto"/>
        </w:rPr>
      </w:pPr>
    </w:p>
    <w:p>
      <w:pPr>
        <w:jc w:val="both"/>
        <w:ind w:left="1700" w:hanging="426"/>
        <w:spacing w:after="0" w:line="269" w:lineRule="auto"/>
        <w:tabs>
          <w:tab w:leader="none" w:pos="1700" w:val="left"/>
        </w:tabs>
        <w:numPr>
          <w:ilvl w:val="0"/>
          <w:numId w:val="35"/>
        </w:numPr>
        <w:rPr>
          <w:rFonts w:ascii="Arial" w:cs="Arial" w:eastAsia="Arial" w:hAnsi="Arial"/>
          <w:sz w:val="19"/>
          <w:szCs w:val="19"/>
          <w:color w:val="auto"/>
        </w:rPr>
      </w:pPr>
      <w:r>
        <w:rPr>
          <w:rFonts w:ascii="Arial" w:cs="Arial" w:eastAsia="Arial" w:hAnsi="Arial"/>
          <w:sz w:val="19"/>
          <w:szCs w:val="19"/>
          <w:color w:val="auto"/>
        </w:rPr>
        <w:t xml:space="preserve">Purchaser Release Parties hereby fully release and forever discharge any and all rights and claims that they have had, now have or might now have against Seller Releasor and Seller Release Parties in connection with the matters that are the subject of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of this Amendment; provided, however, that for the avoidance of doubt, Seller Releasor’s and Seller Release Parties’ obligations under Article X of the Purchase Agreement shall survive according to their terms for all matters that do not directly arise from the matters that are the subject of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of this Amendment. Purchaser Release Parties acknowledge that there is a possibility that subsequent to the date hereof, Purchaser Release Parties will discover facts or incur or suffer claims that were unknown or unsuspected at the time this Amendment was executed, and which if known by Purchaser Release Parties at that time may have materially affected their decision to agree to this </w:t>
      </w:r>
      <w:r>
        <w:rPr>
          <w:rFonts w:ascii="Arial" w:cs="Arial" w:eastAsia="Arial" w:hAnsi="Arial"/>
          <w:sz w:val="19"/>
          <w:szCs w:val="19"/>
          <w:u w:val="single" w:color="auto"/>
          <w:color w:val="auto"/>
        </w:rPr>
        <w:t>Section 3(b)</w:t>
      </w:r>
      <w:r>
        <w:rPr>
          <w:rFonts w:ascii="Arial" w:cs="Arial" w:eastAsia="Arial" w:hAnsi="Arial"/>
          <w:sz w:val="19"/>
          <w:szCs w:val="19"/>
          <w:color w:val="auto"/>
        </w:rPr>
        <w:t xml:space="preserve">. Purchaser Release Parties, acknowledge and agree that by reason of this Agreement, and the releases contained in the first sentence of this </w:t>
      </w:r>
      <w:r>
        <w:rPr>
          <w:rFonts w:ascii="Arial" w:cs="Arial" w:eastAsia="Arial" w:hAnsi="Arial"/>
          <w:sz w:val="19"/>
          <w:szCs w:val="19"/>
          <w:u w:val="single" w:color="auto"/>
          <w:color w:val="auto"/>
        </w:rPr>
        <w:t>Section 3(b)</w:t>
      </w:r>
      <w:r>
        <w:rPr>
          <w:rFonts w:ascii="Arial" w:cs="Arial" w:eastAsia="Arial" w:hAnsi="Arial"/>
          <w:sz w:val="19"/>
          <w:szCs w:val="19"/>
          <w:color w:val="auto"/>
        </w:rPr>
        <w:t xml:space="preserve">, the Purchaser Release Parties, are assuming any risk of such unknown facts and such unknown and unsuspected claims. Purchase Release Parties agree that the Purchaser Release Parties will forever refrain and forbear from commencing, instituting or prosecuting any lawsuit, action or other proceeding of any kind whatsoever, by way of action, defense, set-off, cross-complaint or counterclaim, against the Seller Release Parties based on, arising out of, or in connection with any right or claim, which is released and discharged by reason of the first sentence of this </w:t>
      </w:r>
      <w:r>
        <w:rPr>
          <w:rFonts w:ascii="Arial" w:cs="Arial" w:eastAsia="Arial" w:hAnsi="Arial"/>
          <w:sz w:val="19"/>
          <w:szCs w:val="19"/>
          <w:u w:val="single" w:color="auto"/>
          <w:color w:val="auto"/>
        </w:rPr>
        <w:t>Section 3(b)</w:t>
      </w:r>
      <w:r>
        <w:rPr>
          <w:rFonts w:ascii="Arial" w:cs="Arial" w:eastAsia="Arial" w:hAnsi="Arial"/>
          <w:sz w:val="19"/>
          <w:szCs w:val="19"/>
          <w:color w:val="auto"/>
        </w:rPr>
        <w:t xml:space="preserve">. If any provision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3(b)</w:t>
      </w:r>
      <w:r>
        <w:rPr>
          <w:rFonts w:ascii="Arial" w:cs="Arial" w:eastAsia="Arial" w:hAnsi="Arial"/>
          <w:sz w:val="19"/>
          <w:szCs w:val="19"/>
          <w:color w:val="auto"/>
        </w:rPr>
        <w:t xml:space="preserve"> is held to be invalid or unenforceable for any reason, such provision shall be ineffective to the extent of such invalidity or unenforceability;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remaining provisions of this </w:t>
      </w:r>
      <w:r>
        <w:rPr>
          <w:rFonts w:ascii="Arial" w:cs="Arial" w:eastAsia="Arial" w:hAnsi="Arial"/>
          <w:sz w:val="19"/>
          <w:szCs w:val="19"/>
          <w:u w:val="single" w:color="auto"/>
          <w:color w:val="auto"/>
        </w:rPr>
        <w:t>Section 3(b)</w:t>
      </w:r>
      <w:r>
        <w:rPr>
          <w:rFonts w:ascii="Arial" w:cs="Arial" w:eastAsia="Arial" w:hAnsi="Arial"/>
          <w:sz w:val="19"/>
          <w:szCs w:val="19"/>
          <w:color w:val="auto"/>
        </w:rPr>
        <w:t xml:space="preserve"> will continue in full force and effect without being impaired or invalidated in any way unless such invalid or unenforceable provision or clause is so significant as to materially affect the expectations of the parties regarding this </w:t>
      </w:r>
      <w:r>
        <w:rPr>
          <w:rFonts w:ascii="Arial" w:cs="Arial" w:eastAsia="Arial" w:hAnsi="Arial"/>
          <w:sz w:val="19"/>
          <w:szCs w:val="19"/>
          <w:u w:val="single" w:color="auto"/>
          <w:color w:val="auto"/>
        </w:rPr>
        <w:t>Section 3(b)</w:t>
      </w:r>
      <w:r>
        <w:rPr>
          <w:rFonts w:ascii="Arial" w:cs="Arial" w:eastAsia="Arial" w:hAnsi="Arial"/>
          <w:sz w:val="19"/>
          <w:szCs w:val="19"/>
          <w:color w:val="auto"/>
        </w:rPr>
        <w:t>. Otherwise, any invalid or unenforceable provision shall be replaced by the parties with a</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37465</wp:posOffset>
            </wp:positionV>
            <wp:extent cx="71748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34" w:right="339" w:bottom="1440" w:gutter="0" w:footer="0" w:header="0"/>
        </w:sectPr>
      </w:pPr>
    </w:p>
    <w:bookmarkStart w:id="98" w:name="page99"/>
    <w:bookmarkEnd w:id="98"/>
    <w:p>
      <w:pPr>
        <w:ind w:left="2580" w:right="20"/>
        <w:spacing w:after="0" w:line="250" w:lineRule="auto"/>
        <w:rPr>
          <w:sz w:val="20"/>
          <w:szCs w:val="20"/>
          <w:color w:val="auto"/>
        </w:rPr>
      </w:pPr>
      <w:r>
        <w:rPr>
          <w:rFonts w:ascii="Arial" w:cs="Arial" w:eastAsia="Arial" w:hAnsi="Arial"/>
          <w:sz w:val="22"/>
          <w:szCs w:val="22"/>
          <w:color w:val="auto"/>
        </w:rPr>
        <w:t>valid provision that most closely approximates the intent and economic effect of the invalid or unenforceable provision.</w:t>
      </w:r>
    </w:p>
    <w:p>
      <w:pPr>
        <w:spacing w:after="0" w:line="175" w:lineRule="exact"/>
        <w:rPr>
          <w:sz w:val="20"/>
          <w:szCs w:val="20"/>
          <w:color w:val="auto"/>
        </w:rPr>
      </w:pPr>
    </w:p>
    <w:p>
      <w:pPr>
        <w:jc w:val="both"/>
        <w:ind w:firstLine="872"/>
        <w:spacing w:after="0" w:line="275" w:lineRule="auto"/>
        <w:tabs>
          <w:tab w:leader="none" w:pos="1674"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 Except as expressly modified by this Amendment, all of the terms and conditions of the Purchase Agreement shall remain in full force and effect. In the event of any conflict or inconsistency between the terms and conditions of the Purchase Agreement and this Amendment, the terms and conditions of this Amendment shall control and govern. This Amendment may be executed in multiple counterparts which, when taken together, shall constitute one and the same document. The exchange of copies of this Amendment and of signature pages by facsimile, or by .pdf or similar imaging transmission, will constitute effective execution and delivery of this Amendment as to the parties and may be used in lieu of the original agreement for all purposes. Signatures of the parties transmitted by facsimile, or by .pdf or similar imaging transmission, will be deemed to be their original signatures for any purpose whatsoever.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748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99" w:name="page100"/>
    <w:bookmarkEnd w:id="99"/>
    <w:p>
      <w:pPr>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have executed this Amendment effective as of the date first above written.</w:t>
      </w:r>
    </w:p>
    <w:p>
      <w:pPr>
        <w:sectPr>
          <w:pgSz w:w="11900" w:h="16838" w:orient="portrait"/>
          <w:cols w:equalWidth="0" w:num="1">
            <w:col w:w="9940"/>
          </w:cols>
          <w:pgMar w:left="1200" w:top="544"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320"/>
        <w:spacing w:after="0"/>
        <w:rPr>
          <w:sz w:val="20"/>
          <w:szCs w:val="20"/>
          <w:color w:val="auto"/>
        </w:rPr>
      </w:pPr>
      <w:r>
        <w:rPr>
          <w:rFonts w:ascii="Arial" w:cs="Arial" w:eastAsia="Arial" w:hAnsi="Arial"/>
          <w:sz w:val="22"/>
          <w:szCs w:val="22"/>
          <w:b w:val="1"/>
          <w:bCs w:val="1"/>
          <w:u w:val="single" w:color="auto"/>
          <w:color w:val="auto"/>
        </w:rPr>
        <w:t>PURCHASER</w:t>
      </w:r>
      <w:r>
        <w:rPr>
          <w:rFonts w:ascii="Arial" w:cs="Arial" w:eastAsia="Arial" w:hAnsi="Arial"/>
          <w:sz w:val="22"/>
          <w:szCs w:val="22"/>
          <w:b w:val="1"/>
          <w:bCs w:val="1"/>
          <w:color w:val="auto"/>
        </w:rPr>
        <w:t>:</w:t>
      </w:r>
    </w:p>
    <w:p>
      <w:pPr>
        <w:spacing w:after="0" w:line="206"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GENESCO BRANDS NY, LLC</w:t>
      </w:r>
    </w:p>
    <w:p>
      <w:pPr>
        <w:spacing w:after="0" w:line="212" w:lineRule="exact"/>
        <w:rPr>
          <w:sz w:val="20"/>
          <w:szCs w:val="20"/>
          <w:color w:val="auto"/>
        </w:rPr>
      </w:pPr>
    </w:p>
    <w:p>
      <w:pPr>
        <w:ind w:left="4320"/>
        <w:spacing w:after="0"/>
        <w:tabs>
          <w:tab w:leader="none" w:pos="52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Mimi E. Vaughn</w:t>
      </w:r>
    </w:p>
    <w:p>
      <w:pPr>
        <w:ind w:left="4320"/>
        <w:spacing w:after="0" w:line="238" w:lineRule="auto"/>
        <w:tabs>
          <w:tab w:leader="none" w:pos="552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Mimi E. Vaughn</w:t>
      </w:r>
    </w:p>
    <w:p>
      <w:pPr>
        <w:ind w:left="4320"/>
        <w:spacing w:after="0"/>
        <w:tabs>
          <w:tab w:leader="none" w:pos="54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6"/>
          <w:szCs w:val="16"/>
          <w:b w:val="1"/>
          <w:bCs w:val="1"/>
          <w:i w:val="1"/>
          <w:iCs w:val="1"/>
          <w:color w:val="auto"/>
        </w:rPr>
        <w:t>[Signature Page to Amendment No. 1 to Asset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78105</wp:posOffset>
            </wp:positionV>
            <wp:extent cx="71748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940"/>
          </w:cols>
          <w:pgMar w:left="1200" w:top="544" w:right="759" w:bottom="1440" w:gutter="0" w:footer="0" w:header="0"/>
          <w:type w:val="continuous"/>
        </w:sectPr>
      </w:pPr>
    </w:p>
    <w:bookmarkStart w:id="100" w:name="page101"/>
    <w:bookmarkEnd w:id="100"/>
    <w:p>
      <w:pPr>
        <w:ind w:left="4080"/>
        <w:spacing w:after="0"/>
        <w:rPr>
          <w:sz w:val="20"/>
          <w:szCs w:val="20"/>
          <w:color w:val="auto"/>
        </w:rPr>
      </w:pPr>
      <w:r>
        <w:rPr>
          <w:rFonts w:ascii="Arial" w:cs="Arial" w:eastAsia="Arial" w:hAnsi="Arial"/>
          <w:sz w:val="21"/>
          <w:szCs w:val="21"/>
          <w:b w:val="1"/>
          <w:bCs w:val="1"/>
          <w:u w:val="single" w:color="auto"/>
          <w:color w:val="auto"/>
        </w:rPr>
        <w:t>SELLERS</w:t>
      </w:r>
      <w:r>
        <w:rPr>
          <w:rFonts w:ascii="Arial" w:cs="Arial" w:eastAsia="Arial" w:hAnsi="Arial"/>
          <w:sz w:val="21"/>
          <w:szCs w:val="21"/>
          <w:b w:val="1"/>
          <w:bCs w:val="1"/>
          <w:color w:val="auto"/>
        </w:rPr>
        <w:t>:</w:t>
      </w:r>
    </w:p>
    <w:p>
      <w:pPr>
        <w:spacing w:after="0" w:line="218" w:lineRule="exact"/>
        <w:rPr>
          <w:sz w:val="20"/>
          <w:szCs w:val="20"/>
          <w:color w:val="auto"/>
        </w:rPr>
      </w:pPr>
    </w:p>
    <w:p>
      <w:pPr>
        <w:ind w:left="3540"/>
        <w:spacing w:after="0"/>
        <w:rPr>
          <w:sz w:val="20"/>
          <w:szCs w:val="20"/>
          <w:color w:val="auto"/>
        </w:rPr>
      </w:pPr>
      <w:r>
        <w:rPr>
          <w:rFonts w:ascii="Arial" w:cs="Arial" w:eastAsia="Arial" w:hAnsi="Arial"/>
          <w:sz w:val="22"/>
          <w:szCs w:val="22"/>
          <w:b w:val="1"/>
          <w:bCs w:val="1"/>
          <w:color w:val="auto"/>
        </w:rPr>
        <w:t>TOGAST LLC</w:t>
      </w:r>
    </w:p>
    <w:p>
      <w:pPr>
        <w:sectPr>
          <w:pgSz w:w="11900" w:h="16838" w:orient="portrait"/>
          <w:cols w:equalWidth="0" w:num="1">
            <w:col w:w="9019"/>
          </w:cols>
          <w:pgMar w:left="1440" w:top="328" w:right="1440" w:bottom="1440" w:gutter="0" w:footer="0" w:header="0"/>
        </w:sectPr>
      </w:pPr>
    </w:p>
    <w:p>
      <w:pPr>
        <w:spacing w:after="0" w:line="212" w:lineRule="exact"/>
        <w:rPr>
          <w:sz w:val="20"/>
          <w:szCs w:val="20"/>
          <w:color w:val="auto"/>
        </w:rPr>
      </w:pPr>
    </w:p>
    <w:p>
      <w:pPr>
        <w:ind w:left="354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3740"/>
        <w:spacing w:after="0"/>
        <w:rPr>
          <w:sz w:val="20"/>
          <w:szCs w:val="20"/>
          <w:color w:val="auto"/>
        </w:rPr>
      </w:pPr>
      <w:r>
        <w:rPr>
          <w:rFonts w:ascii="Arial" w:cs="Arial" w:eastAsia="Arial" w:hAnsi="Arial"/>
          <w:sz w:val="19"/>
          <w:szCs w:val="19"/>
          <w:color w:val="auto"/>
        </w:rPr>
        <w:t>Name:</w:t>
      </w:r>
    </w:p>
    <w:p>
      <w:pPr>
        <w:spacing w:after="0" w:line="25"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auto"/>
        </w:rPr>
        <w:t>/s/ Anthony LoConte</w:t>
      </w:r>
    </w:p>
    <w:p>
      <w:pPr>
        <w:spacing w:after="0" w:line="8" w:lineRule="exact"/>
        <w:rPr>
          <w:sz w:val="20"/>
          <w:szCs w:val="20"/>
          <w:color w:val="auto"/>
        </w:rPr>
      </w:pPr>
    </w:p>
    <w:p>
      <w:pPr>
        <w:ind w:left="460"/>
        <w:spacing w:after="0"/>
        <w:rPr>
          <w:sz w:val="20"/>
          <w:szCs w:val="20"/>
          <w:color w:val="auto"/>
        </w:rPr>
      </w:pPr>
      <w:r>
        <w:rPr>
          <w:rFonts w:ascii="Arial" w:cs="Arial" w:eastAsia="Arial" w:hAnsi="Arial"/>
          <w:sz w:val="19"/>
          <w:szCs w:val="19"/>
          <w:color w:val="auto"/>
        </w:rPr>
        <w:t>Anthony LoConte</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Manager</w:t>
      </w:r>
    </w:p>
    <w:p>
      <w:pPr>
        <w:spacing w:after="0" w:line="200" w:lineRule="exact"/>
        <w:rPr>
          <w:sz w:val="20"/>
          <w:szCs w:val="20"/>
          <w:color w:val="auto"/>
        </w:rPr>
      </w:pPr>
    </w:p>
    <w:p>
      <w:pPr>
        <w:sectPr>
          <w:pgSz w:w="11900" w:h="16838" w:orient="portrait"/>
          <w:cols w:equalWidth="0" w:num="2">
            <w:col w:w="4320" w:space="180"/>
            <w:col w:w="4519"/>
          </w:cols>
          <w:pgMar w:left="1440" w:top="328" w:right="1440"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ind w:left="3540"/>
        <w:spacing w:after="0"/>
        <w:rPr>
          <w:sz w:val="20"/>
          <w:szCs w:val="20"/>
          <w:color w:val="auto"/>
        </w:rPr>
      </w:pPr>
      <w:r>
        <w:rPr>
          <w:rFonts w:ascii="Arial" w:cs="Arial" w:eastAsia="Arial" w:hAnsi="Arial"/>
          <w:sz w:val="21"/>
          <w:szCs w:val="21"/>
          <w:b w:val="1"/>
          <w:bCs w:val="1"/>
          <w:color w:val="auto"/>
        </w:rPr>
        <w:t>TOGAST DIRECT, LLC</w:t>
      </w:r>
    </w:p>
    <w:p>
      <w:pPr>
        <w:sectPr>
          <w:pgSz w:w="11900" w:h="16838" w:orient="portrait"/>
          <w:cols w:equalWidth="0" w:num="1">
            <w:col w:w="9019"/>
          </w:cols>
          <w:pgMar w:left="1440" w:top="328" w:right="1440" w:bottom="1440" w:gutter="0" w:footer="0" w:header="0"/>
          <w:type w:val="continuous"/>
        </w:sectPr>
      </w:pPr>
    </w:p>
    <w:p>
      <w:pPr>
        <w:spacing w:after="0" w:line="224" w:lineRule="exact"/>
        <w:rPr>
          <w:sz w:val="20"/>
          <w:szCs w:val="20"/>
          <w:color w:val="auto"/>
        </w:rPr>
      </w:pPr>
    </w:p>
    <w:p>
      <w:pPr>
        <w:ind w:left="354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3740"/>
        <w:spacing w:after="0"/>
        <w:rPr>
          <w:sz w:val="20"/>
          <w:szCs w:val="20"/>
          <w:color w:val="auto"/>
        </w:rPr>
      </w:pPr>
      <w:r>
        <w:rPr>
          <w:rFonts w:ascii="Arial" w:cs="Arial" w:eastAsia="Arial" w:hAnsi="Arial"/>
          <w:sz w:val="19"/>
          <w:szCs w:val="19"/>
          <w:color w:val="auto"/>
        </w:rPr>
        <w:t>Name:</w:t>
      </w:r>
    </w:p>
    <w:p>
      <w:pPr>
        <w:spacing w:after="0" w:line="25"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/s/ Anthony LoConte</w:t>
      </w:r>
    </w:p>
    <w:p>
      <w:pPr>
        <w:spacing w:after="0" w:line="8" w:lineRule="exact"/>
        <w:rPr>
          <w:sz w:val="20"/>
          <w:szCs w:val="20"/>
          <w:color w:val="auto"/>
        </w:rPr>
      </w:pPr>
    </w:p>
    <w:p>
      <w:pPr>
        <w:ind w:left="460"/>
        <w:spacing w:after="0"/>
        <w:rPr>
          <w:sz w:val="20"/>
          <w:szCs w:val="20"/>
          <w:color w:val="auto"/>
        </w:rPr>
      </w:pPr>
      <w:r>
        <w:rPr>
          <w:rFonts w:ascii="Arial" w:cs="Arial" w:eastAsia="Arial" w:hAnsi="Arial"/>
          <w:sz w:val="19"/>
          <w:szCs w:val="19"/>
          <w:color w:val="auto"/>
        </w:rPr>
        <w:t>Anthony LoConte</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Manager</w:t>
      </w:r>
    </w:p>
    <w:p>
      <w:pPr>
        <w:spacing w:after="0" w:line="200" w:lineRule="exact"/>
        <w:rPr>
          <w:sz w:val="20"/>
          <w:szCs w:val="20"/>
          <w:color w:val="auto"/>
        </w:rPr>
      </w:pPr>
    </w:p>
    <w:p>
      <w:pPr>
        <w:sectPr>
          <w:pgSz w:w="11900" w:h="16838" w:orient="portrait"/>
          <w:cols w:equalWidth="0" w:num="2">
            <w:col w:w="4320" w:space="180"/>
            <w:col w:w="4519"/>
          </w:cols>
          <w:pgMar w:left="1440" w:top="328" w:right="1440"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TGB DESIGN, LLC</w:t>
      </w:r>
    </w:p>
    <w:p>
      <w:pPr>
        <w:sectPr>
          <w:pgSz w:w="11900" w:h="16838" w:orient="portrait"/>
          <w:cols w:equalWidth="0" w:num="1">
            <w:col w:w="9019"/>
          </w:cols>
          <w:pgMar w:left="1440" w:top="328" w:right="1440" w:bottom="1440" w:gutter="0" w:footer="0" w:header="0"/>
          <w:type w:val="continuous"/>
        </w:sectPr>
      </w:pPr>
    </w:p>
    <w:p>
      <w:pPr>
        <w:spacing w:after="0" w:line="224" w:lineRule="exact"/>
        <w:rPr>
          <w:sz w:val="20"/>
          <w:szCs w:val="20"/>
          <w:color w:val="auto"/>
        </w:rPr>
      </w:pPr>
    </w:p>
    <w:p>
      <w:pPr>
        <w:ind w:left="354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3740"/>
        <w:spacing w:after="0"/>
        <w:rPr>
          <w:sz w:val="20"/>
          <w:szCs w:val="20"/>
          <w:color w:val="auto"/>
        </w:rPr>
      </w:pPr>
      <w:r>
        <w:rPr>
          <w:rFonts w:ascii="Arial" w:cs="Arial" w:eastAsia="Arial" w:hAnsi="Arial"/>
          <w:sz w:val="19"/>
          <w:szCs w:val="19"/>
          <w:color w:val="auto"/>
        </w:rPr>
        <w:t>Name:</w:t>
      </w:r>
    </w:p>
    <w:p>
      <w:pPr>
        <w:spacing w:after="0" w:line="25"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/s/ Anthony LoConte</w:t>
      </w:r>
    </w:p>
    <w:p>
      <w:pPr>
        <w:spacing w:after="0" w:line="8" w:lineRule="exact"/>
        <w:rPr>
          <w:sz w:val="20"/>
          <w:szCs w:val="20"/>
          <w:color w:val="auto"/>
        </w:rPr>
      </w:pPr>
    </w:p>
    <w:p>
      <w:pPr>
        <w:ind w:left="460"/>
        <w:spacing w:after="0"/>
        <w:rPr>
          <w:sz w:val="20"/>
          <w:szCs w:val="20"/>
          <w:color w:val="auto"/>
        </w:rPr>
      </w:pPr>
      <w:r>
        <w:rPr>
          <w:rFonts w:ascii="Arial" w:cs="Arial" w:eastAsia="Arial" w:hAnsi="Arial"/>
          <w:sz w:val="19"/>
          <w:szCs w:val="19"/>
          <w:color w:val="auto"/>
        </w:rPr>
        <w:t>Anthony LoConte</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Manager</w:t>
      </w:r>
    </w:p>
    <w:p>
      <w:pPr>
        <w:spacing w:after="0" w:line="200" w:lineRule="exact"/>
        <w:rPr>
          <w:sz w:val="20"/>
          <w:szCs w:val="20"/>
          <w:color w:val="auto"/>
        </w:rPr>
      </w:pPr>
    </w:p>
    <w:p>
      <w:pPr>
        <w:sectPr>
          <w:pgSz w:w="11900" w:h="16838" w:orient="portrait"/>
          <w:cols w:equalWidth="0" w:num="2">
            <w:col w:w="4320" w:space="180"/>
            <w:col w:w="4519"/>
          </w:cols>
          <w:pgMar w:left="1440" w:top="328" w:right="1440"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jc w:val="right"/>
        <w:ind w:right="1399"/>
        <w:spacing w:after="0"/>
        <w:rPr>
          <w:sz w:val="20"/>
          <w:szCs w:val="20"/>
          <w:color w:val="auto"/>
        </w:rPr>
      </w:pPr>
      <w:r>
        <w:rPr>
          <w:rFonts w:ascii="Arial" w:cs="Arial" w:eastAsia="Arial" w:hAnsi="Arial"/>
          <w:sz w:val="21"/>
          <w:szCs w:val="21"/>
          <w:b w:val="1"/>
          <w:bCs w:val="1"/>
          <w:color w:val="auto"/>
        </w:rPr>
        <w:t>QUANZHOU TGB FOOTWEAR CO. LTD.</w:t>
      </w:r>
    </w:p>
    <w:p>
      <w:pPr>
        <w:sectPr>
          <w:pgSz w:w="11900" w:h="16838" w:orient="portrait"/>
          <w:cols w:equalWidth="0" w:num="1">
            <w:col w:w="9019"/>
          </w:cols>
          <w:pgMar w:left="1440" w:top="328" w:right="1440" w:bottom="1440" w:gutter="0" w:footer="0" w:header="0"/>
          <w:type w:val="continuous"/>
        </w:sectPr>
      </w:pPr>
    </w:p>
    <w:p>
      <w:pPr>
        <w:spacing w:after="0" w:line="224" w:lineRule="exact"/>
        <w:rPr>
          <w:sz w:val="20"/>
          <w:szCs w:val="20"/>
          <w:color w:val="auto"/>
        </w:rPr>
      </w:pPr>
    </w:p>
    <w:p>
      <w:pPr>
        <w:ind w:left="354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3740"/>
        <w:spacing w:after="0"/>
        <w:rPr>
          <w:sz w:val="20"/>
          <w:szCs w:val="20"/>
          <w:color w:val="auto"/>
        </w:rPr>
      </w:pPr>
      <w:r>
        <w:rPr>
          <w:rFonts w:ascii="Arial" w:cs="Arial" w:eastAsia="Arial" w:hAnsi="Arial"/>
          <w:sz w:val="19"/>
          <w:szCs w:val="19"/>
          <w:color w:val="auto"/>
        </w:rPr>
        <w:t>Name:</w:t>
      </w:r>
    </w:p>
    <w:p>
      <w:pPr>
        <w:spacing w:after="0" w:line="25"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/s/ Anthony LoConte</w:t>
      </w:r>
    </w:p>
    <w:p>
      <w:pPr>
        <w:spacing w:after="0" w:line="8" w:lineRule="exact"/>
        <w:rPr>
          <w:sz w:val="20"/>
          <w:szCs w:val="20"/>
          <w:color w:val="auto"/>
        </w:rPr>
      </w:pPr>
    </w:p>
    <w:p>
      <w:pPr>
        <w:ind w:left="460"/>
        <w:spacing w:after="0"/>
        <w:rPr>
          <w:sz w:val="20"/>
          <w:szCs w:val="20"/>
          <w:color w:val="auto"/>
        </w:rPr>
      </w:pPr>
      <w:r>
        <w:rPr>
          <w:rFonts w:ascii="Arial" w:cs="Arial" w:eastAsia="Arial" w:hAnsi="Arial"/>
          <w:sz w:val="19"/>
          <w:szCs w:val="19"/>
          <w:color w:val="auto"/>
        </w:rPr>
        <w:t>Anthony LoConte</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Manager</w:t>
      </w:r>
    </w:p>
    <w:p>
      <w:pPr>
        <w:spacing w:after="0" w:line="200" w:lineRule="exact"/>
        <w:rPr>
          <w:sz w:val="20"/>
          <w:szCs w:val="20"/>
          <w:color w:val="auto"/>
        </w:rPr>
      </w:pPr>
    </w:p>
    <w:p>
      <w:pPr>
        <w:sectPr>
          <w:pgSz w:w="11900" w:h="16838" w:orient="portrait"/>
          <w:cols w:equalWidth="0" w:num="2">
            <w:col w:w="4320" w:space="180"/>
            <w:col w:w="4519"/>
          </w:cols>
          <w:pgMar w:left="1440" w:top="328" w:right="1440"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ind w:left="3740"/>
        <w:spacing w:after="0"/>
        <w:rPr>
          <w:sz w:val="20"/>
          <w:szCs w:val="20"/>
          <w:color w:val="auto"/>
        </w:rPr>
      </w:pPr>
      <w:r>
        <w:rPr>
          <w:rFonts w:ascii="Arial" w:cs="Arial" w:eastAsia="Arial" w:hAnsi="Arial"/>
          <w:sz w:val="22"/>
          <w:szCs w:val="22"/>
          <w:b w:val="1"/>
          <w:bCs w:val="1"/>
          <w:u w:val="single" w:color="auto"/>
          <w:color w:val="auto"/>
        </w:rPr>
        <w:t>SELLERS’ REPRESENTATIVE</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/s/ Anthony LoConte</w:t>
      </w:r>
    </w:p>
    <w:p>
      <w:pPr>
        <w:spacing w:after="0" w:line="206"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Anthony LoConte</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[Signature Page to Amendment No. 1 to Asset Purchase Agreement]</w:t>
      </w:r>
    </w:p>
    <w:p>
      <w:pPr>
        <w:sectPr>
          <w:pgSz w:w="11900" w:h="16838" w:orient="portrait"/>
          <w:cols w:equalWidth="0" w:num="1">
            <w:col w:w="9019"/>
          </w:cols>
          <w:pgMar w:left="1440" w:top="328" w:right="1440" w:bottom="1440"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275"/>
        </w:trPr>
        <w:tc>
          <w:tcPr>
            <w:tcW w:w="2800" w:type="dxa"/>
            <w:vAlign w:val="bottom"/>
          </w:tcPr>
          <w:p>
            <w:pPr>
              <w:spacing w:after="0"/>
              <w:rPr>
                <w:sz w:val="23"/>
                <w:szCs w:val="23"/>
                <w:color w:val="auto"/>
              </w:rPr>
            </w:pPr>
          </w:p>
        </w:tc>
        <w:tc>
          <w:tcPr>
            <w:tcW w:w="4860" w:type="dxa"/>
            <w:vAlign w:val="bottom"/>
          </w:tcPr>
          <w:p>
            <w:pPr>
              <w:spacing w:after="0"/>
              <w:rPr>
                <w:sz w:val="23"/>
                <w:szCs w:val="23"/>
                <w:color w:val="auto"/>
              </w:rPr>
            </w:pPr>
          </w:p>
        </w:tc>
        <w:tc>
          <w:tcPr>
            <w:tcW w:w="3580" w:type="dxa"/>
            <w:vAlign w:val="bottom"/>
            <w:gridSpan w:val="2"/>
          </w:tcPr>
          <w:p>
            <w:pPr>
              <w:jc w:val="right"/>
              <w:spacing w:after="0"/>
              <w:rPr>
                <w:sz w:val="20"/>
                <w:szCs w:val="20"/>
                <w:color w:val="auto"/>
              </w:rPr>
            </w:pPr>
            <w:r>
              <w:rPr>
                <w:rFonts w:ascii="Arial" w:cs="Arial" w:eastAsia="Arial" w:hAnsi="Arial"/>
                <w:sz w:val="22"/>
                <w:szCs w:val="22"/>
                <w:color w:val="auto"/>
              </w:rPr>
              <w:t>Exhibit 21</w:t>
            </w:r>
          </w:p>
        </w:tc>
      </w:tr>
      <w:tr>
        <w:trPr>
          <w:trHeight w:val="459"/>
        </w:trPr>
        <w:tc>
          <w:tcPr>
            <w:tcW w:w="7660" w:type="dxa"/>
            <w:vAlign w:val="bottom"/>
            <w:gridSpan w:val="2"/>
          </w:tcPr>
          <w:p>
            <w:pPr>
              <w:ind w:left="2500"/>
              <w:spacing w:after="0"/>
              <w:rPr>
                <w:sz w:val="20"/>
                <w:szCs w:val="20"/>
                <w:color w:val="auto"/>
              </w:rPr>
            </w:pPr>
            <w:r>
              <w:rPr>
                <w:rFonts w:ascii="Arial" w:cs="Arial" w:eastAsia="Arial" w:hAnsi="Arial"/>
                <w:sz w:val="22"/>
                <w:szCs w:val="22"/>
                <w:color w:val="auto"/>
              </w:rPr>
              <w:t>SUBSIDIARIES OF THE REGISTRANT</w:t>
            </w:r>
          </w:p>
        </w:tc>
        <w:tc>
          <w:tcPr>
            <w:tcW w:w="3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24"/>
        </w:trPr>
        <w:tc>
          <w:tcPr>
            <w:tcW w:w="280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89"/>
              </w:rPr>
              <w:t>Subsidiaries of the Company:</w:t>
            </w:r>
          </w:p>
        </w:tc>
        <w:tc>
          <w:tcPr>
            <w:tcW w:w="48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9"/>
        </w:trPr>
        <w:tc>
          <w:tcPr>
            <w:tcW w:w="7660" w:type="dxa"/>
            <w:vAlign w:val="bottom"/>
            <w:gridSpan w:val="2"/>
          </w:tcPr>
          <w:p>
            <w:pPr>
              <w:spacing w:after="0"/>
              <w:rPr>
                <w:sz w:val="20"/>
                <w:szCs w:val="20"/>
                <w:color w:val="auto"/>
              </w:rPr>
            </w:pPr>
            <w:r>
              <w:rPr>
                <w:rFonts w:ascii="Arial" w:cs="Arial" w:eastAsia="Arial" w:hAnsi="Arial"/>
                <w:sz w:val="22"/>
                <w:szCs w:val="22"/>
                <w:b w:val="1"/>
                <w:bCs w:val="1"/>
                <w:color w:val="auto"/>
              </w:rPr>
              <w:t>Names of Subsidiary</w:t>
            </w:r>
            <w:r>
              <w:rPr>
                <w:rFonts w:ascii="Arial" w:cs="Arial" w:eastAsia="Arial" w:hAnsi="Arial"/>
                <w:sz w:val="24"/>
                <w:szCs w:val="24"/>
                <w:b w:val="1"/>
                <w:bCs w:val="1"/>
                <w:color w:val="auto"/>
                <w:vertAlign w:val="superscript"/>
              </w:rPr>
              <w:t>(1)</w:t>
            </w:r>
          </w:p>
        </w:tc>
        <w:tc>
          <w:tcPr>
            <w:tcW w:w="3580" w:type="dxa"/>
            <w:vAlign w:val="bottom"/>
            <w:gridSpan w:val="2"/>
          </w:tcPr>
          <w:p>
            <w:pPr>
              <w:jc w:val="right"/>
              <w:ind w:right="20"/>
              <w:spacing w:after="0"/>
              <w:rPr>
                <w:sz w:val="20"/>
                <w:szCs w:val="20"/>
                <w:color w:val="auto"/>
              </w:rPr>
            </w:pPr>
            <w:r>
              <w:rPr>
                <w:rFonts w:ascii="Arial" w:cs="Arial" w:eastAsia="Arial" w:hAnsi="Arial"/>
                <w:sz w:val="22"/>
                <w:szCs w:val="22"/>
                <w:b w:val="1"/>
                <w:bCs w:val="1"/>
                <w:color w:val="auto"/>
              </w:rPr>
              <w:t>Place of Incorporation</w:t>
            </w:r>
          </w:p>
        </w:tc>
      </w:tr>
      <w:tr>
        <w:trPr>
          <w:trHeight w:val="20"/>
        </w:trPr>
        <w:tc>
          <w:tcPr>
            <w:tcW w:w="2800" w:type="dxa"/>
            <w:vAlign w:val="bottom"/>
            <w:shd w:val="clear" w:color="auto" w:fill="000000"/>
          </w:tcPr>
          <w:p>
            <w:pPr>
              <w:spacing w:after="0" w:line="20" w:lineRule="exact"/>
              <w:rPr>
                <w:sz w:val="1"/>
                <w:szCs w:val="1"/>
                <w:color w:val="auto"/>
              </w:rPr>
            </w:pPr>
          </w:p>
        </w:tc>
        <w:tc>
          <w:tcPr>
            <w:tcW w:w="4860" w:type="dxa"/>
            <w:vAlign w:val="bottom"/>
            <w:shd w:val="clear" w:color="auto" w:fill="000000"/>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0"/>
        </w:trPr>
        <w:tc>
          <w:tcPr>
            <w:tcW w:w="7660" w:type="dxa"/>
            <w:vAlign w:val="bottom"/>
            <w:gridSpan w:val="2"/>
          </w:tcPr>
          <w:p>
            <w:pPr>
              <w:spacing w:after="0"/>
              <w:rPr>
                <w:sz w:val="20"/>
                <w:szCs w:val="20"/>
                <w:color w:val="auto"/>
              </w:rPr>
            </w:pPr>
            <w:r>
              <w:rPr>
                <w:rFonts w:ascii="Arial" w:cs="Arial" w:eastAsia="Arial" w:hAnsi="Arial"/>
                <w:sz w:val="22"/>
                <w:szCs w:val="22"/>
                <w:color w:val="auto"/>
              </w:rPr>
              <w:t>Flagg Bros. of Puerto Rico, Inc.</w:t>
            </w:r>
          </w:p>
        </w:tc>
        <w:tc>
          <w:tcPr>
            <w:tcW w:w="3580" w:type="dxa"/>
            <w:vAlign w:val="bottom"/>
            <w:gridSpan w:val="2"/>
          </w:tcPr>
          <w:p>
            <w:pPr>
              <w:jc w:val="right"/>
              <w:ind w:right="20"/>
              <w:spacing w:after="0"/>
              <w:rPr>
                <w:sz w:val="20"/>
                <w:szCs w:val="20"/>
                <w:color w:val="auto"/>
              </w:rPr>
            </w:pPr>
            <w:r>
              <w:rPr>
                <w:rFonts w:ascii="Arial" w:cs="Arial" w:eastAsia="Arial" w:hAnsi="Arial"/>
                <w:sz w:val="22"/>
                <w:szCs w:val="22"/>
                <w:color w:val="auto"/>
              </w:rPr>
              <w:t>Delaware</w:t>
            </w:r>
          </w:p>
        </w:tc>
      </w:tr>
      <w:tr>
        <w:trPr>
          <w:trHeight w:val="243"/>
        </w:trPr>
        <w:tc>
          <w:tcPr>
            <w:tcW w:w="7660" w:type="dxa"/>
            <w:vAlign w:val="bottom"/>
            <w:gridSpan w:val="2"/>
          </w:tcPr>
          <w:p>
            <w:pPr>
              <w:spacing w:after="0" w:line="243" w:lineRule="exact"/>
              <w:rPr>
                <w:sz w:val="20"/>
                <w:szCs w:val="20"/>
                <w:color w:val="auto"/>
              </w:rPr>
            </w:pPr>
            <w:r>
              <w:rPr>
                <w:rFonts w:ascii="Arial" w:cs="Arial" w:eastAsia="Arial" w:hAnsi="Arial"/>
                <w:sz w:val="22"/>
                <w:szCs w:val="22"/>
                <w:color w:val="auto"/>
              </w:rPr>
              <w:t>Genesco Brands, LLC</w:t>
            </w:r>
          </w:p>
        </w:tc>
        <w:tc>
          <w:tcPr>
            <w:tcW w:w="358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Delaware</w:t>
            </w:r>
          </w:p>
        </w:tc>
      </w:tr>
      <w:tr>
        <w:trPr>
          <w:trHeight w:val="243"/>
        </w:trPr>
        <w:tc>
          <w:tcPr>
            <w:tcW w:w="7660" w:type="dxa"/>
            <w:vAlign w:val="bottom"/>
            <w:gridSpan w:val="2"/>
          </w:tcPr>
          <w:p>
            <w:pPr>
              <w:spacing w:after="0" w:line="243" w:lineRule="exact"/>
              <w:rPr>
                <w:sz w:val="20"/>
                <w:szCs w:val="20"/>
                <w:color w:val="auto"/>
              </w:rPr>
            </w:pPr>
            <w:r>
              <w:rPr>
                <w:rFonts w:ascii="Arial" w:cs="Arial" w:eastAsia="Arial" w:hAnsi="Arial"/>
                <w:sz w:val="22"/>
                <w:szCs w:val="22"/>
                <w:color w:val="auto"/>
              </w:rPr>
              <w:t>Genesco Brands NY, LLC</w:t>
            </w:r>
          </w:p>
        </w:tc>
        <w:tc>
          <w:tcPr>
            <w:tcW w:w="358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Delaware</w:t>
            </w:r>
          </w:p>
        </w:tc>
      </w:tr>
      <w:tr>
        <w:trPr>
          <w:trHeight w:val="243"/>
        </w:trPr>
        <w:tc>
          <w:tcPr>
            <w:tcW w:w="7660" w:type="dxa"/>
            <w:vAlign w:val="bottom"/>
            <w:gridSpan w:val="2"/>
          </w:tcPr>
          <w:p>
            <w:pPr>
              <w:spacing w:after="0" w:line="243" w:lineRule="exact"/>
              <w:rPr>
                <w:sz w:val="20"/>
                <w:szCs w:val="20"/>
                <w:color w:val="auto"/>
              </w:rPr>
            </w:pPr>
            <w:r>
              <w:rPr>
                <w:rFonts w:ascii="Arial" w:cs="Arial" w:eastAsia="Arial" w:hAnsi="Arial"/>
                <w:sz w:val="22"/>
                <w:szCs w:val="22"/>
                <w:color w:val="auto"/>
              </w:rPr>
              <w:t>GVI, Inc.</w:t>
            </w:r>
          </w:p>
        </w:tc>
        <w:tc>
          <w:tcPr>
            <w:tcW w:w="358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Delaware</w:t>
            </w:r>
          </w:p>
        </w:tc>
      </w:tr>
      <w:tr>
        <w:trPr>
          <w:trHeight w:val="243"/>
        </w:trPr>
        <w:tc>
          <w:tcPr>
            <w:tcW w:w="7660" w:type="dxa"/>
            <w:vAlign w:val="bottom"/>
            <w:gridSpan w:val="2"/>
          </w:tcPr>
          <w:p>
            <w:pPr>
              <w:spacing w:after="0" w:line="243" w:lineRule="exact"/>
              <w:rPr>
                <w:sz w:val="20"/>
                <w:szCs w:val="20"/>
                <w:color w:val="auto"/>
              </w:rPr>
            </w:pPr>
            <w:r>
              <w:rPr>
                <w:rFonts w:ascii="Arial" w:cs="Arial" w:eastAsia="Arial" w:hAnsi="Arial"/>
                <w:sz w:val="22"/>
                <w:szCs w:val="22"/>
                <w:color w:val="auto"/>
              </w:rPr>
              <w:t>Hat World Corporation</w:t>
            </w:r>
          </w:p>
        </w:tc>
        <w:tc>
          <w:tcPr>
            <w:tcW w:w="358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Delaware</w:t>
            </w:r>
          </w:p>
        </w:tc>
      </w:tr>
      <w:tr>
        <w:trPr>
          <w:trHeight w:val="243"/>
        </w:trPr>
        <w:tc>
          <w:tcPr>
            <w:tcW w:w="7660" w:type="dxa"/>
            <w:vAlign w:val="bottom"/>
            <w:gridSpan w:val="2"/>
          </w:tcPr>
          <w:p>
            <w:pPr>
              <w:spacing w:after="0" w:line="243" w:lineRule="exact"/>
              <w:rPr>
                <w:sz w:val="20"/>
                <w:szCs w:val="20"/>
                <w:color w:val="auto"/>
              </w:rPr>
            </w:pPr>
            <w:r>
              <w:rPr>
                <w:rFonts w:ascii="Arial" w:cs="Arial" w:eastAsia="Arial" w:hAnsi="Arial"/>
                <w:sz w:val="22"/>
                <w:szCs w:val="22"/>
                <w:color w:val="auto"/>
              </w:rPr>
              <w:t>GCO Canada ULC</w:t>
            </w:r>
          </w:p>
        </w:tc>
        <w:tc>
          <w:tcPr>
            <w:tcW w:w="358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Canada</w:t>
            </w:r>
          </w:p>
        </w:tc>
      </w:tr>
      <w:tr>
        <w:trPr>
          <w:trHeight w:val="243"/>
        </w:trPr>
        <w:tc>
          <w:tcPr>
            <w:tcW w:w="7660" w:type="dxa"/>
            <w:vAlign w:val="bottom"/>
            <w:gridSpan w:val="2"/>
          </w:tcPr>
          <w:p>
            <w:pPr>
              <w:spacing w:after="0" w:line="243" w:lineRule="exact"/>
              <w:rPr>
                <w:sz w:val="20"/>
                <w:szCs w:val="20"/>
                <w:color w:val="auto"/>
              </w:rPr>
            </w:pPr>
            <w:r>
              <w:rPr>
                <w:rFonts w:ascii="Arial" w:cs="Arial" w:eastAsia="Arial" w:hAnsi="Arial"/>
                <w:sz w:val="22"/>
                <w:szCs w:val="22"/>
                <w:color w:val="auto"/>
              </w:rPr>
              <w:t>Genesco Footwear LLC</w:t>
            </w:r>
          </w:p>
        </w:tc>
        <w:tc>
          <w:tcPr>
            <w:tcW w:w="358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Tennessee</w:t>
            </w:r>
          </w:p>
        </w:tc>
      </w:tr>
      <w:tr>
        <w:trPr>
          <w:trHeight w:val="243"/>
        </w:trPr>
        <w:tc>
          <w:tcPr>
            <w:tcW w:w="7660" w:type="dxa"/>
            <w:vAlign w:val="bottom"/>
            <w:gridSpan w:val="2"/>
          </w:tcPr>
          <w:p>
            <w:pPr>
              <w:spacing w:after="0" w:line="243" w:lineRule="exact"/>
              <w:rPr>
                <w:sz w:val="20"/>
                <w:szCs w:val="20"/>
                <w:color w:val="auto"/>
              </w:rPr>
            </w:pPr>
            <w:r>
              <w:rPr>
                <w:rFonts w:ascii="Arial" w:cs="Arial" w:eastAsia="Arial" w:hAnsi="Arial"/>
                <w:sz w:val="22"/>
                <w:szCs w:val="22"/>
                <w:color w:val="auto"/>
              </w:rPr>
              <w:t>Genesco Services LLC</w:t>
            </w:r>
          </w:p>
        </w:tc>
        <w:tc>
          <w:tcPr>
            <w:tcW w:w="358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Tennessee</w:t>
            </w:r>
          </w:p>
        </w:tc>
      </w:tr>
      <w:tr>
        <w:trPr>
          <w:trHeight w:val="243"/>
        </w:trPr>
        <w:tc>
          <w:tcPr>
            <w:tcW w:w="7660" w:type="dxa"/>
            <w:vAlign w:val="bottom"/>
            <w:gridSpan w:val="2"/>
          </w:tcPr>
          <w:p>
            <w:pPr>
              <w:spacing w:after="0" w:line="243" w:lineRule="exact"/>
              <w:rPr>
                <w:sz w:val="20"/>
                <w:szCs w:val="20"/>
                <w:color w:val="auto"/>
              </w:rPr>
            </w:pPr>
            <w:r>
              <w:rPr>
                <w:rFonts w:ascii="Arial" w:cs="Arial" w:eastAsia="Arial" w:hAnsi="Arial"/>
                <w:sz w:val="22"/>
                <w:szCs w:val="22"/>
                <w:color w:val="auto"/>
              </w:rPr>
              <w:t>Lids Properties, LLC</w:t>
            </w:r>
          </w:p>
        </w:tc>
        <w:tc>
          <w:tcPr>
            <w:tcW w:w="358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Delaware</w:t>
            </w:r>
          </w:p>
        </w:tc>
      </w:tr>
      <w:tr>
        <w:trPr>
          <w:trHeight w:val="243"/>
        </w:trPr>
        <w:tc>
          <w:tcPr>
            <w:tcW w:w="7660" w:type="dxa"/>
            <w:vAlign w:val="bottom"/>
            <w:gridSpan w:val="2"/>
          </w:tcPr>
          <w:p>
            <w:pPr>
              <w:spacing w:after="0" w:line="243" w:lineRule="exact"/>
              <w:rPr>
                <w:sz w:val="20"/>
                <w:szCs w:val="20"/>
                <w:color w:val="auto"/>
              </w:rPr>
            </w:pPr>
            <w:r>
              <w:rPr>
                <w:rFonts w:ascii="Arial" w:cs="Arial" w:eastAsia="Arial" w:hAnsi="Arial"/>
                <w:sz w:val="22"/>
                <w:szCs w:val="22"/>
                <w:color w:val="auto"/>
              </w:rPr>
              <w:t>Genesco (Quanzhou) Footwear Co., Ltd.</w:t>
            </w:r>
          </w:p>
        </w:tc>
        <w:tc>
          <w:tcPr>
            <w:tcW w:w="358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China</w:t>
            </w:r>
          </w:p>
        </w:tc>
      </w:tr>
      <w:tr>
        <w:trPr>
          <w:trHeight w:val="243"/>
        </w:trPr>
        <w:tc>
          <w:tcPr>
            <w:tcW w:w="7660" w:type="dxa"/>
            <w:vAlign w:val="bottom"/>
            <w:gridSpan w:val="2"/>
          </w:tcPr>
          <w:p>
            <w:pPr>
              <w:spacing w:after="0" w:line="243" w:lineRule="exact"/>
              <w:rPr>
                <w:sz w:val="20"/>
                <w:szCs w:val="20"/>
                <w:color w:val="auto"/>
              </w:rPr>
            </w:pPr>
            <w:r>
              <w:rPr>
                <w:rFonts w:ascii="Arial" w:cs="Arial" w:eastAsia="Arial" w:hAnsi="Arial"/>
                <w:sz w:val="22"/>
                <w:szCs w:val="22"/>
                <w:color w:val="auto"/>
              </w:rPr>
              <w:t>Genesco (UK) Limited</w:t>
            </w:r>
          </w:p>
        </w:tc>
        <w:tc>
          <w:tcPr>
            <w:tcW w:w="358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United Kingdom</w:t>
            </w:r>
          </w:p>
        </w:tc>
      </w:tr>
      <w:tr>
        <w:trPr>
          <w:trHeight w:val="243"/>
        </w:trPr>
        <w:tc>
          <w:tcPr>
            <w:tcW w:w="7660" w:type="dxa"/>
            <w:vAlign w:val="bottom"/>
            <w:gridSpan w:val="2"/>
          </w:tcPr>
          <w:p>
            <w:pPr>
              <w:spacing w:after="0" w:line="243" w:lineRule="exact"/>
              <w:rPr>
                <w:sz w:val="20"/>
                <w:szCs w:val="20"/>
                <w:color w:val="auto"/>
              </w:rPr>
            </w:pPr>
            <w:r>
              <w:rPr>
                <w:rFonts w:ascii="Arial" w:cs="Arial" w:eastAsia="Arial" w:hAnsi="Arial"/>
                <w:sz w:val="22"/>
                <w:szCs w:val="22"/>
                <w:color w:val="auto"/>
              </w:rPr>
              <w:t>Schuh Group Limited</w:t>
            </w:r>
          </w:p>
        </w:tc>
        <w:tc>
          <w:tcPr>
            <w:tcW w:w="358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United Kingdom</w:t>
            </w:r>
          </w:p>
        </w:tc>
      </w:tr>
      <w:tr>
        <w:trPr>
          <w:trHeight w:val="243"/>
        </w:trPr>
        <w:tc>
          <w:tcPr>
            <w:tcW w:w="7660" w:type="dxa"/>
            <w:vAlign w:val="bottom"/>
            <w:gridSpan w:val="2"/>
          </w:tcPr>
          <w:p>
            <w:pPr>
              <w:spacing w:after="0" w:line="243" w:lineRule="exact"/>
              <w:rPr>
                <w:sz w:val="20"/>
                <w:szCs w:val="20"/>
                <w:color w:val="auto"/>
              </w:rPr>
            </w:pPr>
            <w:r>
              <w:rPr>
                <w:rFonts w:ascii="Arial" w:cs="Arial" w:eastAsia="Arial" w:hAnsi="Arial"/>
                <w:sz w:val="22"/>
                <w:szCs w:val="22"/>
                <w:color w:val="auto"/>
              </w:rPr>
              <w:t>Schuh (Holdings) Limited</w:t>
            </w:r>
          </w:p>
        </w:tc>
        <w:tc>
          <w:tcPr>
            <w:tcW w:w="358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United Kingdom</w:t>
            </w:r>
          </w:p>
        </w:tc>
      </w:tr>
      <w:tr>
        <w:trPr>
          <w:trHeight w:val="243"/>
        </w:trPr>
        <w:tc>
          <w:tcPr>
            <w:tcW w:w="7660" w:type="dxa"/>
            <w:vAlign w:val="bottom"/>
            <w:gridSpan w:val="2"/>
          </w:tcPr>
          <w:p>
            <w:pPr>
              <w:spacing w:after="0" w:line="243" w:lineRule="exact"/>
              <w:rPr>
                <w:sz w:val="20"/>
                <w:szCs w:val="20"/>
                <w:color w:val="auto"/>
              </w:rPr>
            </w:pPr>
            <w:r>
              <w:rPr>
                <w:rFonts w:ascii="Arial" w:cs="Arial" w:eastAsia="Arial" w:hAnsi="Arial"/>
                <w:sz w:val="22"/>
                <w:szCs w:val="22"/>
                <w:color w:val="auto"/>
              </w:rPr>
              <w:t>Schuh Limited</w:t>
            </w:r>
          </w:p>
        </w:tc>
        <w:tc>
          <w:tcPr>
            <w:tcW w:w="358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United Kingdom</w:t>
            </w:r>
          </w:p>
        </w:tc>
      </w:tr>
      <w:tr>
        <w:trPr>
          <w:trHeight w:val="243"/>
        </w:trPr>
        <w:tc>
          <w:tcPr>
            <w:tcW w:w="7660" w:type="dxa"/>
            <w:vAlign w:val="bottom"/>
            <w:gridSpan w:val="2"/>
          </w:tcPr>
          <w:p>
            <w:pPr>
              <w:spacing w:after="0" w:line="243" w:lineRule="exact"/>
              <w:rPr>
                <w:sz w:val="20"/>
                <w:szCs w:val="20"/>
                <w:color w:val="auto"/>
              </w:rPr>
            </w:pPr>
            <w:r>
              <w:rPr>
                <w:rFonts w:ascii="Arial" w:cs="Arial" w:eastAsia="Arial" w:hAnsi="Arial"/>
                <w:sz w:val="22"/>
                <w:szCs w:val="22"/>
                <w:color w:val="auto"/>
              </w:rPr>
              <w:t>Schuh (ROI) Limited</w:t>
            </w:r>
          </w:p>
        </w:tc>
        <w:tc>
          <w:tcPr>
            <w:tcW w:w="358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Republic of Ireland</w:t>
            </w:r>
          </w:p>
        </w:tc>
      </w:tr>
      <w:tr>
        <w:trPr>
          <w:trHeight w:val="243"/>
        </w:trPr>
        <w:tc>
          <w:tcPr>
            <w:tcW w:w="7660" w:type="dxa"/>
            <w:vAlign w:val="bottom"/>
            <w:gridSpan w:val="2"/>
          </w:tcPr>
          <w:p>
            <w:pPr>
              <w:spacing w:after="0" w:line="243" w:lineRule="exact"/>
              <w:rPr>
                <w:sz w:val="20"/>
                <w:szCs w:val="20"/>
                <w:color w:val="auto"/>
              </w:rPr>
            </w:pPr>
            <w:r>
              <w:rPr>
                <w:rFonts w:ascii="Arial" w:cs="Arial" w:eastAsia="Arial" w:hAnsi="Arial"/>
                <w:sz w:val="22"/>
                <w:szCs w:val="22"/>
                <w:color w:val="auto"/>
              </w:rPr>
              <w:t>Genesco Schuh GmbH</w:t>
            </w:r>
          </w:p>
        </w:tc>
        <w:tc>
          <w:tcPr>
            <w:tcW w:w="358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Germany</w:t>
            </w:r>
          </w:p>
        </w:tc>
      </w:tr>
      <w:tr>
        <w:trPr>
          <w:trHeight w:val="243"/>
        </w:trPr>
        <w:tc>
          <w:tcPr>
            <w:tcW w:w="7660" w:type="dxa"/>
            <w:vAlign w:val="bottom"/>
            <w:gridSpan w:val="2"/>
          </w:tcPr>
          <w:p>
            <w:pPr>
              <w:spacing w:after="0" w:line="243" w:lineRule="exact"/>
              <w:rPr>
                <w:sz w:val="20"/>
                <w:szCs w:val="20"/>
                <w:color w:val="auto"/>
              </w:rPr>
            </w:pPr>
            <w:r>
              <w:rPr>
                <w:rFonts w:ascii="Arial" w:cs="Arial" w:eastAsia="Arial" w:hAnsi="Arial"/>
                <w:sz w:val="22"/>
                <w:szCs w:val="22"/>
                <w:color w:val="auto"/>
              </w:rPr>
              <w:t>Genesco GP, LLC</w:t>
            </w:r>
          </w:p>
        </w:tc>
        <w:tc>
          <w:tcPr>
            <w:tcW w:w="358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United Kingdom</w:t>
            </w:r>
          </w:p>
        </w:tc>
      </w:tr>
      <w:tr>
        <w:trPr>
          <w:trHeight w:val="243"/>
        </w:trPr>
        <w:tc>
          <w:tcPr>
            <w:tcW w:w="7660" w:type="dxa"/>
            <w:vAlign w:val="bottom"/>
            <w:gridSpan w:val="2"/>
          </w:tcPr>
          <w:p>
            <w:pPr>
              <w:spacing w:after="0" w:line="243" w:lineRule="exact"/>
              <w:rPr>
                <w:sz w:val="20"/>
                <w:szCs w:val="20"/>
                <w:color w:val="auto"/>
              </w:rPr>
            </w:pPr>
            <w:r>
              <w:rPr>
                <w:rFonts w:ascii="Arial" w:cs="Arial" w:eastAsia="Arial" w:hAnsi="Arial"/>
                <w:sz w:val="22"/>
                <w:szCs w:val="22"/>
                <w:color w:val="auto"/>
              </w:rPr>
              <w:t>Genesco Scot LP</w:t>
            </w:r>
          </w:p>
        </w:tc>
        <w:tc>
          <w:tcPr>
            <w:tcW w:w="358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United Kingdom</w:t>
            </w:r>
          </w:p>
        </w:tc>
      </w:tr>
      <w:tr>
        <w:trPr>
          <w:trHeight w:val="264"/>
        </w:trPr>
        <w:tc>
          <w:tcPr>
            <w:tcW w:w="7660" w:type="dxa"/>
            <w:vAlign w:val="bottom"/>
            <w:gridSpan w:val="2"/>
          </w:tcPr>
          <w:p>
            <w:pPr>
              <w:spacing w:after="0"/>
              <w:rPr>
                <w:sz w:val="20"/>
                <w:szCs w:val="20"/>
                <w:color w:val="auto"/>
              </w:rPr>
            </w:pPr>
            <w:r>
              <w:rPr>
                <w:rFonts w:ascii="Arial" w:cs="Arial" w:eastAsia="Arial" w:hAnsi="Arial"/>
                <w:sz w:val="22"/>
                <w:szCs w:val="22"/>
                <w:color w:val="auto"/>
              </w:rPr>
              <w:t>Genesco (Jersey) Limited</w:t>
            </w:r>
          </w:p>
        </w:tc>
        <w:tc>
          <w:tcPr>
            <w:tcW w:w="3580" w:type="dxa"/>
            <w:vAlign w:val="bottom"/>
            <w:gridSpan w:val="2"/>
          </w:tcPr>
          <w:p>
            <w:pPr>
              <w:jc w:val="right"/>
              <w:ind w:right="20"/>
              <w:spacing w:after="0"/>
              <w:rPr>
                <w:sz w:val="20"/>
                <w:szCs w:val="20"/>
                <w:color w:val="auto"/>
              </w:rPr>
            </w:pPr>
            <w:r>
              <w:rPr>
                <w:rFonts w:ascii="Arial" w:cs="Arial" w:eastAsia="Arial" w:hAnsi="Arial"/>
                <w:sz w:val="22"/>
                <w:szCs w:val="22"/>
                <w:color w:val="auto"/>
              </w:rPr>
              <w:t>Jersey</w:t>
            </w:r>
          </w:p>
        </w:tc>
      </w:tr>
      <w:tr>
        <w:trPr>
          <w:trHeight w:val="20"/>
        </w:trPr>
        <w:tc>
          <w:tcPr>
            <w:tcW w:w="2800" w:type="dxa"/>
            <w:vAlign w:val="bottom"/>
            <w:shd w:val="clear" w:color="auto" w:fill="000000"/>
          </w:tcPr>
          <w:p>
            <w:pPr>
              <w:spacing w:after="0" w:line="20" w:lineRule="exact"/>
              <w:rPr>
                <w:sz w:val="1"/>
                <w:szCs w:val="1"/>
                <w:color w:val="auto"/>
              </w:rPr>
            </w:pPr>
          </w:p>
        </w:tc>
        <w:tc>
          <w:tcPr>
            <w:tcW w:w="4860" w:type="dxa"/>
            <w:vAlign w:val="bottom"/>
            <w:shd w:val="clear" w:color="auto" w:fill="000000"/>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27"/>
          <w:szCs w:val="27"/>
          <w:color w:val="auto"/>
          <w:vertAlign w:val="superscript"/>
        </w:rPr>
        <w:t>(1)</w:t>
      </w:r>
      <w:r>
        <w:rPr>
          <w:rFonts w:ascii="Arial" w:cs="Arial" w:eastAsia="Arial" w:hAnsi="Arial"/>
          <w:sz w:val="16"/>
          <w:szCs w:val="16"/>
          <w:color w:val="auto"/>
        </w:rPr>
        <w:t>100% of the equity of each listed subsidiary is owned either by the registrant or by a wholly-owned subsidiary of the registrant.</w:t>
      </w:r>
    </w:p>
    <w:p>
      <w:pPr>
        <w:sectPr>
          <w:pgSz w:w="11900" w:h="16838" w:orient="portrait"/>
          <w:cols w:equalWidth="0" w:num="1">
            <w:col w:w="11240"/>
          </w:cols>
          <w:pgMar w:left="320" w:top="118"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20"/>
          <w:szCs w:val="20"/>
          <w:color w:val="auto"/>
        </w:rPr>
        <w:t>Exhibit 24</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00" w:lineRule="exact"/>
        <w:rPr>
          <w:sz w:val="20"/>
          <w:szCs w:val="20"/>
          <w:color w:val="auto"/>
        </w:rPr>
      </w:pPr>
    </w:p>
    <w:p>
      <w:pPr>
        <w:spacing w:after="0" w:line="265"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undersigned directors of Genesco Inc., a Tennessee corporation (“Genesco”), do hereby constitute and appoint Scott E. Becker and Parag D. Desai, and any one of them, to act severally as attorneys-in-fact for and in their respective names, places and steads, with full power of substitution, to execute, sign and file with the Securities and Exchange Commission the Annual Report on Form 10-K of Genesco for the fiscal year ended January 30, 2021, and any and all amendments thereto; granting to said attorneys-in-fact, and each of them, full power and authority to do and perform every act and thing whatsoever requisite or necessary to be done in and about the premises as fully to all intents and purposes as the undersigned or any of them might or could do if personally present, and the undersigned do hereby ratify and confirm all that said attorney-in-fact or any of them, or their substitute or substitutes, may lawfully do or cause to be done by virtue hereof.</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auto"/>
        </w:rPr>
        <w:t>Executed this 16th day of March,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6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9"/>
              </w:rPr>
              <w:t>/s/Joanna Barsh</w:t>
            </w:r>
          </w:p>
        </w:tc>
        <w:tc>
          <w:tcPr>
            <w:tcW w:w="1100" w:type="dxa"/>
            <w:vAlign w:val="bottom"/>
            <w:gridSpan w:val="4"/>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auto"/>
                <w:w w:val="98"/>
              </w:rPr>
              <w:t>/s/Thurgood Marshall, Jr.</w:t>
            </w:r>
          </w:p>
        </w:tc>
        <w:tc>
          <w:tcPr>
            <w:tcW w:w="300" w:type="dxa"/>
            <w:vAlign w:val="bottom"/>
          </w:tcPr>
          <w:p>
            <w:pPr>
              <w:spacing w:after="0"/>
              <w:rPr>
                <w:sz w:val="19"/>
                <w:szCs w:val="19"/>
                <w:color w:val="auto"/>
              </w:rPr>
            </w:pPr>
          </w:p>
        </w:tc>
      </w:tr>
      <w:tr>
        <w:trPr>
          <w:trHeight w:val="254"/>
        </w:trPr>
        <w:tc>
          <w:tcPr>
            <w:tcW w:w="2560" w:type="dxa"/>
            <w:vAlign w:val="bottom"/>
            <w:gridSpan w:val="5"/>
          </w:tcPr>
          <w:p>
            <w:pPr>
              <w:spacing w:after="0"/>
              <w:rPr>
                <w:sz w:val="20"/>
                <w:szCs w:val="20"/>
                <w:color w:val="auto"/>
              </w:rPr>
            </w:pPr>
            <w:r>
              <w:rPr>
                <w:rFonts w:ascii="Arial" w:cs="Arial" w:eastAsia="Arial" w:hAnsi="Arial"/>
                <w:sz w:val="20"/>
                <w:szCs w:val="20"/>
                <w:color w:val="auto"/>
              </w:rPr>
              <w:t>Joanna Barsh, Director</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540" w:type="dxa"/>
            <w:vAlign w:val="bottom"/>
            <w:gridSpan w:val="5"/>
          </w:tcPr>
          <w:p>
            <w:pPr>
              <w:spacing w:after="0"/>
              <w:rPr>
                <w:sz w:val="20"/>
                <w:szCs w:val="20"/>
                <w:color w:val="auto"/>
              </w:rPr>
            </w:pPr>
            <w:r>
              <w:rPr>
                <w:rFonts w:ascii="Arial" w:cs="Arial" w:eastAsia="Arial" w:hAnsi="Arial"/>
                <w:sz w:val="20"/>
                <w:szCs w:val="20"/>
                <w:color w:val="auto"/>
                <w:w w:val="89"/>
              </w:rPr>
              <w:t>Thurgood Marshall, Jr., Director</w:t>
            </w:r>
          </w:p>
        </w:tc>
      </w:tr>
      <w:tr>
        <w:trPr>
          <w:trHeight w:val="644"/>
        </w:trPr>
        <w:tc>
          <w:tcPr>
            <w:tcW w:w="2120" w:type="dxa"/>
            <w:vAlign w:val="bottom"/>
            <w:gridSpan w:val="4"/>
          </w:tcPr>
          <w:p>
            <w:pPr>
              <w:spacing w:after="0"/>
              <w:rPr>
                <w:sz w:val="20"/>
                <w:szCs w:val="20"/>
                <w:color w:val="auto"/>
              </w:rPr>
            </w:pPr>
            <w:r>
              <w:rPr>
                <w:rFonts w:ascii="Arial" w:cs="Arial" w:eastAsia="Arial" w:hAnsi="Arial"/>
                <w:sz w:val="20"/>
                <w:szCs w:val="20"/>
                <w:color w:val="auto"/>
              </w:rPr>
              <w:t>/s/Matthew C. Diamond</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40" w:type="dxa"/>
            <w:vAlign w:val="bottom"/>
            <w:gridSpan w:val="6"/>
          </w:tcPr>
          <w:p>
            <w:pPr>
              <w:ind w:left="60"/>
              <w:spacing w:after="0"/>
              <w:rPr>
                <w:sz w:val="20"/>
                <w:szCs w:val="20"/>
                <w:color w:val="auto"/>
              </w:rPr>
            </w:pPr>
            <w:r>
              <w:rPr>
                <w:rFonts w:ascii="Arial" w:cs="Arial" w:eastAsia="Arial" w:hAnsi="Arial"/>
                <w:sz w:val="20"/>
                <w:szCs w:val="20"/>
                <w:color w:val="auto"/>
              </w:rPr>
              <w:t>/s/Kathleen Mason</w:t>
            </w:r>
          </w:p>
        </w:tc>
      </w:tr>
      <w:tr>
        <w:trPr>
          <w:trHeight w:val="20"/>
        </w:trPr>
        <w:tc>
          <w:tcPr>
            <w:tcW w:w="17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640" w:type="dxa"/>
            <w:vAlign w:val="bottom"/>
            <w:tcBorders>
              <w:right w:val="single" w:sz="8" w:color="auto"/>
            </w:tcBorders>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254"/>
        </w:trPr>
        <w:tc>
          <w:tcPr>
            <w:tcW w:w="2560" w:type="dxa"/>
            <w:vAlign w:val="bottom"/>
            <w:gridSpan w:val="5"/>
          </w:tcPr>
          <w:p>
            <w:pPr>
              <w:spacing w:after="0"/>
              <w:rPr>
                <w:sz w:val="20"/>
                <w:szCs w:val="20"/>
                <w:color w:val="auto"/>
              </w:rPr>
            </w:pPr>
            <w:r>
              <w:rPr>
                <w:rFonts w:ascii="Arial" w:cs="Arial" w:eastAsia="Arial" w:hAnsi="Arial"/>
                <w:sz w:val="20"/>
                <w:szCs w:val="20"/>
                <w:color w:val="auto"/>
                <w:w w:val="94"/>
              </w:rPr>
              <w:t>Matthew C. Diamond, Director</w:t>
            </w:r>
          </w:p>
        </w:tc>
        <w:tc>
          <w:tcPr>
            <w:tcW w:w="140" w:type="dxa"/>
            <w:vAlign w:val="bottom"/>
          </w:tcPr>
          <w:p>
            <w:pPr>
              <w:spacing w:after="0"/>
              <w:rPr>
                <w:sz w:val="22"/>
                <w:szCs w:val="22"/>
                <w:color w:val="auto"/>
              </w:rPr>
            </w:pPr>
          </w:p>
        </w:tc>
        <w:tc>
          <w:tcPr>
            <w:tcW w:w="2640" w:type="dxa"/>
            <w:vAlign w:val="bottom"/>
            <w:gridSpan w:val="6"/>
          </w:tcPr>
          <w:p>
            <w:pPr>
              <w:ind w:left="40"/>
              <w:spacing w:after="0"/>
              <w:rPr>
                <w:sz w:val="20"/>
                <w:szCs w:val="20"/>
                <w:color w:val="auto"/>
              </w:rPr>
            </w:pPr>
            <w:r>
              <w:rPr>
                <w:rFonts w:ascii="Arial" w:cs="Arial" w:eastAsia="Arial" w:hAnsi="Arial"/>
                <w:sz w:val="20"/>
                <w:szCs w:val="20"/>
                <w:color w:val="auto"/>
              </w:rPr>
              <w:t>Kathleen Mason, Director</w:t>
            </w:r>
          </w:p>
        </w:tc>
      </w:tr>
      <w:tr>
        <w:trPr>
          <w:trHeight w:val="414"/>
        </w:trPr>
        <w:tc>
          <w:tcPr>
            <w:tcW w:w="182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auto"/>
              </w:rPr>
              <w:t>/s/Marty G. Dickens</w:t>
            </w:r>
          </w:p>
        </w:tc>
        <w:tc>
          <w:tcPr>
            <w:tcW w:w="74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auto"/>
              </w:rPr>
              <w:t>/s/Kevin P. McDermott</w:t>
            </w:r>
          </w:p>
        </w:tc>
        <w:tc>
          <w:tcPr>
            <w:tcW w:w="500" w:type="dxa"/>
            <w:vAlign w:val="bottom"/>
            <w:gridSpan w:val="2"/>
          </w:tcPr>
          <w:p>
            <w:pPr>
              <w:spacing w:after="0"/>
              <w:rPr>
                <w:sz w:val="24"/>
                <w:szCs w:val="24"/>
                <w:color w:val="auto"/>
              </w:rPr>
            </w:pPr>
          </w:p>
        </w:tc>
      </w:tr>
      <w:tr>
        <w:trPr>
          <w:trHeight w:val="254"/>
        </w:trPr>
        <w:tc>
          <w:tcPr>
            <w:tcW w:w="2560" w:type="dxa"/>
            <w:vAlign w:val="bottom"/>
            <w:gridSpan w:val="5"/>
          </w:tcPr>
          <w:p>
            <w:pPr>
              <w:spacing w:after="0"/>
              <w:rPr>
                <w:sz w:val="20"/>
                <w:szCs w:val="20"/>
                <w:color w:val="auto"/>
              </w:rPr>
            </w:pPr>
            <w:r>
              <w:rPr>
                <w:rFonts w:ascii="Arial" w:cs="Arial" w:eastAsia="Arial" w:hAnsi="Arial"/>
                <w:sz w:val="20"/>
                <w:szCs w:val="20"/>
                <w:color w:val="auto"/>
              </w:rPr>
              <w:t>Marty G. Dickens</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500" w:type="dxa"/>
            <w:vAlign w:val="bottom"/>
            <w:gridSpan w:val="4"/>
          </w:tcPr>
          <w:p>
            <w:pPr>
              <w:ind w:left="80"/>
              <w:spacing w:after="0"/>
              <w:rPr>
                <w:sz w:val="20"/>
                <w:szCs w:val="20"/>
                <w:color w:val="auto"/>
              </w:rPr>
            </w:pPr>
            <w:r>
              <w:rPr>
                <w:rFonts w:ascii="Arial" w:cs="Arial" w:eastAsia="Arial" w:hAnsi="Arial"/>
                <w:sz w:val="20"/>
                <w:szCs w:val="20"/>
                <w:color w:val="auto"/>
                <w:w w:val="92"/>
              </w:rPr>
              <w:t>Kevin P. McDermott, Director</w:t>
            </w:r>
          </w:p>
        </w:tc>
      </w:tr>
      <w:tr>
        <w:trPr>
          <w:trHeight w:val="644"/>
        </w:trPr>
        <w:tc>
          <w:tcPr>
            <w:tcW w:w="17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9"/>
              </w:rPr>
              <w:t>/s/John F. Lambros</w:t>
            </w:r>
          </w:p>
        </w:tc>
        <w:tc>
          <w:tcPr>
            <w:tcW w:w="84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auto"/>
              </w:rPr>
              <w:t>/s/Mimi E. Vaughn</w:t>
            </w:r>
          </w:p>
        </w:tc>
        <w:tc>
          <w:tcPr>
            <w:tcW w:w="900" w:type="dxa"/>
            <w:vAlign w:val="bottom"/>
            <w:gridSpan w:val="3"/>
          </w:tcPr>
          <w:p>
            <w:pPr>
              <w:spacing w:after="0"/>
              <w:rPr>
                <w:sz w:val="24"/>
                <w:szCs w:val="24"/>
                <w:color w:val="auto"/>
              </w:rPr>
            </w:pPr>
          </w:p>
        </w:tc>
      </w:tr>
      <w:tr>
        <w:trPr>
          <w:trHeight w:val="254"/>
        </w:trPr>
        <w:tc>
          <w:tcPr>
            <w:tcW w:w="2560" w:type="dxa"/>
            <w:vAlign w:val="bottom"/>
            <w:gridSpan w:val="5"/>
          </w:tcPr>
          <w:p>
            <w:pPr>
              <w:spacing w:after="0"/>
              <w:rPr>
                <w:sz w:val="20"/>
                <w:szCs w:val="20"/>
                <w:color w:val="auto"/>
              </w:rPr>
            </w:pPr>
            <w:r>
              <w:rPr>
                <w:rFonts w:ascii="Arial" w:cs="Arial" w:eastAsia="Arial" w:hAnsi="Arial"/>
                <w:sz w:val="20"/>
                <w:szCs w:val="20"/>
                <w:color w:val="auto"/>
              </w:rPr>
              <w:t>John F. Lambros, Director</w:t>
            </w:r>
          </w:p>
        </w:tc>
        <w:tc>
          <w:tcPr>
            <w:tcW w:w="2780" w:type="dxa"/>
            <w:vAlign w:val="bottom"/>
            <w:gridSpan w:val="7"/>
          </w:tcPr>
          <w:p>
            <w:pPr>
              <w:ind w:left="80"/>
              <w:spacing w:after="0"/>
              <w:rPr>
                <w:sz w:val="20"/>
                <w:szCs w:val="20"/>
                <w:color w:val="auto"/>
              </w:rPr>
            </w:pPr>
            <w:r>
              <w:rPr>
                <w:rFonts w:ascii="Arial" w:cs="Arial" w:eastAsia="Arial" w:hAnsi="Arial"/>
                <w:sz w:val="20"/>
                <w:szCs w:val="20"/>
                <w:color w:val="auto"/>
              </w:rPr>
              <w:t>Mimi E. Vaughn, Director</w:t>
            </w:r>
          </w:p>
        </w:tc>
      </w:tr>
    </w:tbl>
    <w:p>
      <w:pPr>
        <w:sectPr>
          <w:pgSz w:w="11900" w:h="16838" w:orient="portrait"/>
          <w:cols w:equalWidth="0" w:num="1">
            <w:col w:w="11240"/>
          </w:cols>
          <w:pgMar w:left="320" w:top="121"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Mimi E. Vaughn, certify that:</w:t>
      </w:r>
    </w:p>
    <w:p>
      <w:pPr>
        <w:spacing w:after="0" w:line="117" w:lineRule="exact"/>
        <w:rPr>
          <w:sz w:val="20"/>
          <w:szCs w:val="20"/>
          <w:color w:val="auto"/>
        </w:rPr>
      </w:pPr>
    </w:p>
    <w:p>
      <w:pPr>
        <w:ind w:left="180" w:hanging="172"/>
        <w:spacing w:after="0"/>
        <w:tabs>
          <w:tab w:leader="none" w:pos="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Genesco Inc.;</w:t>
      </w:r>
    </w:p>
    <w:p>
      <w:pPr>
        <w:spacing w:after="0" w:line="117"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right="80" w:firstLine="8"/>
        <w:spacing w:after="0" w:line="263" w:lineRule="auto"/>
        <w:tabs>
          <w:tab w:leader="none" w:pos="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right="260" w:firstLine="584"/>
        <w:spacing w:after="0" w:line="263" w:lineRule="auto"/>
        <w:tabs>
          <w:tab w:leader="none" w:pos="761"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right="40" w:firstLine="584"/>
        <w:spacing w:after="0" w:line="263" w:lineRule="auto"/>
        <w:tabs>
          <w:tab w:leader="none" w:pos="771"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780" w:firstLine="584"/>
        <w:spacing w:after="0" w:line="342" w:lineRule="auto"/>
        <w:tabs>
          <w:tab w:leader="none" w:pos="761"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right="260" w:firstLine="584"/>
        <w:spacing w:after="0" w:line="263" w:lineRule="auto"/>
        <w:tabs>
          <w:tab w:leader="none" w:pos="771"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300" w:firstLine="8"/>
        <w:spacing w:after="0" w:line="308" w:lineRule="auto"/>
        <w:tabs>
          <w:tab w:leader="none" w:pos="1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160" w:firstLine="584"/>
        <w:spacing w:after="0" w:line="277" w:lineRule="auto"/>
        <w:tabs>
          <w:tab w:leader="none" w:pos="761"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140" w:firstLine="584"/>
        <w:spacing w:after="0" w:line="277" w:lineRule="auto"/>
        <w:tabs>
          <w:tab w:leader="none" w:pos="771"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2021</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Mimi E. Vaughn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5715</wp:posOffset>
            </wp:positionV>
            <wp:extent cx="356616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Mimi E. Vaughn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Thomas A. George, certify that:</w:t>
      </w:r>
    </w:p>
    <w:p>
      <w:pPr>
        <w:spacing w:after="0" w:line="117" w:lineRule="exact"/>
        <w:rPr>
          <w:sz w:val="20"/>
          <w:szCs w:val="20"/>
          <w:color w:val="auto"/>
        </w:rPr>
      </w:pPr>
    </w:p>
    <w:p>
      <w:pPr>
        <w:ind w:left="180" w:hanging="172"/>
        <w:spacing w:after="0"/>
        <w:tabs>
          <w:tab w:leader="none" w:pos="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Genesco Inc.;</w:t>
      </w:r>
    </w:p>
    <w:p>
      <w:pPr>
        <w:spacing w:after="0" w:line="117"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right="80" w:firstLine="8"/>
        <w:spacing w:after="0" w:line="263" w:lineRule="auto"/>
        <w:tabs>
          <w:tab w:leader="none" w:pos="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right="260" w:firstLine="584"/>
        <w:spacing w:after="0" w:line="263" w:lineRule="auto"/>
        <w:tabs>
          <w:tab w:leader="none" w:pos="761"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right="40" w:firstLine="584"/>
        <w:spacing w:after="0" w:line="263" w:lineRule="auto"/>
        <w:tabs>
          <w:tab w:leader="none" w:pos="771"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780" w:firstLine="584"/>
        <w:spacing w:after="0" w:line="342" w:lineRule="auto"/>
        <w:tabs>
          <w:tab w:leader="none" w:pos="761"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right="260" w:firstLine="584"/>
        <w:spacing w:after="0" w:line="263" w:lineRule="auto"/>
        <w:tabs>
          <w:tab w:leader="none" w:pos="771"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300" w:firstLine="8"/>
        <w:spacing w:after="0" w:line="308" w:lineRule="auto"/>
        <w:tabs>
          <w:tab w:leader="none" w:pos="1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160" w:firstLine="584"/>
        <w:spacing w:after="0" w:line="277" w:lineRule="auto"/>
        <w:tabs>
          <w:tab w:leader="none" w:pos="761"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140" w:firstLine="584"/>
        <w:spacing w:after="0" w:line="277" w:lineRule="auto"/>
        <w:tabs>
          <w:tab w:leader="none" w:pos="771"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2021</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Thomas A. George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Thomas A. George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Senior Vice President and Interim Chief Financial Officer</w:t>
      </w:r>
    </w:p>
    <w:p>
      <w:pPr>
        <w:sectPr>
          <w:pgSz w:w="11900" w:h="16838" w:orient="portrait"/>
          <w:cols w:equalWidth="0" w:num="1">
            <w:col w:w="11240"/>
          </w:cols>
          <w:pgMar w:left="320" w:top="121"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In connection with the Annual Report of Genesco Inc. (the “Company”) on Form 10-K for the period ending January 30, 2021, as filed with the Securities and Exchange Commission on the date hereof (the “Report”), I, Mimi E. Vaughn, Chief Executive Officer of the Company, certify, pursuant to 18 U.S.C. Section 1350, as adopted pursuant to Section 906 of the Sarbanes-Oxley Act of 2002, that:</w:t>
      </w:r>
    </w:p>
    <w:p>
      <w:pPr>
        <w:spacing w:after="0" w:line="130" w:lineRule="exact"/>
        <w:rPr>
          <w:sz w:val="20"/>
          <w:szCs w:val="20"/>
          <w:color w:val="auto"/>
        </w:rPr>
      </w:pPr>
    </w:p>
    <w:p>
      <w:pPr>
        <w:ind w:left="840" w:hanging="256"/>
        <w:spacing w:after="0"/>
        <w:tabs>
          <w:tab w:leader="none" w:pos="8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840" w:hanging="256"/>
        <w:spacing w:after="0"/>
        <w:tabs>
          <w:tab w:leader="none" w:pos="8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3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Mimi E. Vaughn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Mimi E. Vaughn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March 31, 2021</w:t>
      </w:r>
    </w:p>
    <w:p>
      <w:pPr>
        <w:sectPr>
          <w:pgSz w:w="11900" w:h="16838" w:orient="portrait"/>
          <w:cols w:equalWidth="0" w:num="1">
            <w:col w:w="11240"/>
          </w:cols>
          <w:pgMar w:left="320" w:top="337"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connection with the Annual Report of Genesco Inc. (the “Company”) on Form 10-K for the period ending January 30, 2021, as filed with the Securities and Exchange Commission on the date hereof (the “Report”), I, Thomas A. George, Senior Vice President and Interim Chief Financial Officer of the Company, certify, pursuant to 18 U.S.C. Section 1350, as adopted pursuant to Section 906 of the Sarbanes-Oxley Act of 2002, that:</w:t>
      </w:r>
    </w:p>
    <w:p>
      <w:pPr>
        <w:spacing w:after="0" w:line="111" w:lineRule="exact"/>
        <w:rPr>
          <w:sz w:val="20"/>
          <w:szCs w:val="20"/>
          <w:color w:val="auto"/>
        </w:rPr>
      </w:pPr>
    </w:p>
    <w:p>
      <w:pPr>
        <w:ind w:left="840" w:hanging="256"/>
        <w:spacing w:after="0"/>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840" w:hanging="256"/>
        <w:spacing w:after="0"/>
        <w:tabs>
          <w:tab w:leader="none" w:pos="8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3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Thomas A. George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Thomas A. George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Senior Vice President and Interim 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March 31, 2021</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lvl w:ilvl="1">
      <w:lvlJc w:val="left"/>
      <w:lvlText w:val="•"/>
      <w:numFmt w:val="bullet"/>
      <w:start w:val="1"/>
    </w:lvl>
  </w:abstractNum>
  <w:abstractNum w:abstractNumId="11">
    <w:nsid w:val="B03E0C6"/>
    <w:multiLevelType w:val="hybridMultilevel"/>
    <w:lvl w:ilvl="0">
      <w:lvlJc w:val="left"/>
      <w:lvlText w:val="(%1)"/>
      <w:numFmt w:val="decimal"/>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1)"/>
      <w:numFmt w:val="decimal"/>
      <w:start w:val="1"/>
    </w:lvl>
  </w:abstractNum>
  <w:abstractNum w:abstractNumId="17">
    <w:nsid w:val="2901D82"/>
    <w:multiLevelType w:val="hybridMultilevel"/>
    <w:lvl w:ilvl="0">
      <w:lvlJc w:val="left"/>
      <w:lvlText w:val="(%1)"/>
      <w:numFmt w:val="decimal"/>
      <w:start w:val="1"/>
    </w:lvl>
  </w:abstractNum>
  <w:abstractNum w:abstractNumId="18">
    <w:nsid w:val="3A95F874"/>
    <w:multiLevelType w:val="hybridMultilevel"/>
    <w:lvl w:ilvl="0">
      <w:lvlJc w:val="left"/>
      <w:lvlText w:val="(%1)"/>
      <w:numFmt w:val="decimal"/>
      <w:start w:val="1"/>
    </w:lvl>
  </w:abstractNum>
  <w:abstractNum w:abstractNumId="19">
    <w:nsid w:val="8138641"/>
    <w:multiLevelType w:val="hybridMultilevel"/>
    <w:lvl w:ilvl="0">
      <w:lvlJc w:val="left"/>
      <w:lvlText w:val="(%1)"/>
      <w:numFmt w:val="decimal"/>
      <w:start w:val="1"/>
    </w:lvl>
  </w:abstractNum>
  <w:abstractNum w:abstractNumId="20">
    <w:nsid w:val="1E7FF521"/>
    <w:multiLevelType w:val="hybridMultilevel"/>
    <w:lvl w:ilvl="0">
      <w:lvlJc w:val="left"/>
      <w:lvlText w:val="(%1)"/>
      <w:numFmt w:val="decimal"/>
      <w:start w:val="1"/>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1)"/>
      <w:numFmt w:val="decimal"/>
      <w:start w:val="2"/>
    </w:lvl>
    <w:lvl w:ilvl="1">
      <w:lvlJc w:val="left"/>
      <w:lvlText w:val="%2."/>
      <w:numFmt w:val="lowerLetter"/>
      <w:start w:val="2"/>
    </w:lvl>
  </w:abstractNum>
  <w:abstractNum w:abstractNumId="24">
    <w:nsid w:val="22221A70"/>
    <w:multiLevelType w:val="hybridMultilevel"/>
    <w:lvl w:ilvl="0">
      <w:lvlJc w:val="left"/>
      <w:lvlText w:val="(%1)"/>
      <w:numFmt w:val="decimal"/>
      <w:start w:val="10"/>
    </w:lvl>
  </w:abstractNum>
  <w:abstractNum w:abstractNumId="25">
    <w:nsid w:val="4516DDE9"/>
    <w:multiLevelType w:val="hybridMultilevel"/>
    <w:lvl w:ilvl="0">
      <w:lvlJc w:val="left"/>
      <w:lvlText w:val="%1."/>
      <w:numFmt w:val="lowerLetter"/>
      <w:start w:val="2"/>
    </w:lvl>
  </w:abstractNum>
  <w:abstractNum w:abstractNumId="26">
    <w:nsid w:val="3006C83E"/>
    <w:multiLevelType w:val="hybridMultilevel"/>
    <w:lvl w:ilvl="0">
      <w:lvlJc w:val="left"/>
      <w:lvlText w:val="%1."/>
      <w:numFmt w:val="lowerLetter"/>
      <w:start w:val="21"/>
    </w:lvl>
  </w:abstractNum>
  <w:abstractNum w:abstractNumId="27">
    <w:nsid w:val="614FD4A1"/>
    <w:multiLevelType w:val="hybridMultilevel"/>
    <w:lvl w:ilvl="0">
      <w:lvlJc w:val="left"/>
      <w:lvlText w:val="%1."/>
      <w:numFmt w:val="lowerLetter"/>
      <w:start w:val="27"/>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1)"/>
      <w:numFmt w:val="decimal"/>
      <w:start w:val="1"/>
    </w:lvl>
  </w:abstractNum>
  <w:abstractNum w:abstractNumId="30">
    <w:nsid w:val="440BADFC"/>
    <w:multiLevelType w:val="hybridMultilevel"/>
    <w:lvl w:ilvl="0">
      <w:lvlJc w:val="left"/>
      <w:lvlText w:val="(%1)"/>
      <w:numFmt w:val="decimal"/>
      <w:start w:val="1"/>
    </w:lvl>
  </w:abstractNum>
  <w:abstractNum w:abstractNumId="31">
    <w:nsid w:val="5072367"/>
    <w:multiLevelType w:val="hybridMultilevel"/>
    <w:lvl w:ilvl="0">
      <w:lvlJc w:val="left"/>
      <w:lvlText w:val="%1."/>
      <w:numFmt w:val="decimal"/>
      <w:start w:val="1"/>
    </w:lvl>
    <w:lvl w:ilvl="1">
      <w:lvlJc w:val="left"/>
      <w:lvlText w:val="%2."/>
      <w:numFmt w:val="lowerLetter"/>
      <w:start w:val="1"/>
    </w:lvl>
  </w:abstractNum>
  <w:abstractNum w:abstractNumId="32">
    <w:nsid w:val="3804823E"/>
    <w:multiLevelType w:val="hybridMultilevel"/>
    <w:lvl w:ilvl="0">
      <w:lvlJc w:val="left"/>
      <w:lvlText w:val="%1"/>
      <w:numFmt w:val="decimal"/>
      <w:start w:val="1"/>
    </w:lvl>
    <w:lvl w:ilvl="1">
      <w:lvlJc w:val="left"/>
      <w:lvlText w:val="%2."/>
      <w:numFmt w:val="lowerLetter"/>
      <w:start w:val="4"/>
    </w:lvl>
  </w:abstractNum>
  <w:abstractNum w:abstractNumId="33">
    <w:nsid w:val="77465F01"/>
    <w:multiLevelType w:val="hybridMultilevel"/>
    <w:lvl w:ilvl="0">
      <w:lvlJc w:val="left"/>
      <w:lvlText w:val="%1."/>
      <w:numFmt w:val="decimal"/>
      <w:start w:val="3"/>
    </w:lvl>
    <w:lvl w:ilvl="1">
      <w:lvlJc w:val="left"/>
      <w:lvlText w:val="%2."/>
      <w:numFmt w:val="lowerLetter"/>
      <w:start w:val="1"/>
    </w:lvl>
  </w:abstractNum>
  <w:abstractNum w:abstractNumId="34">
    <w:nsid w:val="7724C67E"/>
    <w:multiLevelType w:val="hybridMultilevel"/>
    <w:lvl w:ilvl="0">
      <w:lvlJc w:val="left"/>
      <w:lvlText w:val="%1."/>
      <w:numFmt w:val="lowerLetter"/>
      <w:start w:val="2"/>
    </w:lvl>
  </w:abstractNum>
  <w:abstractNum w:abstractNumId="35">
    <w:nsid w:val="5C482A97"/>
    <w:multiLevelType w:val="hybridMultilevel"/>
    <w:lvl w:ilvl="0">
      <w:lvlJc w:val="left"/>
      <w:lvlText w:val="%1."/>
      <w:numFmt w:val="decimal"/>
      <w:start w:val="4"/>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11" Type="http://schemas.openxmlformats.org/officeDocument/2006/relationships/image" Target="media/image97.png"/><Relationship Id="rId128" Type="http://schemas.openxmlformats.org/officeDocument/2006/relationships/image" Target="media/image98.png"/><Relationship Id="rId139" Type="http://schemas.openxmlformats.org/officeDocument/2006/relationships/image" Target="media/image99.png"/><Relationship Id="rId140" Type="http://schemas.openxmlformats.org/officeDocument/2006/relationships/image" Target="media/image100.png"/><Relationship Id="rId141" Type="http://schemas.openxmlformats.org/officeDocument/2006/relationships/image" Target="media/image101.png"/><Relationship Id="rId142" Type="http://schemas.openxmlformats.org/officeDocument/2006/relationships/image" Target="media/image102.png"/><Relationship Id="rId143" Type="http://schemas.openxmlformats.org/officeDocument/2006/relationships/image" Target="media/image103.png"/><Relationship Id="rId144" Type="http://schemas.openxmlformats.org/officeDocument/2006/relationships/image" Target="media/image104.png"/><Relationship Id="rId145" Type="http://schemas.openxmlformats.org/officeDocument/2006/relationships/image" Target="media/image105.png"/><Relationship Id="rId146" Type="http://schemas.openxmlformats.org/officeDocument/2006/relationships/image" Target="media/image106.png"/><Relationship Id="rId147" Type="http://schemas.openxmlformats.org/officeDocument/2006/relationships/image" Target="media/image107.png"/><Relationship Id="rId148" Type="http://schemas.openxmlformats.org/officeDocument/2006/relationships/image" Target="media/image108.png"/><Relationship Id="rId149" Type="http://schemas.openxmlformats.org/officeDocument/2006/relationships/image" Target="media/image109.png"/><Relationship Id="rId150" Type="http://schemas.openxmlformats.org/officeDocument/2006/relationships/image" Target="media/image110.png"/><Relationship Id="rId151" Type="http://schemas.openxmlformats.org/officeDocument/2006/relationships/image" Target="media/image111.png"/><Relationship Id="rId152" Type="http://schemas.openxmlformats.org/officeDocument/2006/relationships/image" Target="media/image112.png"/><Relationship Id="rId153" Type="http://schemas.openxmlformats.org/officeDocument/2006/relationships/image" Target="media/image113.png"/><Relationship Id="rId104" Type="http://schemas.openxmlformats.org/officeDocument/2006/relationships/hyperlink" Target="http://www.sec.gov/Archives/edgar/data/18498/000001849818000050/ex21121418lids.htm" TargetMode="External"/><Relationship Id="rId105" Type="http://schemas.openxmlformats.org/officeDocument/2006/relationships/hyperlink" Target="http://www.sec.gov/Archives/edgar/data/18498/000001849819000058/ex21togast.htm" TargetMode="External"/><Relationship Id="rId106" Type="http://schemas.openxmlformats.org/officeDocument/2006/relationships/hyperlink" Target="http://www.sec.gov/Archives/edgar/data/18498/000001849815000038/ex992bylaws2015.htm" TargetMode="External"/><Relationship Id="rId107" Type="http://schemas.openxmlformats.org/officeDocument/2006/relationships/hyperlink" Target="http://www.sec.gov/Archives/edgar/data/18498/000095014403005944/g82475exv1.txt" TargetMode="External"/><Relationship Id="rId108" Type="http://schemas.openxmlformats.org/officeDocument/2006/relationships/hyperlink" Target="http://www.sec.gov/Archives/edgar/data/18498/000095014403005944/g82475exv3.txt" TargetMode="External"/><Relationship Id="rId109" Type="http://schemas.openxmlformats.org/officeDocument/2006/relationships/hyperlink" Target="http://www.sec.gov/Archives/edgar/data/0000018498/000001849820000016/gcofy202010-kq4.htm" TargetMode="External"/><Relationship Id="rId110" Type="http://schemas.openxmlformats.org/officeDocument/2006/relationships/hyperlink" Target="http://www.sec.gov/Archives/edgar/data/18498/000001849818000018/ex101cooperationagreement0.htm" TargetMode="External"/><Relationship Id="rId112" Type="http://schemas.openxmlformats.org/officeDocument/2006/relationships/hyperlink" Target="http://www.sec.gov/Archives/edgar/data/18498/000001849818000008/genesco-bamlx2018x4tharcre.htm" TargetMode="External"/><Relationship Id="rId113" Type="http://schemas.openxmlformats.org/officeDocument/2006/relationships/hyperlink" Target="http://www.sec.gov/Archives/edgar/data/18498/000001849819000006/ex101lidssale020419.htm" TargetMode="External"/><Relationship Id="rId114" Type="http://schemas.openxmlformats.org/officeDocument/2006/relationships/hyperlink" Target="http://www.sec.gov/Archives/edgar/data/18498/000156459020028679/gco-8k_20200609.htm" TargetMode="External"/><Relationship Id="rId115" Type="http://schemas.openxmlformats.org/officeDocument/2006/relationships/hyperlink" Target="http://www.sec.gov/Archives/edgar/data/18498/000001849820000012/ex101schuhamendmentandre.htm" TargetMode="External"/><Relationship Id="rId116" Type="http://schemas.openxmlformats.org/officeDocument/2006/relationships/hyperlink" Target="http://www.sec.gov/Archives/edgar/data/18498/0000950144-97-005030.txt" TargetMode="External"/><Relationship Id="rId117" Type="http://schemas.openxmlformats.org/officeDocument/2006/relationships/hyperlink" Target="http://www.sec.gov/Archives/edgar/data/18498/000095014408002576/g12595exv10wd.htm" TargetMode="External"/><Relationship Id="rId118" Type="http://schemas.openxmlformats.org/officeDocument/2006/relationships/hyperlink" Target="http://www.sec.gov/Archives/edgar/data/18498/000001849816000083/ex101annmtg062316.htm" TargetMode="External"/><Relationship Id="rId119" Type="http://schemas.openxmlformats.org/officeDocument/2006/relationships/hyperlink" Target="http://www.sec.gov/Archives/edgar/data/0000018498/000119312520143234/d896613ddef14a.htm#bc896613_11" TargetMode="External"/><Relationship Id="rId120" Type="http://schemas.openxmlformats.org/officeDocument/2006/relationships/hyperlink" Target="http://www.sec.gov/Archives/edgar/data/18498/000095014405012586/g98695exv10wc.txt" TargetMode="External"/><Relationship Id="rId121" Type="http://schemas.openxmlformats.org/officeDocument/2006/relationships/hyperlink" Target="http://www.sec.gov/Archives/edgar/data/18498/000095014405012586/g98695exv10wd.txt" TargetMode="External"/><Relationship Id="rId122" Type="http://schemas.openxmlformats.org/officeDocument/2006/relationships/hyperlink" Target="http://www.sec.gov/Archives/edgar/data/18498/000095014405012586/g98695exv10we.txt" TargetMode="External"/><Relationship Id="rId123" Type="http://schemas.openxmlformats.org/officeDocument/2006/relationships/hyperlink" Target="http://www.sec.gov/Archives/edgar/data/18498/000095014405012586/g98695exv10wf.txt" TargetMode="External"/><Relationship Id="rId124" Type="http://schemas.openxmlformats.org/officeDocument/2006/relationships/hyperlink" Target="http://www.sec.gov/Archives/edgar/data/18498/000095012309042323/g20467exv10wa.htm" TargetMode="External"/><Relationship Id="rId125" Type="http://schemas.openxmlformats.org/officeDocument/2006/relationships/hyperlink" Target="http://www.sec.gov/Archives/edgar/data/18498/000095014408008032/g16357exv10w1.htm" TargetMode="External"/><Relationship Id="rId126" Type="http://schemas.openxmlformats.org/officeDocument/2006/relationships/hyperlink" Target="http://www.sec.gov/Archives/edgar/data/18498/000095014408009201/g16954qexv10w2.htm" TargetMode="External"/><Relationship Id="rId127" Type="http://schemas.openxmlformats.org/officeDocument/2006/relationships/hyperlink" Target="http://www.sec.gov/Archives/edgar/data/18498/000095012310030948/g22711exv10ws.htm" TargetMode="External"/><Relationship Id="rId129" Type="http://schemas.openxmlformats.org/officeDocument/2006/relationships/hyperlink" Target="http://www.sec.gov/Archives/edgar/data/18498/000001849819000047/ex101epa.htm" TargetMode="External"/><Relationship Id="rId130" Type="http://schemas.openxmlformats.org/officeDocument/2006/relationships/hyperlink" Target="http://www.sec.gov/Archives/edgar/data/18498/000095014408002576/g12595exv10wr.htm" TargetMode="External"/><Relationship Id="rId131" Type="http://schemas.openxmlformats.org/officeDocument/2006/relationships/hyperlink" Target="http://www.sec.gov/Archives/edgar/data/18498/000095012311083483/g25506exv10wa.htm" TargetMode="External"/><Relationship Id="rId132" Type="http://schemas.openxmlformats.org/officeDocument/2006/relationships/hyperlink" Target="http://www.sec.gov/Archives/edgar/data/18498/000001849819000016/genescoexhibit10aaq4fy19.htm" TargetMode="External"/><Relationship Id="rId133" Type="http://schemas.openxmlformats.org/officeDocument/2006/relationships/hyperlink" Target="http://www.sec.gov/Archives/edgar/data/18498/000095014409003670/g18837exv10w1.htm" TargetMode="External"/><Relationship Id="rId134" Type="http://schemas.openxmlformats.org/officeDocument/2006/relationships/hyperlink" Target="http://www.sec.gov/Archives/edgar/data/18498/000095014409003670/g18837exv10w2.htm" TargetMode="External"/><Relationship Id="rId135" Type="http://schemas.openxmlformats.org/officeDocument/2006/relationships/hyperlink" Target="http://www.sec.gov/Archives/edgar/data/18498/000095012309056341/g21041exv10w1.htm" TargetMode="External"/><Relationship Id="rId136" Type="http://schemas.openxmlformats.org/officeDocument/2006/relationships/hyperlink" Target="http://www.sec.gov/Archives/edgar/data/18498/000095012309059073/g21130exv10w1.htm" TargetMode="External"/><Relationship Id="rId137" Type="http://schemas.openxmlformats.org/officeDocument/2006/relationships/hyperlink" Target="http://www.sec.gov/Archives/edgar/data/18498/000001849819000049/ex101ceotransition1104.htm" TargetMode="External"/><Relationship Id="rId138" Type="http://schemas.openxmlformats.org/officeDocument/2006/relationships/hyperlink" Target="http://www.sec.gov/Archives/edgar/data/18498/000156459020046403/gco-8k_2020100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2021-03-31T11:07:34Z</dcterms:created>
  <dcterms:modified xsi:type="dcterms:W3CDTF">2021-03-31T11:07:34Z</dcterms:modified>
</cp:coreProperties>
</file>