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740" w:hanging="678"/>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72" w:lineRule="exact"/>
        <w:rPr>
          <w:sz w:val="24"/>
          <w:szCs w:val="24"/>
          <w:color w:val="auto"/>
        </w:rPr>
      </w:pPr>
    </w:p>
    <w:p>
      <w:pPr>
        <w:ind w:left="740" w:hanging="678"/>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367" w:lineRule="exact"/>
        <w:rPr>
          <w:sz w:val="24"/>
          <w:szCs w:val="24"/>
          <w:color w:val="auto"/>
        </w:rPr>
      </w:pPr>
    </w:p>
    <w:p>
      <w:pPr>
        <w:ind w:left="760"/>
        <w:spacing w:after="0"/>
        <w:tabs>
          <w:tab w:leader="none" w:pos="33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1-3083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107315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Genesco Inc.</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Tennessee</w:t>
            </w:r>
          </w:p>
        </w:tc>
        <w:tc>
          <w:tcPr>
            <w:tcW w:w="2660" w:type="dxa"/>
            <w:vAlign w:val="bottom"/>
          </w:tcPr>
          <w:p>
            <w:pPr>
              <w:spacing w:after="0"/>
              <w:rPr>
                <w:sz w:val="16"/>
                <w:szCs w:val="16"/>
                <w:color w:val="auto"/>
              </w:rPr>
            </w:pPr>
          </w:p>
        </w:tc>
        <w:tc>
          <w:tcPr>
            <w:tcW w:w="360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62-0211340</w:t>
            </w:r>
          </w:p>
        </w:tc>
        <w:tc>
          <w:tcPr>
            <w:tcW w:w="0" w:type="dxa"/>
            <w:vAlign w:val="bottom"/>
          </w:tcPr>
          <w:p>
            <w:pPr>
              <w:spacing w:after="0"/>
              <w:rPr>
                <w:sz w:val="1"/>
                <w:szCs w:val="1"/>
                <w:color w:val="auto"/>
              </w:rPr>
            </w:pPr>
          </w:p>
        </w:tc>
      </w:tr>
      <w:tr>
        <w:trPr>
          <w:trHeight w:val="174"/>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spacing w:after="0"/>
              <w:rPr>
                <w:sz w:val="15"/>
                <w:szCs w:val="15"/>
                <w:color w:val="auto"/>
              </w:rPr>
            </w:pPr>
          </w:p>
        </w:tc>
        <w:tc>
          <w:tcPr>
            <w:tcW w:w="360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spacing w:after="0"/>
              <w:rPr>
                <w:sz w:val="16"/>
                <w:szCs w:val="16"/>
                <w:color w:val="auto"/>
              </w:rPr>
            </w:pPr>
          </w:p>
        </w:tc>
        <w:tc>
          <w:tcPr>
            <w:tcW w:w="360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5"/>
        </w:trPr>
        <w:tc>
          <w:tcPr>
            <w:tcW w:w="3520" w:type="dxa"/>
            <w:vAlign w:val="bottom"/>
          </w:tcPr>
          <w:p>
            <w:pPr>
              <w:spacing w:after="0"/>
              <w:rPr>
                <w:sz w:val="24"/>
                <w:szCs w:val="24"/>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535 Marriott Drive</w:t>
            </w:r>
          </w:p>
        </w:tc>
        <w:tc>
          <w:tcPr>
            <w:tcW w:w="360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37214</w:t>
            </w:r>
          </w:p>
        </w:tc>
        <w:tc>
          <w:tcPr>
            <w:tcW w:w="0" w:type="dxa"/>
            <w:vAlign w:val="bottom"/>
          </w:tcPr>
          <w:p>
            <w:pPr>
              <w:spacing w:after="0"/>
              <w:rPr>
                <w:sz w:val="1"/>
                <w:szCs w:val="1"/>
                <w:color w:val="auto"/>
              </w:rPr>
            </w:pPr>
          </w:p>
        </w:tc>
      </w:tr>
      <w:tr>
        <w:trPr>
          <w:trHeight w:val="216"/>
        </w:trPr>
        <w:tc>
          <w:tcPr>
            <w:tcW w:w="35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Nashville, Tennessee</w:t>
            </w:r>
          </w:p>
        </w:tc>
        <w:tc>
          <w:tcPr>
            <w:tcW w:w="2660" w:type="dxa"/>
            <w:vAlign w:val="bottom"/>
          </w:tcPr>
          <w:p>
            <w:pPr>
              <w:spacing w:after="0"/>
              <w:rPr>
                <w:sz w:val="18"/>
                <w:szCs w:val="18"/>
                <w:color w:val="auto"/>
              </w:rPr>
            </w:pPr>
          </w:p>
        </w:tc>
        <w:tc>
          <w:tcPr>
            <w:tcW w:w="3600" w:type="dxa"/>
            <w:vAlign w:val="bottom"/>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6"/>
        </w:trPr>
        <w:tc>
          <w:tcPr>
            <w:tcW w:w="61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20" w:type="dxa"/>
            <w:vAlign w:val="bottom"/>
          </w:tcPr>
          <w:p>
            <w:pPr>
              <w:spacing w:after="0"/>
              <w:rPr>
                <w:sz w:val="24"/>
                <w:szCs w:val="24"/>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367-7000</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2"/>
                <w:szCs w:val="22"/>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8"/>
        </w:trPr>
        <w:tc>
          <w:tcPr>
            <w:tcW w:w="352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2660" w:type="dxa"/>
            <w:vAlign w:val="bottom"/>
            <w:vMerge w:val="continue"/>
          </w:tcPr>
          <w:p>
            <w:pPr>
              <w:spacing w:after="0"/>
              <w:rPr>
                <w:sz w:val="16"/>
                <w:szCs w:val="16"/>
                <w:color w:val="auto"/>
              </w:rPr>
            </w:pPr>
          </w:p>
        </w:tc>
        <w:tc>
          <w:tcPr>
            <w:tcW w:w="3600" w:type="dxa"/>
            <w:vAlign w:val="bottom"/>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266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GCO</w:t>
            </w:r>
          </w:p>
        </w:tc>
        <w:tc>
          <w:tcPr>
            <w:tcW w:w="3600" w:type="dxa"/>
            <w:vAlign w:val="bottom"/>
          </w:tcPr>
          <w:p>
            <w:pPr>
              <w:jc w:val="center"/>
              <w:ind w:left="1969"/>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55"/>
        </w:trPr>
        <w:tc>
          <w:tcPr>
            <w:tcW w:w="3520" w:type="dxa"/>
            <w:vAlign w:val="bottom"/>
          </w:tcPr>
          <w:p>
            <w:pPr>
              <w:spacing w:after="0"/>
              <w:rPr>
                <w:sz w:val="22"/>
                <w:szCs w:val="22"/>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Employees’ Subordinated Convertible Preferred Stock</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a well-known seasoned issuer, as defined in Rule 405 of the Securities Act. Yes</w:t>
            </w:r>
          </w:p>
        </w:tc>
        <w:tc>
          <w:tcPr>
            <w:tcW w:w="3600" w:type="dxa"/>
            <w:vAlign w:val="bottom"/>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54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54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54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54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6"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6" w:lineRule="exact"/>
        <w:rPr>
          <w:sz w:val="24"/>
          <w:szCs w:val="24"/>
          <w:color w:val="auto"/>
        </w:rPr>
      </w:pPr>
    </w:p>
    <w:p>
      <w:pPr>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pacing w:after="0" w:line="150" w:lineRule="exact"/>
        <w:tabs>
          <w:tab w:leader="none" w:pos="57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3"/>
          <w:szCs w:val="13"/>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 $255,000,000. The market value calculation was determined using a per share price of $23.64, the price at which the common stock was last sold on the New York Stock Exchange on August 1, 2025, the last business day of the registrant’s most recently completed second fiscal quarter. For purposes of this calculation, shares of common stock held by nonaffiliates excludes only those shares beneficially owned by officers, directors, and shareholders owning 10% or more of the outstanding common stock (and, in each case, their immediate family members and affiliates).</w:t>
      </w:r>
    </w:p>
    <w:p>
      <w:pPr>
        <w:spacing w:after="0" w:line="2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Indicate the number of shares outstanding of each of the registrant’s classes of common stock as of the latest practicable date: As of March 13, 2026, 10,858,224 shares of the registrant’s common stock were outstanding.</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2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portions of registrant’s Definitive Proxy Statement for its 2026 Annual Meeting of Shareholders (which is expected to be filed with the Securities and Exchange Commission within 120 days after the end of the registrant’s fiscal year ended January 31, 2026)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16"/>
          </w:tcPr>
          <w:p>
            <w:pPr>
              <w:jc w:val="center"/>
              <w:ind w:right="34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4800" w:type="dxa"/>
            <w:vAlign w:val="bottom"/>
            <w:gridSpan w:val="10"/>
            <w:vMerge w:val="restart"/>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620" w:type="dxa"/>
            <w:vAlign w:val="bottom"/>
            <w:tcBorders>
              <w:bottom w:val="single" w:sz="8" w:color="0000FF"/>
            </w:tcBorders>
            <w:gridSpan w:val="3"/>
            <w:vMerge w:val="continue"/>
          </w:tcPr>
          <w:p>
            <w:pPr>
              <w:spacing w:after="0"/>
              <w:rPr>
                <w:sz w:val="14"/>
                <w:szCs w:val="14"/>
                <w:color w:val="auto"/>
              </w:rPr>
            </w:pPr>
          </w:p>
        </w:tc>
        <w:tc>
          <w:tcPr>
            <w:tcW w:w="4800" w:type="dxa"/>
            <w:vAlign w:val="bottom"/>
            <w:gridSpan w:val="10"/>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4"/>
          </w:tcPr>
          <w:p>
            <w:pPr>
              <w:jc w:val="center"/>
              <w:ind w:right="47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6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Borders>
              <w:top w:val="single" w:sz="8" w:color="0000FF"/>
            </w:tcBorders>
          </w:tcPr>
          <w:p>
            <w:pPr>
              <w:spacing w:after="0"/>
              <w:rPr>
                <w:sz w:val="24"/>
                <w:szCs w:val="24"/>
                <w:color w:val="auto"/>
              </w:rPr>
            </w:pPr>
          </w:p>
        </w:tc>
        <w:tc>
          <w:tcPr>
            <w:tcW w:w="422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15"/>
          </w:tcPr>
          <w:p>
            <w:pPr>
              <w:jc w:val="center"/>
              <w:ind w:right="474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17"/>
                <w:szCs w:val="17"/>
                <w:color w:val="auto"/>
              </w:rPr>
            </w:pPr>
          </w:p>
        </w:tc>
        <w:tc>
          <w:tcPr>
            <w:tcW w:w="474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96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885"/>
        </w:trPr>
        <w:tc>
          <w:tcPr>
            <w:tcW w:w="1140" w:type="dxa"/>
            <w:vAlign w:val="bottom"/>
          </w:tcPr>
          <w:p>
            <w:pPr>
              <w:spacing w:after="0"/>
              <w:rPr>
                <w:sz w:val="24"/>
                <w:szCs w:val="24"/>
                <w:color w:val="auto"/>
              </w:rPr>
            </w:pPr>
          </w:p>
        </w:tc>
        <w:tc>
          <w:tcPr>
            <w:tcW w:w="1520" w:type="dxa"/>
            <w:vAlign w:val="bottom"/>
            <w:tcBorders>
              <w:top w:val="single" w:sz="8" w:color="0000FF"/>
            </w:tcBorders>
            <w:gridSpan w:val="6"/>
          </w:tcPr>
          <w:p>
            <w:pPr>
              <w:spacing w:after="0"/>
              <w:rPr>
                <w:sz w:val="24"/>
                <w:szCs w:val="24"/>
                <w:color w:val="auto"/>
              </w:rPr>
            </w:pPr>
          </w:p>
        </w:tc>
        <w:tc>
          <w:tcPr>
            <w:tcW w:w="3360" w:type="dxa"/>
            <w:vAlign w:val="bottom"/>
            <w:gridSpan w:val="16"/>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Notice Regarding Forward-Looking Statements</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(including the timing and amount thereof)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including disruptions as a result of pandemics or geopolitical events, including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other sources of market weakness in the locations in which we operate; the effectiveness of our omni-channel initiatives;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or as the result of the restructuring of our information technology functions; changes in tax laws and tax rates and our ability to realize any anticipated tax benefits in both the amount and timeframe anticipated; and the cost and outcome of litigation, investigations, environmental matters and other disputes that involve us. For a full discussion of risk factors, see Item 1A, "Risk Factors".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8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Genesco Inc., incorporated in 1934 in the State of Tennessee, is a leading retailer and wholesaler of branded footwear, apparel and accessories with net sales for Fiscal 2026 of $2.4 billion. During Fiscal 2026, we operated four reportable business segments (not including corporate): (i) Journeys Group, comprised of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footwear chains and e-commerce operations; (ii) Schuh Group, comprised of the Schuh retail footwear chain and e-commerce operations; (iii) Johnston &amp; Murphy Group, comprised of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operations, e-commerce operations and wholesale distribution of products under the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(iv) Genesco Brands Group, comprised of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("Dockers") and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("Levi's") brands, as well as other brands we license for footwear. We also source, design, market and distribute footwear, apparel and accessories at wholesale, primarily under our Johnston &amp; Murphy brand,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other brands that we license for footwear to over 900 retail accounts in the United States, including a number of leading department, discount, and specialty stores as well as e-commerce retailers. Our license with Levi's expires in May 2026 and we are in the process of exiting that business.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second quarter of Fiscal 2026, we signed a multi-year licensing agreement with Kontoor Brands, Inc. ("Kontoor") to design, source market and distribute men's, women's and children's footwear under the Wrangler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("Wrangler"). We expect to launch the first Wrangler footwear collection under the licensing agreement in the Fall of calendar year 2026.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2026, we announced the formation of the Journeys Global Retail Group which unites Journeys, Schuh and Little Burgundy. This alignment creates a powerful opportunity across our retail banners to position the business as the world’s leading style-led, youth footwear retail group, with a sharp focus on the female consumer. The Journeys Global Retail Group will boost our global voice, unlock greater growth potential for brand partners and elevate our world-class talent.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January 31, 2026, we operated 1,236 retail footwear, apparel and accessory stores located primarily throughout the United States and Puerto Rico, including 63 footwear stores in Canada and 118 footwear stores in the United Kingdom ("U.K.") and the Republic of Ireland ("ROI"). We plan to open a total of approximately 23 new retail stores and to close approximately 75 retail stores in Fiscal 2027 as part of our ongoing store optimization efforts.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additional information concerning our retail footwear, apparel and accessory stores during the five most recent fiscal years as we optimize our retail footprint and adapt to changing consumer shopping behavior: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38"/>
        </w:trPr>
        <w:tc>
          <w:tcPr>
            <w:tcW w:w="5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Stores</w:t>
            </w: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of year</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1,410</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1,341</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Opened during year</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Closed during year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 of year</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8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85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Shorthand references to fiscal years (e.g., “Fiscal 2026”) refer to the fiscal year ended on the Saturday nearest January 31st in the named year (e.g., January 31, 2026). Fiscal 2026 and 2025 were 52-week years and Fiscal 2024 was a 53-week year.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We strive to build enduring relationships with our target customers, leveraging our deep consumer and market insights. We seek to excite and constantly exceed customer expectations by delivering distinctive products and experiences, using our deep direct-to-consumer expertise across physical and digital channels. The strength of our concepts and the advantages we have built over time have established long-lasting leadership positions that make our footwear businesses outstanding on their own, but what they share through the benefit of synergies makes them even stronger together. We have evolved our strategy to focus more closely around the consumer with our footwear first strategy, comprised of four strategic growth drivers: 1) create and curate winning product, 2) elevate our distinctive retail and consumer brands, 3) deliver exceptional consumer experiences, and 4) build amazing teams. We anticipate continuing to optimize our store footprint in the future, concentrating on locations that we believe will be most productive, as well as closing certain stores, but improving productivity in our existing locations and investing in store remodels, technology and infrastructure to support omni-channel retailing.</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acquisitions, including the acquisitions of the Schuh Group in June 2011, Little Burgundy in December 2015 and Togast in January 2020. We expect to concentrate our efforts on opportunities to leverage our direct-to-consumer capabilities to grow our branded platform and leverage its strategies at the appropriate time going forward.</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 generally, we work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for example, by driving sales of products with lower average selling prices or products which are more widely available in the marketplace and thus more subject to competitive pressures than our typical offering. Moreover, economic factors, such as inflation, supply chain disruptions and increased logistics costs, and any future economic contraction, inflationary trends, and changes in tax and tariff policies, may reduce the consumer’s disposable income or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Journeys Group</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Journeys Group accounted for 61% of our net sales in Fiscal 2026. Journeys stores target customers in the 13 to 22 year age group through the use of youth-oriented trends and multi-channel media. Journeys stores carry predominately branded merchandise across a wide range of prices. The Journeys Kidz stores sell footwear and accessories primarily for younger children, toddler age to 12 years old. Little Burgundy stores sell footwear and accessories to fashion-oriented men and women in the 21 to 34 year age group ranging from students to young professionals.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January 31, 2026, Journeys Group operated 965 stores, including 741 Journeys stores, 194 Journeys Kidz stores and 30 Little Burgundy stores averaging approximately 2,100 square feet, located primarily in malls and factory outlet centers throughout the United States, Puerto Rico and Canada, selling footwear and accessories for children, teenagers and young adults. Journeys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Group's e-commerce websites include the following: journeys.com, journeyskidz.com, journeys.ca and littleburgundyshoes.com. In Fiscal 2026, the Journeys Group closed a net of 41 stores.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Schuh Group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Schuh Group accounted for 21% of our net sales in Fiscal 2026. Schuh Group stores target teenagers and young adults in the 16 to 24 year age group, selling a broad range of branded casual and athletic footwear. At January 31, 2026, Schuh Group operated 118 Schuh stores, averaging approximately 4,950 square feet, which include both street-level and mall locations in the U.K. and the ROI. Schuh Group's e-commerce websites are schuh.co.uk, schuh.ie and schuh.eu. In Fiscal 2026, Schuh Group closed a net of six stores.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Johnston &amp; Murphy Group accounted for 13% of our net sales in Fiscal 2026. All sales of Johnston &amp; Murphy Group's retail and wholesale businesses are of the Genesco-owned Johnston &amp; Murphy brand.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Johnston &amp; Murphy Retail Operations. At January 31, 2026, Johnston &amp; Murphy operated 153 retail shops and factory stores in the United States averaging approximately 1,950 square feet and selling footwear, apparel and accessories primarily for men in the 25 to 55 year age group. Johnston &amp; Murphy retail shops are located primarily in higher-end malls and airports nationwide and sell a broad range of men’s casual and dress footwear, apparel and accessories. Women’s footwear, apparel and accessories are sold in select Johnston &amp; Murphy locations. We also sell Johnston &amp; Murphy products directly to consumers through the johnstonmurphy.com e-commerce website. Footwear accounted for 52% of Johnston &amp; Murphy retail sales in Fiscal 2026, with the balance consisting primarily of apparel and accessories. Johnston &amp; Murphy Group opened a net of five shops and factory stores, including three shops and two factory stores, in Fiscal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Johnston &amp; Murphy Wholesale Operations. Johnston &amp; Murphy men’s and boy's footwear, apparel and accessories, along with women's footwear are sold at wholesale, primarily to better department stores, independent specialty stores and e-commerce retailers. Johnston &amp; Murphy’s wholesale customers offer the brand’s footwear for dress, dress casual, and casual occasions, with the majority of styles offered in these channels selling from $100 to $195.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Genesco Brands Group segment accounted for 5% of our net sales in Fiscal 2026. Genesco Brands Group designs and sources licensed footwear under the Wrangler, Dockers and Levi's brand names, among others. In the second quarter of Fiscal 2026, we signed a licensing agreement with Kontoor to design, source, market and distribute men's, women's and children's footwear under the Wrangler brand. The Wrangler product will be distributed through wholesale channels, including western specialty, farm and ranch, outdoor, sporting goods and premium family footwear retailers with suggested retail prices ranging from $50 to $180. The products will also be available through wrangler.com. During Fiscal 2026, Dockers footwear was marketed to men aged 30 to 55 through many of the same national retail chains that carry Dockers pants and sportswear and in department and specialty stores across the country. Suggested retail prices for Dockers footwear generally range from $40 to $90. Our license with Levi's expires in May 2026 and we are in the process of exiting that business. In the fourth quarter of Fiscal 2022, we signed a licensing agreement with STARTER to be their exclusive U.S. and Canadian footwear licensee for athletic footwear. We design and source the STARTER brand footwear for men, women and children with suggested retail prices ranging from $49 to $120. Genesco Brands Group e-commerce website is nashvilleshoewarehouse.com.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and Sourcing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independent third-party manufacturers for production of our footwear products sold at Johnston &amp; Murphy Group and Genesco Brands Group. We source footwear and accessory products from foreign manufacturers located in Bangladesh,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Brazil, Cambodia, China, India, Italy, Pakistan, Peru, Portugal, Sri Lanka, Turkey and Vietnam. Our Journeys Group and Schuh Group businesses sell primarily branded products from third parties who source primarily overseas.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is intense in the footwear, apparel and accessory industries. Our retail footwear, apparel and accessory competitors range from small, locally owned stores to regional and national department stores, discount stores, specialty chains, our vendors with their own direct-to-consumer channels and online retailers. We also compete with hundreds of footwear wholesale operations in the United States and throughout the world, most of which are relatively small, specialized operations, but some of which are 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Licenses</w:t>
      </w:r>
    </w:p>
    <w:p>
      <w:pPr>
        <w:spacing w:after="0" w:line="19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own our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own or license the trade names of our retail concepts either directly or through wholly-owned subsidiaries. The Wrangler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footwear line, which will be introduced in the fall of calendar year 2026, will be sold under a license agreement granting us the exclusive right to sell men's, women's and children's footwear under the trademark in the U.S. and its territories and possessions, including Puerto Rico, and Canada. The Wrangler license agreement expires December 31, 2030, with a renewal term through December 31, 2035 if mutually agreed upon by April 1, 2029. In the first quarter of Fiscal 2027, we signed a new license agreement with Authentic Brands Group ("ABG") for the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footwear line which was first introduced in Fiscal 1993. The Dockers brand was previously owned by Levi Strauss &amp; Co. Under the new license agreement, ABG is granting us the exclusive right to sell men’s, women's and children's footwear under the trademark in the U.S. and its territories and possessions, including Puerto Rico, and Canada. The new Dockers license agreement expires December 31, 2031. The STARTER license agreement expires December 31, 2026. Our license agreement with Levi Strauss &amp; Co. expires May 30, 2026 and we are in the process of exiting that business. We license certain other footwear brands, mostly in foreign markets. License royalty income was not material in Fiscal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Backlog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orders in our wholesale divisions are for delivery within 150 days. Historically, most of our business has been at-once, and as a result, the backlog at any one time has not necessarily been indicative of future sales. As of February 28, 2026, our wholesale operations had a backlog of orders, including unconfirmed customer purchase orders, amounting to approximately $55.9 million, compared to approximately $57.1 million as of March 1, 2025. The backlog is somewhat seasonal, reaching a peak in the spring.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Responsibility Initiatives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leading retailer and wholesaler of branded footwear, apparel and accessories, we strive to make a positive impact on our industry, our communities and our planet by committing to transparent, socially conscious, and sustainable business practices. We believe that our practices should serve our shareholders, employees, customers and business partners.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2026, we completed our fourth measurements or baselines for our greenhouse gas emissions. We issued our second corporate responsibility report in Fiscal 2026 which can be found at www.genesco.com. Our website address is provided as an inactive textual reference only. The information provided on our website is not a part of this report, and therefore is not incorporated herein by reference.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reducing our impact on the environment by focusing on sustainability initiatives in our operations and throughout our supply chain and product lifecycle. To this end, we belong to the Leather Working Group ("LWG"). The LWG is a not-for-profit organization responsible for the world's leading environmental certification for the leather manufacturing industry. As a member of the LWG, we apply holistic practices in the supply chain for leather manufacturing for our third-party manufacturers.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monitor chemicals and substances in our supply chain for compliance with legal and regulatory requirements consistent with our Environmental Policy and expect our contracted factories and suppliers to take a proactive stance in eliminating any hazardous chemicals or substances in the manufacture of our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Employees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approximately 16,000 employees as of January 31, 2026, with approximately 13,000 employed in the United States and Canada, and approximately 3,000 in the U.K. and the ROI. The majority of our workforce consists of retail-based, customer-facing employees with approximately 70% part-time and 30% full-time as of January 31, 2026.</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our employees to be core to our success. Our values include treating our customers and each other with integrity, trust and respect, and creating an unrivaled home for talent to grow and succeed.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Health &amp; Safety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health and safety training with our retail and distribution employees to build knowledge and awareness of workplace conditions and hazards according to local, regional and national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Benefits and Compensation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a comprehensive benefits package designed to meet the diverse needs of our employees and their families. This package includes many benefits dedicated to our employees’ physical, mental and financial well-being.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valuable benefits based on the unique needs and interests of each individual employee such as domestic partner allowances, paid parental leave, family building benefits, education support, paid time for community service, financial assistance with emergencies, scholarship opportunities, matching gift contributions and a generous product discount.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programs are designed to attract, retain and motivate employees. We provide short-term and long-term incentives to encourage and reward superior performance and also drive long-term shareholder value. We engage a nationally recognized outside compensation consulting firm to independently evaluate the effectiveness of our executive compensation programs and to provide benchmarking against our peers within the industry.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Empowering Our People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continually strengthen our talent and to make a meaningful difference for our employees, our customers, and our communities.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enhanced our commitment to our people by building on our solid foundation. Through employee engagement and defined vision, we are focusing our attention on areas where we can make the most impact – our talent, our business practices and our communities. We have identified opportunities that will advance our efforts across our portfolio of brands,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expanded training and development programs, compensation studies, the launch of business resource groups and ongoing engagement through communication and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Engagement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annual employee engagement surveys as well as other targeted surveys with various segments of our workforce to measure important aspects of the employee experience. The survey measures employee sentiment on a variety of topics including leadership, management, alignment, involvement, respect in the workplace, learning and development, social connection and work life balance, among others. The survey creates the opportunity to establish two-way communication and gives employees a direct voice in influencing change. Our results indicate high participation rates and strong engagement scores. We remain committed to listening to and learning from our employees.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Training and Development</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employees with the opportunity to grow their careers and be rewarded for their contributions. We have a strong promote from within culture and target training and development that is relevant to an employee’s current role as well as future roles to which they aspire.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responsible sourcing practices in our supply chain. We depend on third-party vendors to produce the products we sell but strive to work only with those vendors who share our commitment to responsible practices, especially in their relationships with employees and their stewardship of the environment. Our supply chain and ethical practices policies are among the ways we seek to implement this commitment, including our Vendor Code of Conduct policy.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updated our comprehensive human rights policy with its commitment to respecting human rights and belief in fundamental standards that support our commitment to treat our employees, customers and business partners with integrity, trust and respect. Our human rights policy addresses our internal business ethics and code of conduct policies and principles embedded in our business operations, and is guided by the United Nations Guiding Principles on Business and Human Rights, the UN Universal Declaration of Human Rights, and the Organization for Economic Cooperation and Development ("OECD") Guidelines for Multi National Enterprises.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Security and Cybersecurity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retail and wholesale activities, marketing campaigns, customer relationship efforts and use of some third-party partners, we may handle and process certain non-public personal information that customers provide to purchase products, enroll in promotional or marketing programs, register on websites, or otherwise communicate to us in the course of providing support. This may include phone numbers, email addresses, physical addresses, contact preferences, personal information stored on electronic devices, and certain payment related information, including credit and debit card data. We have removed the transmission, processing, and storage of credit card data from our environment in North America through the use of hardware based end-to-end encryption along with tokenization.</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gather and retain information about our employees only as necessary to fulfill our responsibilities as an employer. We may share information about such persons with benefit and/or employee services vendors that assist with certain aspects of our human resources offering.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controls and safeguards to mitigate the risks to our systems and to protect this information and have made significant investments to improve our information security and privacy posture and keep pace with the ever changing and evolving risks to our systems and our information. For example, we have implemented hardware based end-to-end encryption with tokenization,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multi-factor authentication protocols, next generation firewalls, comprehensive cloud email security and endpoint protection, detection, and response software, conducted continuous risk assessments, and established data security breach preparedness and response plans. We also promote security awareness with our employees and require all endpoint users to successfully complete our annual security awareness training.</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information security, we must comply with increasingly complex and demanding regulatory standards enacted to protect the privacy of business and personal data in the United States, Europe and other jurisdictions. For example, the European Union adopted the General Data Protection Regulation (the “GDPR”), which went into effect on May 25, 2018; and California enacted the California Consumer Privacy Act (the "CCPA") which went into effect on January 1, 2020, and additional jurisdictions are considering proposing or adopting similar regulations. These privacy laws impose additional requirements on companies regarding the handling of personal data and provide certain individual privacy rights to persons whose data is stored or processed.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implemented processes and systems to allow for the expedient response and resolution of data subject to access requests in accordance with existing privacy laws and regulations that are applicable to our business, including GDPR and CCPA.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Building better communities is part of our everyday values. Our community outreach initiatives support underserved communities including our unique signature community outreach programs </w:t>
      </w:r>
      <w:r>
        <w:rPr>
          <w:rFonts w:ascii="Times New Roman" w:cs="Times New Roman" w:eastAsia="Times New Roman" w:hAnsi="Times New Roman"/>
          <w:sz w:val="18"/>
          <w:szCs w:val="18"/>
          <w:i w:val="1"/>
          <w:iCs w:val="1"/>
          <w:color w:val="auto"/>
        </w:rPr>
        <w:t>Cold Feet, Warm Shoes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Make a Difference Charity Golf Tournament</w:t>
      </w:r>
      <w:r>
        <w:rPr>
          <w:rFonts w:ascii="Times New Roman" w:cs="Times New Roman" w:eastAsia="Times New Roman" w:hAnsi="Times New Roman"/>
          <w:sz w:val="18"/>
          <w:szCs w:val="18"/>
          <w:color w:val="auto"/>
        </w:rPr>
        <w:t xml:space="preserve"> benefitting United Way and Schuh’s </w:t>
      </w:r>
      <w:r>
        <w:rPr>
          <w:rFonts w:ascii="Times New Roman" w:cs="Times New Roman" w:eastAsia="Times New Roman" w:hAnsi="Times New Roman"/>
          <w:sz w:val="18"/>
          <w:szCs w:val="18"/>
          <w:i w:val="1"/>
          <w:iCs w:val="1"/>
          <w:color w:val="auto"/>
        </w:rPr>
        <w:t>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More Good </w:t>
      </w:r>
      <w:r>
        <w:rPr>
          <w:rFonts w:ascii="Times New Roman" w:cs="Times New Roman" w:eastAsia="Times New Roman" w:hAnsi="Times New Roman"/>
          <w:sz w:val="18"/>
          <w:szCs w:val="18"/>
          <w:color w:val="auto"/>
        </w:rPr>
        <w:t>program. In addition, the Company and our employees engage through community sponsorship and leadership, including actively supporting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Way of Greater Nashville’s annual campaign, among other initiatives.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corporate governance mechanisms in place, along with internal controls over our financial reporting framework. We also have Enterprise Risk Management and Ethics and Compliance program frameworks, with annual updates provided to committees of our board of directors ("Board of Directors" or "Board") and our Board. To drive our efforts, we have established a corporate responsibility management and oversight framework under the direction of our Senior Vice President, Corporate Secretary and General Counsel. A subcommittee of the Nominating and Governance Committee of our Board oversees these efforts.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bringing a wide range of skills, expertise and perspectives to our Board, which is comprised of 67% of members who are diverse in either gender and/or ethnicity as of January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seasonal with our investment in working capital normally reaching peaks in the spring and fall of each year and a significant portion of our net sales and operating income generated during the fourth quarter. The wholesale backlog is somewhat seasonal, reaching a peak in the spring. We maintain in-stock programs for selected product lines with anticipated high-volume sales.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remediation of environmental conditions and, in the case of governmental agencies, to impose fines and penalties. Several of the facilities owned by us in the past were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15 to the Consolidated Financial Statements included in Item 8, "Financial Statements and Supplementary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Mimi Eckel Vaughn, </w:t>
      </w: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Board Chair, President, Interim Chief Financial Officer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Vaughn joined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2003 as vice president of 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her replacement was appointed in June 2019. In October 2019, Ms. Vaughn was appointed to become president and a member of the Board of Directors. Ms. Vaughn was appointed chief executive officer of the Company on February 2, 2020. In July 2020, Ms. Vaughn was appointed Board chair of the Company. As of March 6, 2025, Ms. Vaughn became the Company's interim chief financial officer until the Company names a successor.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Parag D. Desai, </w:t>
      </w: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Chief Strategy and Digital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Desai joined the Company in 2014 as senior vice president of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shared services. He was named chief strategy and digital officer in May 2021. Prior to joining the Company, Mr. Desai spent 14 years with McKinsey and Company, including seven years as a partner. Previously, Mr. Desai also held business development and technology positions at Outpace Systems and Booz Allen &amp; Hamilton.</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Cassandra E. Harris, 53,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Harris joined the Company in October 2024 as senior vice president of finance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She was named the Company's principal accounting officer in December 2024. As previously announced, Ms. Harris resigned as senior vice president - finance and chief financial officer, effective March 6, 2026. Ms. Harris will continue to serve as the Company's principal accounting officer through the filing of this report. Ms. Harris has an extensive background of chief financial officer and finance leadership roles in retail and consumer brands companies. Prior to joining Genesco, she most recently served as chief financial officer for Artisan Design Group from 2023 to 2024. Previously, Ms. Harris was chief financial officer and chief operating officer of publicly-held Tupperware Brands Corporation from 2019 to 2022. Prior to joining Tupperware Brands Corporation, Ms. Harris spent almost 10 years at VF Corporation from 2008 to 2017 where she served in multiple senior leadership roles.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Scott E. Becker</w:t>
      </w:r>
      <w:r>
        <w:rPr>
          <w:rFonts w:ascii="Times New Roman" w:cs="Times New Roman" w:eastAsia="Times New Roman" w:hAnsi="Times New Roman"/>
          <w:sz w:val="18"/>
          <w:szCs w:val="18"/>
          <w:color w:val="auto"/>
        </w:rPr>
        <w:t>, 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General Counsel and Corporate Secretary</w:t>
      </w:r>
      <w:r>
        <w:rPr>
          <w:rFonts w:ascii="Times New Roman" w:cs="Times New Roman" w:eastAsia="Times New Roman" w:hAnsi="Times New Roman"/>
          <w:sz w:val="18"/>
          <w:szCs w:val="18"/>
          <w:color w:val="auto"/>
        </w:rPr>
        <w:t>. In October 2019, Mr. Becker joined the Company as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 From 2006 to 2009, he served as Nissan’s general counsel, corporate secretary and vice president, legal and government affairs. Prior to joining Nissan, Mr. Becker served in various legal roles at Sears Holdings Corporation. Mr. Becker began his legal career with several Chicago area law firms.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Daniel E. Ewoldsen</w:t>
      </w:r>
      <w:r>
        <w:rPr>
          <w:rFonts w:ascii="Times New Roman" w:cs="Times New Roman" w:eastAsia="Times New Roman" w:hAnsi="Times New Roman"/>
          <w:sz w:val="18"/>
          <w:szCs w:val="18"/>
          <w:color w:val="auto"/>
        </w:rPr>
        <w:t>, 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Ewoldsen is a 22-year Johnston &amp; Murphy veteran. He joined Johnston &amp; Murphy in 2003 as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store operations and was later promoted to vice president store and consumer sales in 2006. He was named executive vice president, Johnston &amp; Murphy Retail and E-Commerce in 2013, president of Johnston &amp; Murphy Group in February 2018 and named senior vice president of Genesco in July 2019. Prior to joining Genesco, Mr. Ewoldsen was with Wilsons Leather from 1996 to 2002 serving in roles with increasing responsibilities, including vice president of stores for the El Portal division.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Andrew I. Gray</w:t>
      </w:r>
      <w:r>
        <w:rPr>
          <w:rFonts w:ascii="Times New Roman" w:cs="Times New Roman" w:eastAsia="Times New Roman" w:hAnsi="Times New Roman"/>
          <w:sz w:val="18"/>
          <w:szCs w:val="18"/>
          <w:color w:val="auto"/>
        </w:rPr>
        <w:t>, 48,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Gray joined the Company in January 2024 as senior vice president and president of the Journeys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was named chief executive officer of the newly formed Journeys Global Retail Group in September 2025. Journeys Global Retail Group unites Journeys, Schuh and Little Burgundy under one leadership. Prior to joining Genesco, he served over two decades in several senior leadership positions at Foot Locker. Mr. Gray most recently served as executive vice president, global president of Foot Locker, Kids Foot Locker, Champs Sports and Sidestep, a position he held from June 2022 until his departure from the company in January 2023. Previously, Mr. Gray served as executive vice president, chief commercial officer from July 2020 to June 2022, chief merchandising officer from October 2017 to July 2020, general manager of Foot Locker and Lady Foot Locker North America from February 2016 to October 2017, and as vice president and general merchandise manager of Foot Locker Europe from July 2013 to February 2016. During his time at Foot Locker, he developed a multi-dimensional skill set spanning merchandising, general management, retail and digital, consumer insight, brand building and global leadership.</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Matthew N. Johnson, </w:t>
      </w: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Treasurer</w:t>
      </w:r>
      <w:r>
        <w:rPr>
          <w:rFonts w:ascii="Times New Roman" w:cs="Times New Roman" w:eastAsia="Times New Roman" w:hAnsi="Times New Roman"/>
          <w:sz w:val="18"/>
          <w:szCs w:val="18"/>
          <w:color w:val="auto"/>
        </w:rPr>
        <w:t>. Mr. Johnson joined the Company in 1993 as manager, corporate finance and was elected assistant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and Board committees are also available free of charge through the website. The information provided on our website is not part of this Annual Report on Form 10-K and is therefore not incorporated by reference unless such information is otherwise specifically incorporated elsewhere in this Annual Report on Form 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which might have a material impact on our business. You should carefully consider the risks and uncertainties described below and the other information in this Annual Report on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Demand-Related and Reputational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Consumer spending is affected by poor and/or volatile economic conditions and other factors and may significantly harm our business, affecting our financial condition, liquidity, and results of operations.</w:t>
      </w:r>
    </w:p>
    <w:p>
      <w:pPr>
        <w:spacing w:after="0" w:line="11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the risks associated with recessions or other macroeconomic conditions and pressures such as inflationary impacts and supply chain challenges;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 which affect gasoline and home heating prices;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debt;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products, including the impact of the imposition of tariffs;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(including pandemics and quarantines);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refunds and policies;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disturbances;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and other geopolitical hostilities;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future economic conditions.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Adverse economic conditions and any related decrease in consumer demand for discretionary items could have a material adverse effect on our business, results of operations and financial condition. We generally sell discretionary items. Reduced consumer confidence and spending may result in reduced demand for discretionary items and may force us to take inventory markdowns, which may decrease sales and gross margin and make expense leverage difficult to achieve. In addition, inflationary pressure on the products we sell might limit our ability to pass on cost increases to our customers resulting in gross margin impact or reduced demand. Demand can also be influenced by other factors beyond our control.</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while we believe that our operating cash flows and borrowing capacity under committed lines of credit will be adequate for our anticipated cash requirements, if the economy were to experience a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on favorable terms, if at all. These same factors could impact our wholesale customers, limiting their ability to buy or pay for merchandise offered by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 failure to increase sales at our existing stores, given our high fixed expense cost structure, and in our e-commerce businesses or an inability to reduce costs may adversely affect our results of operations which may adversely impact our stock price.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have historically affected, and will continue to affect, our results and gross margin, including:</w:t>
      </w:r>
    </w:p>
    <w:p>
      <w:pPr>
        <w:spacing w:after="0" w:line="27" w:lineRule="exact"/>
        <w:rPr>
          <w:sz w:val="20"/>
          <w:szCs w:val="20"/>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trends, such as less disposable income due to the impact of economic conditions, tax policies and other factors;</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new fashion trends to drive demand in certain of our businesses and our ability to adjust to changes in fashion trends on a timely basis;</w:t>
      </w:r>
    </w:p>
    <w:p>
      <w:pPr>
        <w:spacing w:after="0" w:line="9" w:lineRule="exact"/>
        <w:rPr>
          <w:rFonts w:ascii="Times New Roman" w:cs="Times New Roman" w:eastAsia="Times New Roman" w:hAnsi="Times New Roman"/>
          <w:sz w:val="18"/>
          <w:szCs w:val="18"/>
          <w:color w:val="auto"/>
        </w:rPr>
      </w:pPr>
    </w:p>
    <w:p>
      <w:pPr>
        <w:ind w:left="700" w:hanging="31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department stores that anchor malls or a significant number of non-anchor mall formats;</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mall traffic due to changing customer preferences in the way they shop;</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holidays, including sales tax holidays and the timing of tax refunds;</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9" w:lineRule="exact"/>
        <w:rPr>
          <w:rFonts w:ascii="Times New Roman" w:cs="Times New Roman" w:eastAsia="Times New Roman" w:hAnsi="Times New Roman"/>
          <w:sz w:val="18"/>
          <w:szCs w:val="18"/>
          <w:color w:val="auto"/>
        </w:rPr>
      </w:pPr>
    </w:p>
    <w:p>
      <w:pPr>
        <w:ind w:left="780" w:hanging="398"/>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merchandise introductions and changes in our merchandise mix;</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merchandise efficiently to our stores;</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type of sales events, promotional activities or other advertising;</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changing customer e-commerce preferences;</w:t>
      </w:r>
    </w:p>
    <w:p>
      <w:pPr>
        <w:spacing w:after="0" w:line="9" w:lineRule="exact"/>
        <w:rPr>
          <w:rFonts w:ascii="Times New Roman" w:cs="Times New Roman" w:eastAsia="Times New Roman" w:hAnsi="Times New Roman"/>
          <w:sz w:val="18"/>
          <w:szCs w:val="18"/>
          <w:color w:val="auto"/>
        </w:rPr>
      </w:pPr>
    </w:p>
    <w:p>
      <w:pPr>
        <w:ind w:left="780" w:hanging="398"/>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allocated product from our vendors;</w:t>
      </w:r>
    </w:p>
    <w:p>
      <w:pPr>
        <w:spacing w:after="0" w:line="9" w:lineRule="exact"/>
        <w:rPr>
          <w:rFonts w:ascii="Times New Roman" w:cs="Times New Roman" w:eastAsia="Times New Roman" w:hAnsi="Times New Roman"/>
          <w:sz w:val="18"/>
          <w:szCs w:val="18"/>
          <w:color w:val="auto"/>
        </w:rPr>
      </w:pPr>
    </w:p>
    <w:p>
      <w:pPr>
        <w:ind w:left="780" w:hanging="398"/>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cost reductions;</w:t>
      </w:r>
    </w:p>
    <w:p>
      <w:pPr>
        <w:spacing w:after="0" w:line="9" w:lineRule="exact"/>
        <w:rPr>
          <w:rFonts w:ascii="Times New Roman" w:cs="Times New Roman" w:eastAsia="Times New Roman" w:hAnsi="Times New Roman"/>
          <w:sz w:val="18"/>
          <w:szCs w:val="18"/>
          <w:color w:val="auto"/>
        </w:rPr>
      </w:pPr>
    </w:p>
    <w:p>
      <w:pPr>
        <w:ind w:left="720" w:hanging="338"/>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effectively; and</w:t>
      </w:r>
    </w:p>
    <w:p>
      <w:pPr>
        <w:spacing w:after="0" w:line="9" w:lineRule="exact"/>
        <w:rPr>
          <w:rFonts w:ascii="Times New Roman" w:cs="Times New Roman" w:eastAsia="Times New Roman" w:hAnsi="Times New Roman"/>
          <w:sz w:val="18"/>
          <w:szCs w:val="18"/>
          <w:color w:val="auto"/>
        </w:rPr>
      </w:pPr>
    </w:p>
    <w:p>
      <w:pPr>
        <w:ind w:left="780" w:hanging="398"/>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external events beyond our control.</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protect our reputation could have a material adverse effect on our brand names.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 potentially lead to various adverse consumer, regulatory and employee actions. Any of these events could result in decreased revenue or otherwise adversely affect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our ability to respond to changing consumer preferences, identify and interpret consumer trends, and successfully market new products.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subject to rapid changes in fashion and consumer preferences. The continued popularity of our footwear and apparel and the development and selection of new lines and styles of footwear and apparel with widespread consumer appeal, requires us to accurately identify and interpret changing consumer trends and preferences and to effectively respond in a timely manner. Continuing demand and market acceptance for both existing and new products are uncertain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depend on substantial investment in product innovation, design and development, an ongoing commitment to product quality and significant and sustained marketing efforts and expenditures.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our response to anticipated changing consumer preferences and trends, we frequently must make decisions about product designs and marketing expenditures months in advance of the time when actual consumer acceptance can be determined. As a result, we may not be successful in responding to shifting consumer preferences and trends with new products. If we fail to identify and interpret changing consumer preferences and trends, or are not successful in responding to these changes with the timely development or sourcing of products, we could experience excess inventories and higher than normal markdowns, returns, order cancellations or an inability to profitably sell our products.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appropriately address emerging sustainability matters could have a material adverse impact on our reputation and, as a result, our business.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uncertainty in the markets in which we operate regarding potential policies related to issues surrounding global environmental sustainability. Greenhouse gases may have an adverse effect on global temperatures, weather patterns, and the frequency and severity of extreme weather and natural disasters. Such events could have a negative effect on our business. Changes in the legal or regulatory environment affecting responsible sourcing, transportation cost, supply chain transparency, the effects of climate change or environmental protection, among others, including regulations to increase disclosure related to greenhouse gas emissions, to limit carbon dioxide and other greenhouse gas emissions, to discourage the use of plastic or to limit or to impose additional costs on commercial water use may result in a material adverse effect on our business or increased compliance costs for us and our business partners.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adversely affected by declines in consumer traffic in malls.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stores are located within shopping malls and depend to varying degrees on consumer traffic in the malls to generate sales. We cannot control the success of malls, and an increase in store closures by other retailers may lead to reduced foot traffic, mall vacancies and mall bankruptcies. Declines in mall traffic may negatively impact our ability to maintain or grow our sales in existing stores, which could have an adverse effect on our financial condition or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subject to seasonal and quarterly fluctuations.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seasonal, with a significant portion of our net sales and operating income generated during the fourth quarter of our fiscal year, which includes the holiday shopping season. As a result, we have limited ability to compensate for shortfalls in fourth quarter sales or earnings by changing our operations or strategies in other quarters. Adverse events outside of our control, such as supply chain interruptions, increased labor costs and labor availability, decreased consumer traffic or deteriorating economic conditions could result in lower than expected sales during the holiday shopping season or other periods in which we anticipate higher net sales, which could materially adversely impact our financial condition and results of operations. Our quarterly results of operations also may fluctuate significantly based on other factors such as:</w:t>
      </w:r>
    </w:p>
    <w:p>
      <w:pPr>
        <w:spacing w:after="0" w:line="5" w:lineRule="exact"/>
        <w:rPr>
          <w:sz w:val="20"/>
          <w:szCs w:val="20"/>
          <w:color w:val="auto"/>
        </w:rPr>
      </w:pPr>
    </w:p>
    <w:p>
      <w:pPr>
        <w:ind w:left="600" w:hanging="218"/>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store openings and renewals;</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sales contributed by new and existing stores;</w:t>
      </w:r>
    </w:p>
    <w:p>
      <w:pPr>
        <w:spacing w:after="0" w:line="9" w:lineRule="exact"/>
        <w:rPr>
          <w:rFonts w:ascii="Times New Roman" w:cs="Times New Roman" w:eastAsia="Times New Roman" w:hAnsi="Times New Roman"/>
          <w:sz w:val="18"/>
          <w:szCs w:val="18"/>
          <w:color w:val="auto"/>
        </w:rPr>
      </w:pPr>
    </w:p>
    <w:p>
      <w:pPr>
        <w:ind w:left="700" w:hanging="31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holidays and sales events;</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quarter end dates due to changes in the length of our fiscal year from year to year;</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that affect consumer spending; and</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retail industry could have a material adverse effect on our business or financial condition.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retail industry has experienced consolidation, store closures, bankruptcies and other ownership changes. In the future, retailers in the U.S.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Growth in e-commerce competition could result in financial difficulties, including store closures, bankruptcies or liquidations for our brick-and-mortar stores and those of our wholesale customers who fail to compete effectively in the e-commerce market.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success will be determined, in part, on our ability to manage the impact of the rapidly changing retail environment and identify and capitalize on retail trends, including technology, enhanced digital capabilities, e-commerce and other process efficiencies that will better service our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intensely competitive and increased or new competition could have a material adverse effect on 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retail footwear and accessory markets are intensely competitive. We currently compete against a diverse group of retailers, including regional and national specialty stores, department and discount stores, small independents and e-commerce retailers, and our own vendors who are increasingly selling the same or similar products direct-to-consumers.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spacing w:after="0" w:line="3" w:lineRule="exact"/>
        <w:rPr>
          <w:sz w:val="20"/>
          <w:szCs w:val="20"/>
          <w:color w:val="auto"/>
        </w:rPr>
      </w:pPr>
    </w:p>
    <w:p>
      <w:pPr>
        <w:ind w:left="600" w:hanging="218"/>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efficiencies of competitors;</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strategies;</w:t>
      </w:r>
    </w:p>
    <w:p>
      <w:pPr>
        <w:spacing w:after="0" w:line="9" w:lineRule="exact"/>
        <w:rPr>
          <w:rFonts w:ascii="Times New Roman" w:cs="Times New Roman" w:eastAsia="Times New Roman" w:hAnsi="Times New Roman"/>
          <w:sz w:val="18"/>
          <w:szCs w:val="18"/>
          <w:color w:val="auto"/>
        </w:rPr>
      </w:pPr>
    </w:p>
    <w:p>
      <w:pPr>
        <w:ind w:left="700" w:hanging="31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by existing competitors;</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direct-to-consumer selling by our vendors;</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by new competitors into markets in which we currently operate; and</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existing retail competitors of innovative store formats or sales methods.</w:t>
      </w:r>
    </w:p>
    <w:p>
      <w:pPr>
        <w:spacing w:after="0" w:line="1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online e-commerce sites, or those of our customers, do not function effectively or meet the expectations or preferences of our customers, our business and financial results could be materially adversely affected.</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increasing amount of our products are sold on our e-commerce sites and third-party e-commerce sites. Consumers are also increasingly using mobile-based applications to engage with us and our competitors through digital experiences that are offered on mobile platforms, and we are increasingly using social media to interact with our consumers. Any failure to provide effective, reliable, user-friendly e-commerce platforms that offer a wide assortment of our products and that continually meet the evolving expectations of online shoppers or any failure to provide attractive digital experiences could place us at a competitive disadvantage, result in the loss of sales, and have a material adverse impact on our business and financial results. Our e-commerce business may be particularly vulnerable to cyber threats including unauthorized access and denial of service attacks. Sales in our e-commerce channel may also divert sales from our retail and wholesale channels.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and Infrastructure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a number of risks in opening new stores and renewing leases on existing stores.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open new stores, both in regional malls, where most of the operational experience of our U.S. businesses lies, and in other venues including outlet centers, airports and other off-mall locations. We cannot offer assurances that we will be able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open as many stores as we have planned, that any new store will achieve similar operating results to those of our existing stores or that new stores opened in markets in which we already operate will not have a material adverse effect on the revenues and profitability of our existing stores. In addition to the risks already discussed for existing stores, the success of any planned expansion or remodels is dependent upon numerous factors, many of which are beyond our control, including the following:</w:t>
      </w:r>
    </w:p>
    <w:p>
      <w:pPr>
        <w:spacing w:after="0" w:line="3"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markets and individual store sites within those markets;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suitable store sites;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lease terms for new stores and renewals (including rent and other costs) with landlords;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governmental and other third-party consents, permits and licenses necessary to the operation of our stores or otherwise;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and remodel stores on schedule and at acceptable cost;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employees to staff new stores and our ability to hire, train, motivate and retain store personnel;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laws and regulations, including wage, over-time, and employee benefits laws on store expense;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management and financial resources to manage an increased number of stores;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distribution and other operational and management systems to an expanded network of stores;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could prevent or delay store openings and impact our liquidity needed for store openings.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results we expect to achieve during each fiscal quarter are dependent upon opening new stores and renewing leases on existing stores on schedule and at expected costs. If we fall behind in our new store openings,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or new businesses we launch, as well as any dispositions of assets or businesses, involve a degree of risk.</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have been a component of our growth strategy and we expect that in the future we may engage in acquisitions or launch new businesses to grow our revenues and meet our other strategic objectives. If acquisitions are not successfully integrated with our business, our ongoing operations could be adversely affected. Acquisitions or new businesses may also divert management's attention and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we cannot offer assurance that we can obtain such provisions in our acquisitions or that they will fully protect us from unforeseen costs or liabilities associated with the acquisitions. We may also incur significant costs and diversion of management time and attention in connection with pursuing possible acquisitions even if the acquisition is not ultimately consummated.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in the past and may in the future divest assets or businesses. Following any such divestitures, we may retain or incur liabilities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guarantees. Under these arrangements, performance by the divested businesses or conditions outside our control could adversely affect our business and results of operations.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recorded with acquisitions is subject to impairment which could reduce the Company's profitability.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acquisitions, we record goodwill on our Consolidated Balance Sheets. This asset is not amortized, but is subject to an impairment test at least annually, where we have the option to assess qualitative factors to determine whether events and circumstances indicate that it is more likely than not that goodwill is impaired. If after such assessment we conclude that the asset is impaired,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the fourth quarter of our fiscal year, or more frequently if events or circumstances indicate that the value of the asset might be impaired.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Deterioration in our equity market value, whether related to our operating performance or to disruptions in the equity markets or deterioration in the operating performance of the business unit with which goodwill is associated could cause us to recognize the impairment of some or all of the $9.5 million of goodwill on our Consolidated Balance Sheets at January 31, 2026, resulting in the reduction of net assets and a corresponding non-cash charge to earnings in the amount of the impairment.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Data Security and Privacy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operation of our business is heavily dependent on our information systems.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information technology systems for the efficient functioning of our business (including multiple e-commerce websites) and security of information. Much information essential to our business is maintained electronically, including competitively sensitive information and personal information about customers and employees.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our preventative efforts, our information technology systems and websites may be vulnerable to damage or interruption from events such as computer viruses, security breaches, errors by third-party providers, power outages and difficulties in replacing or integrating the systems of acquired businesses. Any material disruption to our information systems could adversely affect our operations and financial results.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insurance policies may not cover business interruption, security breaches and similar incidents or may have limits inadequate for such losses. We rely on hardware and software vendors, including cloud-service providers, to maintain and upgrade many of these systems so that they can continue to support our business. The inability to maintain and upgrade these systems and software programs or the failure of third-party providers on which we rely could disrupt or reduce the efficiency of our operations.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 In addition, we are transforming our information technology delivery mode, including transferring certain technology services to a third-party partner. These efforts involve risks, including delays, increased costs, service interruptions, challenges in managing third-party performance, and the possibility that expected benefits may not be realized.</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our information technology staff. Changes to our information technology organization in connection with the transformation of our information technology delivery model may result in employee attrition. If we cannot meet our staffing needs in this area, we may not be able to fulfill our technology initiatives or provide maintenance on existing systems. A disruption to our information systems or those of our third-party providers could result in lost sales and increased costs and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Information Technology Restructuring Initiative May Not Achieve Expected Results and Could Disrupt Our Business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information technology transformation, we are transitioning certain information technology services to a third-party service provider. The services being transitioned include infrastructure, networking and technology operations, automation and AI, application development and support, quality assurance and testing, service desk operations, security operations support, and compliance support. We expect to retain a substantial amount of our current information technology staff to manage strategic functions and oversee third-party service providers. We expect this information technology restructuring initiative to be ongoing at least through Fiscal 2027. This transition involves significant operational changes and presents a number of risks, including:</w:t>
      </w:r>
    </w:p>
    <w:p>
      <w:pPr>
        <w:spacing w:after="0" w:line="116"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third-party systems, technologies, and personnel with our existing operations;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our business operations during the transition period;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continuity and consistency of service levels during and after the transition;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third-party service providers to perform as expected or to meet contractual service level commitments;</w:t>
      </w:r>
    </w:p>
    <w:p>
      <w:pPr>
        <w:spacing w:after="0" w:line="9"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reliance on third-party service providers to maintain the security and integrity of our information systems, data and intellectual property, and our inability to directly control such providers' security and data protection practices;</w:t>
      </w: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reallocation of institutional knowledge and the potential loss of key personnel;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resources associated with the transition;</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service interruptions arising from factors outside of our control, including failures by third-party service providers, their subcontractors, or other service providers in the supply chain; and</w:t>
      </w:r>
    </w:p>
    <w:p>
      <w:pPr>
        <w:ind w:left="760" w:hanging="378"/>
        <w:spacing w:after="0" w:line="26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effectively managing the retained information technology organization alongside third-party service providers, including potential difficulties coordinating activities and maintaining clear lines of responsibility.</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service providers to process, store, and manage substantial amounts of sensitive information, including proprietary business information, intellectual property, and confidential data. Although our agreements with third-party service providers include contractual provisions designed to protect privacy, security, and the appropriate use of AI, we have limited ability to directly control the practices of third parties. There can be no assurance that (i) such contractual protections will be effective or that our service providers will comply with them or (ii) we will be able to obtain licenses, services, or technology from these third-party providers on commercially acceptable terms. Evolving laws and standards governing AI may impose new contractual, technical, and reporting requirements that increase costs and limit how third-party service providers can process our data. Vulnerabilities, failures of safeguards, or security breaches at these third-party providers could compromise the confidentiality, integrity, or availability of our systems or data and lead to regulatory investigations, litigation, contractual liabilities, remediation expenses, and reputational damage. Cyber and professional liability insurance, whether ours or our service providers’, may not cover all types of losses, may be subject to significant deductibles, and may not be available on acceptable terms in the future. If the information technology restructuring initiative takes longer to accomplish than projected, does not achieve its intended benefits, results in higher than anticipated costs, or causes service disruptions, our business, financial condition, and results of operations could be materially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payment-related risks that could increase our operating costs, expose us to fraud or theft, subject us to potential liability and disrupt our business.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retailer who accepts payments using a variety of methods,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could result in additional costs or accelerate these costs with additional legal and financial exposure for noncompliance. For certain payment methods, we pay interchange and other fees, which can increase over time and raise our operating costs. We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rely on third parties to provide payment processing services. If these companies become unable to provide these services to us, or if their systems are compromised, it could disrupt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potential fraud and theft by persons who seek to obtain unauthorized access to or exploit weaknesses in payment systems. We completed the implementation of Europay, Mastercard and Visa ("EMV") technology and received certification in Fiscal 2018; however future upgrades to our systems could expose us to the fraudulent use of credit cards and increased costs, including possible fines and restrictions on our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Card Industry (“PCI”) is controlled by a limited number of vendors who may impose changes in the fee structure and operational requirements on us without negotiation. Such changes may result in our failure to comply with PCI DSS, and cause us to incur significant unanticipated expenses.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privacy breach, through a cybersecurity incident or otherwise, or failure to comply with privacy laws could materially adversely affect our 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normal operations, we and our third-party vendors and partners, receive and maintain confidential and personally identifiable information (“PII”)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valuable information, including without limitation customer or employee PII, and/or theft. A similar cybersecurity breach to the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rapid evolution and increased adoption of machine learning and artificial intelligence ("AI") is further increasing risks in this area, including by making fraud detection more difficult, particularly with detection devices that use voice recognition or authentication. Our computer networks and our business may be adversely affected by such a breach of our third-party vendors and partners, which could result in a decrease in our e-commerce sales and/or a loss of information valuable to our business, including PII of customers or employees. Such a cyber-incident could result in:</w:t>
      </w:r>
    </w:p>
    <w:p>
      <w:pPr>
        <w:spacing w:after="0" w:line="3" w:lineRule="exact"/>
        <w:rPr>
          <w:sz w:val="20"/>
          <w:szCs w:val="20"/>
          <w:color w:val="auto"/>
        </w:rPr>
      </w:pPr>
    </w:p>
    <w:p>
      <w:pPr>
        <w:jc w:val="both"/>
        <w:ind w:left="380" w:firstLine="2"/>
        <w:spacing w:after="0" w:line="250" w:lineRule="auto"/>
        <w:tabs>
          <w:tab w:leader="none" w:pos="6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destruction, loss, misappropriation, or release of confidential financial and other data, intellectual property, customer awards, or customer or employee information, including PII such as payment card information, email addresses, passwords, social security numbers, home addresses, or health information;</w:t>
      </w:r>
    </w:p>
    <w:p>
      <w:pPr>
        <w:spacing w:after="0" w:line="1" w:lineRule="exact"/>
        <w:rPr>
          <w:rFonts w:ascii="Times New Roman" w:cs="Times New Roman" w:eastAsia="Times New Roman" w:hAnsi="Times New Roman"/>
          <w:sz w:val="18"/>
          <w:szCs w:val="18"/>
          <w:color w:val="auto"/>
        </w:rPr>
      </w:pPr>
    </w:p>
    <w:p>
      <w:pPr>
        <w:ind w:left="380" w:right="20" w:firstLine="2"/>
        <w:spacing w:after="0" w:line="250"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ind w:left="700" w:hanging="318"/>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resulting in material reputation or brand damage with our customers, vendors, third-party partners or industry peers;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680" w:hanging="298"/>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including those generated through our e-commerce websites; or</w:t>
      </w:r>
    </w:p>
    <w:p>
      <w:pPr>
        <w:spacing w:after="0" w:line="27"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penalties, fines and/or enforcement actions, payment and industry penalties and fines and/or class action and other lawsuits.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above risks, individually or in aggregate, could materially damage our reputation and result in lost sales, governmental and payment card industry fines, and/or class action and other lawsuits. Although we carry cybersecurity insurance, that insurance may not be extensive enough or adequate in scope of coverage or amount to reimburse us for damages we may incur. A significant breach of privacy laws could have a material adverse effect on our reputation.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requirements are constantly evolving and these requirements could adversely affect our business and operating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access to collect or maintain information about our customers, and the protection of that data is critical to our business. The regulatory environment surrounding information security and privacy continues to evolve and new laws are increasingly giving customers the right to control how their personal data is used. One such law is the European Union's ("E.U.") GDPR. Our failure to comply with the GDPR and similar U.S. federal and state laws, including privacy laws in several states, could in the future result in significant penalties which could have a material adverse effect on our business and results of operations. Data protection compliance could also cause us to incur substantial costs, forego revenue or be subject to business risk associated with system changes and new business processes.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utilization, expansion and management of machine learning and other types of artificial intelligence in our business could adversely affect our business, financial condition and results of operations.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increasing our utilization of AI and anticipate that as AI technology advances, we may expand our application of AI, including generative AI. AI may become more important to our operations over time as we increase reliance on AI throughout our operations. The rapid evolution of AI technology and potential regulation of AI may require that we expend significant resources to develop, test and maintain our implementation of AI. Although we aim to implement AI technology according to responsible procedures and adequate safeguards, our current or future use of AI tools in our business operations could expose us to new or additional costs and risks, including the introduction of new vulnerabilities or cybersecurity risks within our information technology systems; the inadvertent or unauthorized release of our confidential or proprietary information resulting from the use of AI tools by our employees, contractors, agents, representatives, vendors or customers; the loss of our intellectual property rights or our infringement of the intellectual property rights of third parties resulting from the use of AI tools in our operations; and legal or reputational harms due to insufficient or flawed data, insufficient quality control, or unlawful bias or discrimination associated with the use of AI tools. In addition, the AI tools we may incorporate into certain aspects of our operations may not generate the intended efficiencies and may impact our business results. Our competitors may incorporate AI into their businesses faster or more successfully than us, which could impair our ability to compete effectively and adversely affect our results of operations. If the information generated through our use of AI is or is deemed to be deficient, inaccurate or biased, our reputation, business, financial condition, and results of operations may be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Supply Chain and Third-Party Risks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operating costs, including wage increases resulting from potential increases in the minimum wage or competitive pressures, could have an adverse effect on our results.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operating costs, including wage increases resulting from potential increases in the minimum wage or wage increases reflecting competition in relevant labor markets, store occupancy costs, distribution center costs and other expense items, including healthcare costs, may reduce our operating margin, and make it more difficult to identify new store locations that we believe will meet our investment return requirements.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members of management or are unable to attract and retain the talent required for our business, our operating results could suffer.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or disruption in, one of our distribution centers and other factors affecting the distribution of merchandise, including freight cost, could materially adversely affect our business.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of our divisions uses a single distribution center or third-party logistics provider to handle all or a significant amount of its merchandise. Most of our operations’ inventory is shipped directly from suppliers to our operations' distribution centers or third-party logistics provider, where the inventory is then processed, sorted and shipped to our stores, our wholesale customers or our e-commerce customers. We depend on the orderly operation of this receiving and distribution process, which depends, in turn, on adherence to shipping schedules and effective management of the distribution centers. Although we believe that our receiving and distribution processes are efficient and well positioned to support our current business and potential expansions, we cannot offer assurance that we have anticipated all of the changing demands that our expanding operations, particularly our e-commerce operations, will impose on our receiving and distribution system, or that events beyond our control, such as disruptions in operations due to fire or other catastrophic events, labor disagreements or shortages or shipping problems (whether in our own or in our third-party vendors’ or carriers’ businesses), will not result in increased costs or in delays in the delivery of merchandise to our stores or to our wholesale customers or e-commerce/retail customers. In addition, to the extent we need to add capacity to distribution centers by either leasing or building new distribution centers or adding capacity at existing centers or make changes in our distribution processes to improve efficiency and maximize capacity, we cannot assure that these changes will not result in unanticipated delays or interruptions in distribution. We depend upon third parties for shipment of a significant amount of merchandise. Interruptions in the services provided by third parties may occasionally result from damage or destruction to our distribution centers; weather-related events; natural disasters; pandemics; trade policy changes or restrictions; tariffs or import-related taxes; third-party labor disruptions; shipping capacity constraints; third-party contract disputes; geopolitical events and military conflicts; acts of terrorism; or other factors beyond our control. An interruption in service by third parties for any reason could cause temporary disruptions in our business, a loss of sales and profits, and other material adverse effects.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freight costs are impacted by changes in fuel prices, surcharges and other factors which can affect cost both on inbound freight from vendors to our distribution centers and outbound freight from distribution centers to our stores and customers. Increases in freight costs, including in connection with increased fuel prices, may increase our cost of goods sold and our selling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the cost or a disruption in the flow of our imported products could adversely affect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3"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shipping and importation of imported products because of factors such as: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shortages, work stoppages, strikes, political unrest and civil disturbances;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shipping, including container shortages, disruptions to significant trade routes and delays in ports;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customs inspections or other factors that could result in penalties causing delays in shipments;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crises, natural disasters, pandemics, international disputes, wars and geopolitical conflicts;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purchasing or shipping foreign merchandise resulting from:</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cargo or safeguard measures;</w:t>
      </w:r>
    </w:p>
    <w:p>
      <w:pPr>
        <w:spacing w:after="0" w:line="9"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by the United States of “most favored nation” trading status to or the imposition of quotas or other restriction on imports from a foreign country from which we purchase goods;</w:t>
      </w: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 duties, import quotas, tariffs and other trade sanctions;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rates.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inventory we sell is imported from Vietnam, China and India, which have recently been subject to efforts to increase duty or tariff rates or to impose restrictions on imports of certain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small portion of the products we buy abroad is priced in foreign currencies and, therefore, we are affected by fluctuating currency exchange rates. We may not be able to effectively protect ourselves in the future against currency rate fluctuations. 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third-party vendors and licensors for the merchandise we sell.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manufacture the merchandise we sell, and our Genesco Brands Group business is dependent on third-party licenses. Accordingly, our product supply is subject to our ability to renew our license agreements or identify new licenses and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pandemics, work stoppages, labor shortages, strikes, political unrest and civil disturbances, raw materials supply disruptions, or any other reason to supply us 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products, we could be unable to offer our customers the products they wish to buy and could lose their business. Additionally, manufacturers are required to remain in compliance with certain wage, labor and environment-related laws, regulations and policies. Delayed compliance or failure to comply with such laws, regulations and policies by our vendors could adversely affect our ability to obtain products generally or at favorable costs, affecting our overall ability to maintain and manage inventory levels.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manufacture of our products and our distributing operations are subject to the risks of doing business abroad which could affect our ability to obtain products from foreign suppliers or control the costs of our products.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diversifying our sourcing base to ensure that we are not too concentrated in any single country. As we source some of our products from China, the possibility of adverse changes in trade or political relations with China, political instability, increases in labor costs, the occurrence of prolonged adverse weather conditions or a natural disaster such as an earthquake or typhoon, or the outbreak of infectious diseases in China could severely interfere with the manufacturing and/or shipment of our products and would have a material adverse effect on our operations. Our ability to source products from China may be adversely affected by changes in laws and regulations (or the interpretation thereof), including those relating to taxation, import and export tariffs, relations with the U.S. government, raw materials, environmental regulations, land use rights, property and other matters. Policy changes in China could adversely affect our interests through, among other factors: changes in laws and regulations,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There may be circumstances in the future where we may have to incur higher freight charges to expedite the delivery of product to our customers which could negatively affect our gross profit if we are unable to pass on those charges to our customers.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Legal, Regulatory, Global and Other External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may result in increased volatility in our effective tax rates.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significantly impacted by the effective tax rates of both our domestic and international operations. Future changes in tax laws could materially impact our effective tax rate. Other factors, such as changes in the mix of earnings in countries with differing statutory tax rates, changes in permitted deductions, interpretations, policies and treaties and the outcome of income tax audits in various jurisdictions, may result in higher taxes, lower profitability and increased volatility in our financial results.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in the tax laws of foreign jurisdictions may arise as a result of the Pillar Two (“Pillar Two”) Global Anti-Base Erosion model rules that were released by the Organization for Economic Cooperation and Development ("OECD") in 2021. Numerous countries have enacted legislation that implemented certain aspects of Pillar Two effective January 1, 2024, or adopted legislation that became effective in 2025, while additional jurisdictions may enact similar legislation in the future. In January 2026, the OECD issued further administrative guidance introducing a side-by-side framework under Pillar Two, largely exempting U.S.-headquartered companies from the application of Pillar Two. The OECD and implementing countries are expected to continue to make further revisions to their legislation and release additional guidance intended to adopt this side-by-side framework into law in each of the member countries. Additionally, administrative guidance with respect to tax law can be incomplete or vary from legislative intent, and therefore the application of tax law is uncertain. While we believe our reported positions comply with relevant tax laws and regulations, taxing authorities could interpret the application of certain laws and regulations differently.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July 4, 2025, H.R. 1, a bill to provide for reconciliation pursuant to title II of H. Con. Res. 14, informally known as the One Big Beautiful Bill Act ("OBBBA"), which includes several measures affecting corporations and other business entities, was signed into law. The OBBBA introduces changes to certain corporate tax rules that could affect our tax obligations, effective tax rate, and financial results. The scope, interpretation, and application of certain provisions of the OBBBA remain subject to further regulatory guidance and administrative interpretation. As a result, the ultimate impact of the OBBBA on our business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2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results of operations remains uncertain and could differ materially from our current expectations. Further discussion of the impacts of the OBBBA is included in “Note 11, Income Taxes” of the Notes to the Consolidated Financial Statements included in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expect the United States Treasury and the Internal Revenue Service ("IRS") to issue regulations and other guidance that could have a material impact on our effective tax rate in future periods.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212121"/>
        </w:rPr>
        <w:t>Our ability to source our merchandise profitably or at all could be negatively impacted if new trade restrictions are imposed, existing trade restrictions become more burdensome or disruptions occur at our suppliers or at the ports.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121"/>
        </w:rPr>
        <w:t xml:space="preserve">Trade restrictions, including increased tariffs, safeguards or quotas, on footwear, apparel and accessories could increase the cost or reduce the supply of merchandise available to us. </w:t>
      </w:r>
      <w:r>
        <w:rPr>
          <w:rFonts w:ascii="Times New Roman" w:cs="Times New Roman" w:eastAsia="Times New Roman" w:hAnsi="Times New Roman"/>
          <w:sz w:val="18"/>
          <w:szCs w:val="18"/>
          <w:color w:val="000000"/>
        </w:rPr>
        <w:t>We source footwear, apparel and accessory products from foreign manufacturers located in Bangladesh, Brazil, Cambodia,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China, India, Italy, Pakistan, Peru, Portugal, Sri Lanka, Turkey and Vietnam. Our retail operations, excluding Johnston &amp; Murphy, sell primarily branded products from third parties who source primarily overseas. </w:t>
      </w:r>
      <w:r>
        <w:rPr>
          <w:rFonts w:ascii="Times New Roman" w:cs="Times New Roman" w:eastAsia="Times New Roman" w:hAnsi="Times New Roman"/>
          <w:sz w:val="18"/>
          <w:szCs w:val="18"/>
          <w:color w:val="212121"/>
        </w:rPr>
        <w:t>The investments we are making to develop our sourcing capabilities may not be successful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may, in turn, have an adverse impact on our financial position and results of operations.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121"/>
        </w:rPr>
        <w:t xml:space="preserve">There are quotas and trade restrictions on certain categories of goods and apparel from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and countries that are not subject to the applicable World Trade Organization Agreement, which could have a significant impact on our sourcing patterns in the future. In addition, political uncertainty in the United States may result in significant changes to U.S. trade policies, treaties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including trade policies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regarding goods imported from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252525"/>
        </w:rPr>
        <w:t>Canada, Mexico and other countries</w:t>
      </w:r>
      <w:r>
        <w:rPr>
          <w:rFonts w:ascii="Times New Roman" w:cs="Times New Roman" w:eastAsia="Times New Roman" w:hAnsi="Times New Roman"/>
          <w:sz w:val="18"/>
          <w:szCs w:val="18"/>
          <w:color w:val="212121"/>
        </w:rPr>
        <w:t>. Increases to existing tariffs and the imposition of new tariffs on certain imported products could result in an increase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212121"/>
        </w:rPr>
        <w:t xml:space="preserve">in prices for those products. These developments, or the perception that any of them could occur, may have a material adverse effect on global economic conditions and the stability of global financial markets, and may significantly reduce global trade. Any of these factors could depress economic activity, restrict our sourcing from suppliers and have a material adverse effect on our business, financial condition and results of operations. We cannot predict whether any of the countries in which our merchandise is currently or may be manufactured in the future will be subject to additional trade restrictions imposed by the U.S. and foreign governments, nor can we predict the likelihood, type or effect of any such restrictions. Trade restrictions, including increased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 If we are unable to pass along increased costs to our customers, our gross margins could be adversely affected. Additionally, tariffs may cause us to shift production to other countries, resulting in significant costs and disruption to our business.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We rely on our suppliers to manufacture and ship the products they produce for us in a timely and cost-effective manner. We also rely on the free flow of goods through open and operational ports worldwide. Labor disputes and other disruptions at various ports or at our suppliers could increase costs for us and delay our receipt of merchandise, particularly if these disputes result in work slowdowns, lockouts, strikes or other disruptions.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climate change, extreme weather, infectious disease outbreaks, and other unexpected events could result in an interruption to our business, as well as to the operations of our third-party partners, and have a material adverse impact on our business.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our retail stores, corporate offices, distribution centers, digital operations and supply chain, as well as the operations of our third-party partners, including vendors and manufacturers, are vulnerable to disruption from climate change, natural disasters, pandemics and other infectious disease outbreaks and other unexpected events. In addition to impacts on global operations, these events could result in the potential loss of customers and revenues due to mandatory or voluntary store closures, delay or cancellation of merchandise deliveries, reduced consumer confidence or changes in consumers’ discretionary spending habits.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events could reduce the availability or quality of the materials used to manufacture our merchandise, which could cause delays in responding to consumer demand resulting in the potential loss of customers and revenues or we may incur increased costs to meet demand and may not be able to pass all or a portion of higher costs on to our customers, which could adversely affect our gross margin and results of our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historically, our operations have been seasonal, and extreme weather conditions, including natural disasters, unseasonable weather or changes in weather patterns, may diminish demand for our seasonal merchandise and could also influence consumer preferences and fashion trends, consumer traffic and shopping habits. In addition, we may incur costs that exceed our applicable insurance coverage for any necessary repairs to property damage or business disruption resulting from climate or weather conditions.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Establishing and protecting our intellectual property is critical to our business.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is dependent upon our continued ability to secure and protect trademarks, patents and other intellectual property rights in the U.S. and internationally for all of our businesses. We rely on a combination of trade secret, patent, trademark, copyright and other laws, license agreements and other contractual provisions and technical measures to protect our intellectual property rights; however, some countries do not protect intellectual property rights to the same extent as the U.S.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could be significantly harmed if we are not able to protect our intellectual property, or if a court found us to be infringing on others’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scope of our non-U.S. operations exposes our performance to risks including foreign, political, legal and economic conditions and exchange rate fluctuations.</w:t>
      </w:r>
    </w:p>
    <w:p>
      <w:pPr>
        <w:spacing w:after="0" w:line="1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performance depends in part on general economic conditions affecting all countries in which we do business. Although the U.K. and the E.U. entered into the E.U.-U.K. Trade and Cooperation Agreement on December 30, 2020, uncertainty remains about the impact on our business in the U.K. and ROI, including impact on tariffs, shipping costs, consumer demand and currency fluctuations.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across all of our markets, we could be adversely impacted by changes in trade policies, labor, tax or other laws and regulations, intellectual property rights and supply chain logistics. 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regulatory proceedings and litigation and to regulatory changes that could have an adverse effect on our financial condition and results of operations.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15 to the Consolidated Financial Statements. If these or similar matters are resolved against us, or if we incur significant costs to pursue claims against third parties, our results of operations, our cash flows, or our financial condition could be adversely affected. The costs of prosecuting or defending such lawsuits and responding to such investigations and regulatory proceedings may be substantial and their potential to distract management from day-to-day business is significant. Moreover, with retail operations in the United States, Puerto Rico, Canada, the U.K., and the ROI, we are 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Changes in regulations could make compliance more difficult and costly, and failure to comply with these requirements, including even a seemingly minor infraction, could result in liability for damages or penalties.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shareholders have caused, and could cause us in the future to incur substantial costs, divert management’s attention and resources, and have an adverse effect on our business.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may from time to time engage in proxy solicitations, advance shareholders proposals or otherwise attempt to affect changes or acquire control over the Company. Activist shareholder activities could adversely affect our business because responding to proxy contests and reacting to other actions by activist shareholders can be costly and time-consuming, disrupt our operations and divert the attention of management and our employees. We have retained, and may in the future, retain the services of various professionals to advise us on activist shareholder matters, including legal, financial and communication advisors, the costs of which may negatively impact our future financial results. Perceived uncertainties as to our future direction, strategy or leadership created as a consequence of activist shareholders initiatives may harm our reputation, result in the loss of potential business opportunities, harm our ability to attract new investors, customers, and employees, and cause our stock price to experience periods of volatility or stagnation.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is subject to floating interest rates.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our credit facility bear interest at varying rates and expose us to interest rate risk. If interest rates were to increase, our debt service obligations on the variable rate indebtedness referred to above would increase even if the principal amount borrowed remained the same, and our net income and cash flows will correspondingly decrease. Additionally, in connection with the Intercontinental Exchange Benchmark Administration’s announced phase-out of the London Inter-Bank Offered Rate ("LIBOR"), we amended our credit facility to, among other things, replace LIBOR with the Secured Overnight Financing Rate (“SOFR”), the Sterling Overnight Index Average (“SONIA”) and the Euro Interbank Offered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is one of our most critical risks. For many activities important to our business, we depend on the confidentiality, integrity and availability of information systems and data, some of which are provided or managed by third parties. We have strategically integrated cybersecurity risk management into our broader enterprise risk management function to promote a company-wide culture of cybersecurity risk management.</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day-to-day handling of risks facing the Company, while the Board of Directors, as a whole and through its committees, oversees risk management, including cybersecurity risks. The Board has delegated certain risk management responsibilities with respect to cybersecurity to the Audit Committee.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the Board, the Audit Committee provides oversight of our management of cybersecurity risk. The Audit Committee regularly reviews our cybersecurity risks, incidents, audits, assessments, crisis readiness, awareness activities and compliance with cybersecurity and privacy laws and regulations. Our Vice President, Information Security and Privacy jointly with our Senior Vice President, Chief Strategy and Digital Officer brief the Audit Committee quarterly, and more often, if necessary, on active and emerging cybersecurity threats and efforts to strengthen our defenses against these threats.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Information Security and Privacy teams reduce first and third-party risk by maintaining a proactive security posture aligned with current threats, detecting cybersecurity events and responding quickly, and building procedures to rapidly recover. These teams are managed by the Vice President, Information Security and Privacy, who reports to the Senior Vice President, Chief Strategy and Digital Officer. Our cybersecurity leaders collectively have more than 25 years of relevant experience and multiple professional certifications.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and third-party risks are reviewed, monitored, and managed by our Cybersecurity and Privacy teams, audited by an Internal Audit team and various external experts, and tracked within an Enterprise Risk Management framework. We regularly engage third-party experts to assess the effectiveness of our cybersecurity programs. Biennially, an external independent consultancy team conducts an assessment of our cybersecurity program using the inputs from accepted Cybersecurity Frameworks. Targeted assessments are conducted regularly by internal and third-party experts to ensure compliance with specific federal and state laws and regulations. We continue to participate in the VISA TIP program and AMEX STEP program around our PCI DSS compliance.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processes for identifying and managing first and third-party risks from cybersecurity threats include: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•Continuous monitoring of our systems and network for cybersecurity events;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•Regular testing of our Security Incident Response Plan, Business Continuity plans, and Disaster Recovery plans;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•Required annual security training for our employees with access to email, as well as tailored training for employees in  more sensitive roles.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Periodic testing to ensure the security training is effective.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External managed security services providers and industry-leading security tools continuously monitor our systems and network for cybersecurity threats. Our cybersecurity teams evaluate the escalated threats, and if necessary, take steps to contain and recover from pervasive threats in accordance with our Security Incident Response Plan. The plan includes reporting and escalation procedures to inform the Executive Committee, Audit Committee, and full Board, as appropriate to enable them to carry out their oversight responsibilities, and to ensure timely compliance with applicable reporting rules. Our Business Continuity Management and Disaster Recovery plans include procedures for business recovery and are tested regularly.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risks from cybersecurity threats or previous cybersecurity incidents have materially affected our business strategy, results of operations, or financial condition. However, there can be no assurance that our controls and procedures in place to monitor and mitigate the risks of cyber threats will be sufficient and/or timely and that we will not suffer material losses or consequences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future. Additionally, while we have in place insurance coverage designed to address certain aspects of cyber risks, such insurance coverage may be insufficient to cover all insured losses or all types of claims that may arise.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January 31, 2026, we operated 1,236 retail footwear, apparel and accessory stores throughout the United States, Puerto Rico, Canada, the U.K. and the ROI. New shopping center store leases in the United States, Puerto Rico and Canada typically have initial terms of approximately 10 years. New store leases in the U.K. and the ROI typically have initial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location, use and approximate size of our principal properties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Area</w:t>
            </w:r>
          </w:p>
        </w:tc>
      </w:tr>
      <w:tr>
        <w:trPr>
          <w:trHeight w:val="216"/>
        </w:trPr>
        <w:tc>
          <w:tcPr>
            <w:tcW w:w="3860" w:type="dxa"/>
            <w:vAlign w:val="bottom"/>
          </w:tcPr>
          <w:p>
            <w:pPr>
              <w:spacing w:after="0"/>
              <w:rPr>
                <w:sz w:val="18"/>
                <w:szCs w:val="18"/>
                <w:color w:val="auto"/>
              </w:rPr>
            </w:pP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8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Square</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w:t>
            </w: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Feet</w:t>
            </w:r>
          </w:p>
        </w:tc>
      </w:tr>
      <w:tr>
        <w:trPr>
          <w:trHeight w:val="191"/>
        </w:trPr>
        <w:tc>
          <w:tcPr>
            <w:tcW w:w="386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1800" w:type="dxa"/>
            <w:vAlign w:val="bottom"/>
            <w:tcBorders>
              <w:top w:val="single" w:sz="8" w:color="auto"/>
            </w:tcBorders>
            <w:shd w:val="clear" w:color="auto" w:fill="CFF0FC"/>
          </w:tcPr>
          <w:p>
            <w:pPr>
              <w:spacing w:after="0"/>
              <w:rPr>
                <w:sz w:val="16"/>
                <w:szCs w:val="16"/>
                <w:color w:val="auto"/>
              </w:rPr>
            </w:pPr>
          </w:p>
        </w:tc>
        <w:tc>
          <w:tcPr>
            <w:tcW w:w="234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 TN</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Journeys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administrative offices</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563,000</w:t>
            </w:r>
          </w:p>
        </w:tc>
        <w:tc>
          <w:tcPr>
            <w:tcW w:w="320" w:type="dxa"/>
            <w:vAlign w:val="bottom"/>
            <w:shd w:val="clear" w:color="auto" w:fill="CFF0FC"/>
          </w:tcPr>
          <w:p>
            <w:pPr>
              <w:spacing w:after="0"/>
              <w:rPr>
                <w:sz w:val="20"/>
                <w:szCs w:val="20"/>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Bathgate, Scotland</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244,644</w:t>
            </w:r>
          </w:p>
        </w:tc>
        <w:tc>
          <w:tcPr>
            <w:tcW w:w="320" w:type="dxa"/>
            <w:vAlign w:val="bottom"/>
          </w:tcPr>
          <w:p>
            <w:pPr>
              <w:spacing w:after="0"/>
              <w:rPr>
                <w:sz w:val="18"/>
                <w:szCs w:val="18"/>
                <w:color w:val="auto"/>
              </w:rPr>
            </w:pPr>
          </w:p>
        </w:tc>
      </w:tr>
      <w:tr>
        <w:trPr>
          <w:trHeight w:val="198"/>
        </w:trPr>
        <w:tc>
          <w:tcPr>
            <w:tcW w:w="38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0" w:type="dxa"/>
            <w:vAlign w:val="bottom"/>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Genesco Brands</w:t>
            </w:r>
          </w:p>
        </w:tc>
        <w:tc>
          <w:tcPr>
            <w:tcW w:w="23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Chapel Hill, TN</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182,000</w:t>
            </w:r>
          </w:p>
        </w:tc>
        <w:tc>
          <w:tcPr>
            <w:tcW w:w="320" w:type="dxa"/>
            <w:vAlign w:val="bottom"/>
            <w:shd w:val="clear" w:color="auto" w:fill="CFF0FC"/>
          </w:tcPr>
          <w:p>
            <w:pPr>
              <w:spacing w:after="0"/>
              <w:rPr>
                <w:sz w:val="20"/>
                <w:szCs w:val="20"/>
                <w:color w:val="auto"/>
              </w:rPr>
            </w:pPr>
          </w:p>
        </w:tc>
      </w:tr>
      <w:tr>
        <w:trPr>
          <w:trHeight w:val="198"/>
        </w:trPr>
        <w:tc>
          <w:tcPr>
            <w:tcW w:w="3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Johnston &amp; Murphy</w:t>
            </w:r>
          </w:p>
        </w:tc>
        <w:tc>
          <w:tcPr>
            <w:tcW w:w="2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Fayetteville, TN</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178,500</w:t>
            </w:r>
          </w:p>
        </w:tc>
        <w:tc>
          <w:tcPr>
            <w:tcW w:w="320" w:type="dxa"/>
            <w:vAlign w:val="bottom"/>
          </w:tcPr>
          <w:p>
            <w:pPr>
              <w:spacing w:after="0"/>
              <w:rPr>
                <w:sz w:val="20"/>
                <w:szCs w:val="20"/>
                <w:color w:val="auto"/>
              </w:rPr>
            </w:pPr>
          </w:p>
        </w:tc>
      </w:tr>
      <w:tr>
        <w:trPr>
          <w:trHeight w:val="198"/>
        </w:trPr>
        <w:tc>
          <w:tcPr>
            <w:tcW w:w="38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0" w:type="dxa"/>
            <w:vAlign w:val="bottom"/>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Johnston &amp; Murphy</w:t>
            </w:r>
          </w:p>
        </w:tc>
        <w:tc>
          <w:tcPr>
            <w:tcW w:w="23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Fayetteville, TN</w:t>
            </w:r>
          </w:p>
        </w:tc>
        <w:tc>
          <w:tcPr>
            <w:tcW w:w="136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91,580</w:t>
            </w:r>
          </w:p>
        </w:tc>
        <w:tc>
          <w:tcPr>
            <w:tcW w:w="320" w:type="dxa"/>
            <w:vAlign w:val="bottom"/>
            <w:shd w:val="clear" w:color="auto" w:fill="CFF0FC"/>
          </w:tcPr>
          <w:p>
            <w:pPr>
              <w:spacing w:after="0"/>
              <w:rPr>
                <w:sz w:val="20"/>
                <w:szCs w:val="20"/>
                <w:color w:val="auto"/>
              </w:rPr>
            </w:pPr>
          </w:p>
        </w:tc>
      </w:tr>
      <w:tr>
        <w:trPr>
          <w:trHeight w:val="198"/>
        </w:trPr>
        <w:tc>
          <w:tcPr>
            <w:tcW w:w="3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Deans Industrial Estate, Livingston, Scotland</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administrative offices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106,813</w:t>
            </w:r>
          </w:p>
        </w:tc>
        <w:tc>
          <w:tcPr>
            <w:tcW w:w="320" w:type="dxa"/>
            <w:vAlign w:val="bottom"/>
          </w:tcPr>
          <w:p>
            <w:pPr>
              <w:spacing w:after="0"/>
              <w:rPr>
                <w:sz w:val="20"/>
                <w:szCs w:val="20"/>
                <w:color w:val="auto"/>
              </w:rPr>
            </w:pPr>
          </w:p>
        </w:tc>
      </w:tr>
      <w:tr>
        <w:trPr>
          <w:trHeight w:val="198"/>
        </w:trPr>
        <w:tc>
          <w:tcPr>
            <w:tcW w:w="38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Northwest Business Park, Ballycoolin, Dublin</w:t>
            </w:r>
          </w:p>
        </w:tc>
        <w:tc>
          <w:tcPr>
            <w:tcW w:w="136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administrative offices</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49,460</w:t>
            </w:r>
          </w:p>
        </w:tc>
        <w:tc>
          <w:tcPr>
            <w:tcW w:w="320" w:type="dxa"/>
            <w:vAlign w:val="bottom"/>
            <w:shd w:val="clear" w:color="auto" w:fill="CFF0FC"/>
          </w:tcPr>
          <w:p>
            <w:pPr>
              <w:spacing w:after="0"/>
              <w:rPr>
                <w:sz w:val="20"/>
                <w:szCs w:val="20"/>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Nashville, TN</w:t>
            </w:r>
          </w:p>
        </w:tc>
        <w:tc>
          <w:tcPr>
            <w:tcW w:w="1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Various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Corporate headquarters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182,078</w:t>
            </w:r>
          </w:p>
        </w:tc>
        <w:tc>
          <w:tcPr>
            <w:tcW w:w="3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all leases of properties that are material to our operations may be renewed, or that alternative properties are available, on terms not materially less favorable to us than existing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information with respect to this item may be found in Note 15 to the Consolidated Financial Statements included in Item 8, "Financial Statements and Supplementary Data,"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is traded on the New York Stock Exchange under the symbol "GCO".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1,200 common shareholders of record on March 13, 2026.</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cash dividends to our holders of our Common Stock since 1973 and we do not currently anticipate paying cash dividends in the foreseeable future. Our ability to pay cash dividends to our holders of common stock is subject to various restrictions. See Note 10 to the Consolidated Financial Statements included in Item 8, "Financial Statements and Supplementary Data" for information regarding restrictions on dividends and redemption of capital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tbl>
      <w:tblPr>
        <w:tblLayout w:type="fixed"/>
        <w:tblInd w:w="0" w:type="dxa"/>
        <w:tblCellMar>
          <w:top w:w="0" w:type="dxa"/>
          <w:left w:w="0" w:type="dxa"/>
          <w:bottom w:w="0" w:type="dxa"/>
          <w:right w:w="0" w:type="dxa"/>
        </w:tblCellMar>
      </w:tblPr>
      <w:tr>
        <w:trPr>
          <w:trHeight w:val="198"/>
        </w:trPr>
        <w:tc>
          <w:tcPr>
            <w:tcW w:w="2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(c) Total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Number</w:t>
            </w:r>
          </w:p>
        </w:tc>
      </w:tr>
      <w:tr>
        <w:trPr>
          <w:trHeight w:val="216"/>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(or Approximate</w:t>
            </w:r>
          </w:p>
        </w:tc>
      </w:tr>
      <w:tr>
        <w:trPr>
          <w:trHeight w:val="216"/>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Dollar Value)</w:t>
            </w:r>
          </w:p>
        </w:tc>
      </w:tr>
      <w:tr>
        <w:trPr>
          <w:trHeight w:val="216"/>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Purchased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of Shares that</w:t>
            </w:r>
          </w:p>
        </w:tc>
      </w:tr>
      <w:tr>
        <w:trPr>
          <w:trHeight w:val="216"/>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as Part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May Yet Be</w:t>
            </w:r>
          </w:p>
        </w:tc>
      </w:tr>
      <w:tr>
        <w:trPr>
          <w:trHeight w:val="216"/>
        </w:trPr>
        <w:tc>
          <w:tcPr>
            <w:tcW w:w="2520" w:type="dxa"/>
            <w:vAlign w:val="bottom"/>
          </w:tcPr>
          <w:p>
            <w:pPr>
              <w:spacing w:after="0"/>
              <w:rPr>
                <w:sz w:val="18"/>
                <w:szCs w:val="18"/>
                <w:color w:val="auto"/>
              </w:rPr>
            </w:pPr>
          </w:p>
        </w:tc>
        <w:tc>
          <w:tcPr>
            <w:tcW w:w="16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(a) Total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(b) Average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of Publicly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2520" w:type="dxa"/>
            <w:vAlign w:val="bottom"/>
          </w:tcPr>
          <w:p>
            <w:pPr>
              <w:spacing w:after="0"/>
              <w:rPr>
                <w:sz w:val="18"/>
                <w:szCs w:val="18"/>
                <w:color w:val="auto"/>
              </w:rPr>
            </w:pPr>
          </w:p>
        </w:tc>
        <w:tc>
          <w:tcPr>
            <w:tcW w:w="16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Announced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Under the</w:t>
            </w:r>
          </w:p>
        </w:tc>
      </w:tr>
      <w:tr>
        <w:trPr>
          <w:trHeight w:val="196"/>
        </w:trPr>
        <w:tc>
          <w:tcPr>
            <w:tcW w:w="2520" w:type="dxa"/>
            <w:vAlign w:val="bottom"/>
          </w:tcPr>
          <w:p>
            <w:pPr>
              <w:spacing w:after="0"/>
              <w:rPr>
                <w:sz w:val="17"/>
                <w:szCs w:val="17"/>
                <w:color w:val="auto"/>
              </w:rPr>
            </w:pPr>
          </w:p>
        </w:tc>
        <w:tc>
          <w:tcPr>
            <w:tcW w:w="1660" w:type="dxa"/>
            <w:vAlign w:val="bottom"/>
          </w:tcPr>
          <w:p>
            <w:pPr>
              <w:jc w:val="center"/>
              <w:ind w:left="650"/>
              <w:spacing w:after="0" w:line="196" w:lineRule="exact"/>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Paid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310"/>
              <w:spacing w:after="0" w:line="196" w:lineRule="exact"/>
              <w:rPr>
                <w:sz w:val="20"/>
                <w:szCs w:val="20"/>
                <w:color w:val="auto"/>
              </w:rPr>
            </w:pPr>
            <w:r>
              <w:rPr>
                <w:rFonts w:ascii="Times New Roman" w:cs="Times New Roman" w:eastAsia="Times New Roman" w:hAnsi="Times New Roman"/>
                <w:sz w:val="18"/>
                <w:szCs w:val="18"/>
                <w:color w:val="auto"/>
                <w:w w:val="99"/>
              </w:rPr>
              <w:t>Plans or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rPr>
              <w:t>Plans or</w:t>
            </w:r>
          </w:p>
        </w:tc>
      </w:tr>
      <w:tr>
        <w:trPr>
          <w:trHeight w:val="254"/>
        </w:trPr>
        <w:tc>
          <w:tcPr>
            <w:tcW w:w="25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Period</w:t>
            </w:r>
          </w:p>
        </w:tc>
        <w:tc>
          <w:tcPr>
            <w:tcW w:w="16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Purchased</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per Share</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jc w:val="center"/>
              <w:ind w:left="330"/>
              <w:spacing w:after="0" w:line="255"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4"/>
                <w:szCs w:val="24"/>
                <w:color w:val="auto"/>
                <w:w w:val="95"/>
                <w:vertAlign w:val="superscript"/>
              </w:rPr>
              <w:t>(1)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Programs</w:t>
            </w:r>
          </w:p>
        </w:tc>
      </w:tr>
      <w:tr>
        <w:trPr>
          <w:trHeight w:val="209"/>
        </w:trPr>
        <w:tc>
          <w:tcPr>
            <w:tcW w:w="2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6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11-2-25 to 11-29-25</w:t>
            </w:r>
            <w:r>
              <w:rPr>
                <w:rFonts w:ascii="Times New Roman" w:cs="Times New Roman" w:eastAsia="Times New Roman" w:hAnsi="Times New Roman"/>
                <w:sz w:val="24"/>
                <w:szCs w:val="24"/>
                <w:color w:val="auto"/>
                <w:vertAlign w:val="superscript"/>
              </w:rPr>
              <w:t>(1)</w:t>
            </w:r>
          </w:p>
        </w:tc>
        <w:tc>
          <w:tcPr>
            <w:tcW w:w="1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11-30-25 to 12-27-25</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shd w:val="clear" w:color="auto" w:fill="CFF0FC"/>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12-28-25 to 1-31-26</w:t>
            </w:r>
            <w:r>
              <w:rPr>
                <w:rFonts w:ascii="Times New Roman" w:cs="Times New Roman" w:eastAsia="Times New Roman" w:hAnsi="Times New Roman"/>
                <w:sz w:val="24"/>
                <w:szCs w:val="24"/>
                <w:color w:val="auto"/>
                <w:vertAlign w:val="superscript"/>
              </w:rPr>
              <w:t>(1)</w:t>
            </w:r>
          </w:p>
        </w:tc>
        <w:tc>
          <w:tcPr>
            <w:tcW w:w="1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tcPr>
          <w:p>
            <w:pPr>
              <w:spacing w:after="0"/>
              <w:rPr>
                <w:sz w:val="18"/>
                <w:szCs w:val="18"/>
                <w:color w:val="auto"/>
              </w:rPr>
            </w:pPr>
          </w:p>
        </w:tc>
      </w:tr>
      <w:tr>
        <w:trPr>
          <w:trHeight w:val="216"/>
        </w:trPr>
        <w:tc>
          <w:tcPr>
            <w:tcW w:w="2520" w:type="dxa"/>
            <w:vAlign w:val="bottom"/>
            <w:tcBorders>
              <w:bottom w:val="single" w:sz="8" w:color="auto"/>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12-28-25 to 1-31-26</w:t>
            </w:r>
            <w:r>
              <w:rPr>
                <w:rFonts w:ascii="Times New Roman" w:cs="Times New Roman" w:eastAsia="Times New Roman" w:hAnsi="Times New Roman"/>
                <w:sz w:val="24"/>
                <w:szCs w:val="24"/>
                <w:color w:val="auto"/>
                <w:vertAlign w:val="superscript"/>
              </w:rPr>
              <w:t>(2)</w:t>
            </w:r>
          </w:p>
        </w:tc>
        <w:tc>
          <w:tcPr>
            <w:tcW w:w="16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31.57</w:t>
            </w:r>
          </w:p>
        </w:tc>
        <w:tc>
          <w:tcPr>
            <w:tcW w:w="1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Pr>
          <w:p>
            <w:pPr>
              <w:spacing w:after="0"/>
              <w:rPr>
                <w:sz w:val="24"/>
                <w:szCs w:val="24"/>
                <w:color w:val="auto"/>
              </w:rPr>
            </w:pP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31.57</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tcPr>
          <w:p>
            <w:pPr>
              <w:spacing w:after="0"/>
              <w:rPr>
                <w:sz w:val="24"/>
                <w:szCs w:val="24"/>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-290830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-290830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-290830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120" w:firstLine="8"/>
        <w:spacing w:after="0" w:line="266" w:lineRule="auto"/>
        <w:tabs>
          <w:tab w:leader="none" w:pos="169"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February 2022, a $100.0 million share repurchase program was approved by the Board of Directors and announced in February 2022, and in June 2023, the Board of Directors approved an additional $50.0 million for share repurchases. We expect to implement the balance of the repurchase program through purchases made from time to time either in the open market or through private transactions, in accordance with the regulations of the SEC and other applicable legal requirements. The timing and amount of any shares repurchased under the program will depend on a variety of factors, including price, corporate and regulatory requirements, capital availability, and other market conditions. The repurchase program may be limited, temporarily paused, or terminated by our Board of Directors at any time without prior notice.</w:t>
      </w:r>
    </w:p>
    <w:p>
      <w:pPr>
        <w:ind w:left="180" w:hanging="172"/>
        <w:spacing w:after="0" w:line="192"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shares represent shares withheld from vested restricted stock to satisfy the minimum withholding requirements for federal and state taxes.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 to Part III, Item 12, "Security Ownership of Certain Beneficial Owners and Management and Related Stockholder Matters" included elsewhere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the fiscal year ended February 1, 2025, filed with the SEC on March 26, 2025, which provides a discussion of our financial condition and results of operations for Fiscal 2025 compared to our Fiscal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Results of Operations</w:t>
      </w:r>
    </w:p>
    <w:p>
      <w:pPr>
        <w:spacing w:after="0" w:line="11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4.8% to $2.4 billion in Fiscal 2026 compared to Fiscal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Journeys Group sales increased 7% and Schuh Group sales increased 4%, partially offset by a sales decrease of 4% at Genesco Brands Group, while Johnston &amp; Murphy Group sales were flat for Fiscal 2026 as compared to Fiscal 2025.</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comparable sales increased 6% for Fiscal 2026, including a 6% increase in same store sales and a 4% increase in comparable e-commerce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90 basis points as a percentage of net sales from 47.2% in Fiscal 2025 to 46.3% in Fiscal 2026.</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administrative expenses decreased 120 basis points as a percentage of net sales from 46.4% in Fiscal 2025 to 45.2% in Fiscal 2026.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10 basis points as a percentage of net sales from 0.6% in Fiscal 2025 to 0.7% in Fiscal 2026.</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income tax rate decreased from 309.6% in Fiscal 2025 to (5.4)% in Fiscal 2026 as a result of the impact of the One Big Beautiful Bill Act ("OBBBA") in Fiscal 2026 and a $26.2 million valuation allowance in Fiscal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was $1.25 per share in Fiscal 2026 compared to a diluted loss per share from continuing operations of $1.80 per share in Fiscal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and operating margin. </w:t>
      </w:r>
      <w:r>
        <w:rPr>
          <w:rFonts w:ascii="Times New Roman" w:cs="Times New Roman" w:eastAsia="Times New Roman" w:hAnsi="Times New Roman"/>
          <w:sz w:val="18"/>
          <w:szCs w:val="18"/>
          <w:color w:val="2E2E2E"/>
        </w:rPr>
        <w:t>These key performance indicators should not be considered superior to, as a substitute for or as an alternative to, and should be considered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conjunction with, the U.S. GAAP financial measures presented herein. These measures may not be comparable to similarly-titled performance indicators used by other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working capital and cash. We define "comparable sales" as sales from stores open longer than one year, beginning with the first day a store has comparable sales (which we refer to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as "same store sales"), and sales from websites operated longer than one year and direct mail catalog sales (which we refer to in this report as "comparable e-commerce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2026 Compared to Fiscal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sales for Fiscal 2026 increased 4.8% to $2.4 billion compared to $2.3 billion in Fiscal 2025. The net sales increase for Fiscal 2026 reflected a 6% increase in comparable sales, including a 6% increase in same store sales and a 4% increase in e-commerce comparable sales, and a favorable foreign exchange impact, partially offset by 42 net store closings and decreased wholesale sales. The consumer environment remains selective and intentional. Consumers tend to engage during key shopping moments and reduce discretionary spending outside of key shopping moments. Journeys Group had a strong year with comparable sales up 9%, fueled by strength in product assortment and other initiatives. Schuh Group comparable sales were flat for the year, reflecting the challenging retail environment in the U.K. Johnston &amp; Murphy Group comparable sales were flat for the year reflecting lower store sales. Journeys Group sales increased 7% and Schuh Group sales increased 4%, partially offset by a sales decrease of 4% at Genesco Brands Group, reflecting the wind-down of Levis and other licenses, while Johnston &amp; Murphy Group sales were flat for Fiscal 2026 compared to Fiscal 2025. Schuh Group's sales were flat on a local currency basis for Fiscal 2026.</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 increased 2.7% to $1.127 billion in Fiscal 2026 from $1.097 billion in Fiscal 2025. Gross margin decreased 90 basis points as a percentage of net sales from 47.2% in Fiscal 2025 to 46.3% in Fiscal 2026, reflecting decreased gross margin as a percentage of net sales in Schuh Group and Genesco Brands Group, while gross margin as a percentage of net sales was flat in both Journeys Group and Johnston &amp; Murphy Group. The overall decrease in gross margin as a percentage of net sales reflects increased promotional activity at Schuh Group and lower margins at Genesco Brands Group related to the exit of licenses and ongoing tariff pressure.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administrative expenses in Fiscal 2026 increased 2.0% to $1.101 billion compared to $1.080 billion in Fiscal 2025. Selling and administrative expenses decreased 120 basis points as a percentage of net sales from 46.4% in Fiscal 2025 to 45.2% in Fiscal 2026, reflecting decreased expenses as a percentage of net sales at Journeys Group and Genesco Brands Group, partially offset by increased expenses as a percentage of net sales at Schuh Group and Johnston &amp; Murphy Group. The overall decrease in expenses as a percentage of net sales in Fiscal 2026 reflects a decrease in occupancy costs and selling salaries along with other expenses as part of our cost savings initiatives. Explanations of the changes in results of operations are provided by business segment in discussions following these introductory paragraphs.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was 0.7% in Fiscal 2026 compared to 0.6% in Fiscal 2025 reflecting improved operating margin at Journeys Group, partially offset by decreased operating margin at Schuh Group, Johnston &amp; Murphy Group and Genesco Brands Group. The overall improvement in operating margin in Fiscal 2026 primarily reflects decreased selling and administrative expenses as a percentage of net sales, partially offset by decreased gross margin as a percentage of net sales and higher asset impairment and other charges in Fiscal 2026 compared to Fiscal 2025.</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from continuing operations before income taxes (“pretax earnings") for Fiscal 2026 were $12.6 million, compared to $9.3 million for Fiscal 2025. Pretax earnings for Fiscal 2026 included asset impairment and other charges of $8.1 million which included $3.9 million for store restructuring, $2.9 million for costs associated with information technology transformation, $0.7 million for asset impairments and $0.6 million for severance. Pretax earnings for Fiscal 2025 included asset impairment and other charges of $3.2 million which included $1.8 million for severance and $1.4 million for asset impairments.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(5.4)% for Fiscal 2026 compared to 309.6% for Fiscal 2025. The lower effective tax rate for Fiscal 2026 compared to Fiscal 2025 reflects the impact of the enactment of income tax law changes under the OBBBA in Fiscal 2026 and their interaction with our valuation allowance in the U.S. jurisdiction coupled with a tax benefit associated with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losses generated in our U.K. tax jurisdiction. Conversely, the higher effective tax rate for Fiscal 2025 reflects a $26.2 million U.S. valuation allowance recorded in Fiscal 2025, reflecting the uncertainty regarding our ability to realize the benefit of our general tax attributes in the U.S. See Item 8, Note 11, "Income Taxes", to our Consolidated Financial Statements included in this Annual Report on Form 10-K for additional information.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earnings for Fiscal 2026 were $13.3 million, or $1.25 diluted earnings per share compared to a net loss of $18.9 million, or $1.74 diluted loss per share for Fiscal 2025. The net loss for Fiscal 2025 includes a $1.2 million ($0.9 million, net of tax) gain from insurance proceeds related to legacy environmental matters.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Journeys Group</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4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920" w:type="dxa"/>
            <w:vAlign w:val="bottom"/>
            <w:tcBorders>
              <w:bottom w:val="single" w:sz="8" w:color="auto"/>
            </w:tcBorders>
          </w:tcPr>
          <w:p>
            <w:pPr>
              <w:spacing w:after="0"/>
              <w:rPr>
                <w:sz w:val="24"/>
                <w:szCs w:val="24"/>
                <w:color w:val="auto"/>
              </w:rPr>
            </w:pPr>
          </w:p>
        </w:tc>
        <w:tc>
          <w:tcPr>
            <w:tcW w:w="1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4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1,494,649</w:t>
            </w:r>
          </w:p>
        </w:tc>
        <w:tc>
          <w:tcPr>
            <w:tcW w:w="64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1,398,922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764,615</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715,723</w:t>
            </w:r>
          </w:p>
        </w:tc>
        <w:tc>
          <w:tcPr>
            <w:tcW w:w="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730,034</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683,199</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48.8%</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48.8%</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669,544</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656,854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44.8%</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47.0%</w:t>
            </w:r>
          </w:p>
        </w:tc>
        <w:tc>
          <w:tcPr>
            <w:tcW w:w="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60,490</w:t>
            </w:r>
          </w:p>
        </w:tc>
        <w:tc>
          <w:tcPr>
            <w:tcW w:w="64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26,345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38"/>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4.0%</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from Journeys Group increased 6.8% to $1.49 billion for Fiscal 2026 compared to $1.40 billion for Fiscal 2025. The increase in net sales was primarily due to a total comparable sales increase of 9% primarily reflecting increased store sales, partially offset by a 5% decrease in the average number of Journeys stores for Fiscal 2026 due to 41 net store closures. The increase in comparable sales in Fiscal 2026 was fueled by strength in Journeys Group's product assortment with brands across both casual and athletic posting gains. Journeys Group drove strong gains in conversion and transaction size. We continue to elevate the product assortment and invest in the Journeys brand to improve the customer experience.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store count for Journeys Group was 965 stores at the end of Fiscal 2026, including 194 Journeys Kidz stores, 33 Journeys stores in Canada and 30 Little Burgundy stores in Canada, compared to 1,006 stores at the end of Fiscal 2025, including 211 Journeys Kidz stores, 35 Journeys stores in Canada and 30 Little Burgundy stores in Canada.</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210 basis point improvement in operating margin for Journeys Group in Fiscal 2026 compared to Fiscal 2025 was primarily due to decreased selling and administrative expenses as a percentage of net sales reflecting leverage of expense as a result of increased revenue in Fiscal 2026, especially occupancy expense and selling salaries, and also reflecting our cost savings initiatives. The decrease in selling and administrative expense as a percentage of net sales demonstrates the impact of our cost savings initiatives and closing underperforming stores. Gross margin as a percentage of net sales was flat in Fiscal 2026 as changes in product mix were offset by lower markdowns and decreased shipping and warehouse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Schuh Group</w:t>
            </w: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4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500,022</w:t>
            </w:r>
          </w:p>
        </w:tc>
        <w:tc>
          <w:tcPr>
            <w:tcW w:w="7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479,891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304,544</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280,395</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195,478</w:t>
            </w:r>
          </w:p>
        </w:tc>
        <w:tc>
          <w:tcPr>
            <w:tcW w:w="7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199,496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39.1%</w:t>
            </w: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41.6%</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200,023</w:t>
            </w:r>
          </w:p>
        </w:tc>
        <w:tc>
          <w:tcPr>
            <w:tcW w:w="7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189,297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40.0%</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39.4%</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(4,545)</w:t>
            </w:r>
          </w:p>
        </w:tc>
        <w:tc>
          <w:tcPr>
            <w:tcW w:w="7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38"/>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(0.9)%</w:t>
            </w: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from Schuh Group increased 4.2% to $500.0 million for Fiscal 2026 compared to $479.9 million for Fiscal 2025. Net sales in Fiscal 2026 included a favorable impact of $21.2 million in sales due to changes in foreign exchange rates and an increase in e-commerce comparable sales, partially offset by decreased stores sales. Total comparable sales were flat for Schuh Group in Fiscal 2026. Schuh Group's sales were flat on a local currency basis for Fiscal 2026. Schuh Group performance was impacted by the ongoing challenging U.K. retail environment in Fiscal 2026. The e-commerce business remains a key channel for consumer engagement, accounting for over 45% of its sales in Fiscal 2026. Schuh Group operated 118 stores at the end of Fiscal 2026 compared to 124 stores at the end of Fiscal 2025.</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300 basis point decrease in operating margin for Fiscal 2026 compared to Fiscal 2025 reflects decreased gross margin as a percentage of net sales reflecting increased promotional activity, including increased loyalty redemptions and promotions to match the competitive environment, partially offset by decreased shipping and warehouse expenses. In addition, selling and administrative expenses increased as a percentage of net sales, reflecting deleverage of expenses, especially marketing expense and selling salaries, partially offset by decreased compensation expense.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tc>
        <w:tc>
          <w:tcPr>
            <w:tcW w:w="1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20" w:type="dxa"/>
            <w:vAlign w:val="bottom"/>
            <w:tcBorders>
              <w:bottom w:val="single" w:sz="8" w:color="auto"/>
            </w:tcBorders>
          </w:tcPr>
          <w:p>
            <w:pPr>
              <w:spacing w:after="0"/>
              <w:rPr>
                <w:sz w:val="24"/>
                <w:szCs w:val="24"/>
                <w:color w:val="auto"/>
              </w:rPr>
            </w:pP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4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320,199</w:t>
            </w:r>
          </w:p>
        </w:tc>
        <w:tc>
          <w:tcPr>
            <w:tcW w:w="7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320,208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148,727</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148,461</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171,472</w:t>
            </w: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171,747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53.6%</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53.6%</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166,884</w:t>
            </w: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163,331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52.1%</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51.0%</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4,588</w:t>
            </w:r>
          </w:p>
        </w:tc>
        <w:tc>
          <w:tcPr>
            <w:tcW w:w="7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8,416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8"/>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1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w:t>
            </w: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Johnston &amp; Murphy Group net sales were flat at $320.2 million for Fiscal 2026 and Fiscal 2025. Total comparable sales were flat in Fiscal 2026 and the average number of Johnston &amp; Murphy stores decreased 1% for Fiscal 2026 which was offset by a small increase in wholesale sales. Retail operations accounted for 77.9% of Johnston &amp; Murphy Group's sales in Fiscal 2026, down from 78.3% in Fiscal 2025. The store count for Johnston &amp; Murphy retail operations at the end of Fiscal 2026 was 153 Johnston &amp; Murphy shops and factory stores, compared to 148 Johnston &amp; Murphy shops and factory stores at the end of Fiscal 2025.</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120 basis point decrease in operating margin for Johnston &amp; Murphy Group for Fiscal 2026 compared to Fiscal 2025 reflects increased selling and administrative expenses as a percentage of net sales for Fiscal 2026, reflecting increased depreciation,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occupancy and compensation expenses, partially offset by decreased marketing expense. Gross margin as a percentage of net sales was flat in Fiscal 2026 compared to Fiscal 2025 as better initial margins at retail were offset by lower wholesale margins due primarily to tariff impacts.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4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121,226</w:t>
            </w:r>
          </w:p>
        </w:tc>
        <w:tc>
          <w:tcPr>
            <w:tcW w:w="7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126,041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91,360</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83,670</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29,866</w:t>
            </w:r>
          </w:p>
        </w:tc>
        <w:tc>
          <w:tcPr>
            <w:tcW w:w="7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42,371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24.6%</w:t>
            </w: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33.6%</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29,932</w:t>
            </w:r>
          </w:p>
        </w:tc>
        <w:tc>
          <w:tcPr>
            <w:tcW w:w="7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35,565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sales</w:t>
            </w: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24.7%</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28.2%</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(66)</w:t>
            </w:r>
          </w:p>
        </w:tc>
        <w:tc>
          <w:tcPr>
            <w:tcW w:w="7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38"/>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(0.1)%</w:t>
            </w: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for Genesco Brands Group decreased 3.8% to $121.2 million for Fiscal 2026 from $126.0 million for Fiscal 2025, primarily due to decreased sales of Levi's as we exit that business, partially offset by increased sales of private label footwear.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550 basis point decrease in operating margin for Genesco Brands Group in Fiscal 2026 was primarily due to decreased gross margin as a percentage of net sales due to the impact of tariffs and higher closeout sales related to the exit of Levi's and other licenses as well as an unfavorable change in sales mix. Gross margin included an inventory write-down related to the exit of licenses in Fiscal 2026 and a charge for a distribution model transition in Fiscal 2025. The decrease in gross margin was partially offset by decreased selling and administrative expenses as a percentage of net sales in Fiscal 2026 primarily reflecting decreased performance-based compensation, freight and other expenses, partially offset by increased royalty expense, due to a reversal of royalty expense last year resulting from an amendment to the Levi's license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Interest Expenses and Other Charges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and other expense for Fiscal 2026 increased 14% to $43.2 million compared to $37.8 million for Fiscal 2025. Corporate and other expense in Fiscal 2026 included an $8.1 million charge in asset impairments and other which included $3.9 million for store restructuring, $2.9 million for costs associated with information technology transformation, $0.7 million for asset impairments and $0.6 million for severance. Corporate and other expense in Fiscal 2025 included a $3.2 million charge in asset impairment and other charges which included $1.8 million for severance and $1.4 million for asset impairments. The corporate expense increase, excluding asset impairment and other charges in Fiscal 2026 and Fiscal 2025, primarily reflects an increase in compensation expense, partially offset by a decrease in professional fees in Fiscal 2026 compared to Fiscal 2025.</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decreased 3.6% or $0.2 million to $4.1 million in Fiscal 2026 from $4.3 million in Fiscal 2025 primarily reflecting decreased revolver borrowings in the U.S. in Fiscal 2026 compared to Fiscal 2025, partially offset by increased revolver borrowings in the U.K. in Fiscal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flow changes:</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20" w:type="dxa"/>
            <w:vAlign w:val="bottom"/>
          </w:tcPr>
          <w:p>
            <w:pPr>
              <w:spacing w:after="0"/>
              <w:rPr>
                <w:sz w:val="16"/>
                <w:szCs w:val="16"/>
                <w:color w:val="auto"/>
              </w:rPr>
            </w:pPr>
          </w:p>
        </w:tc>
        <w:tc>
          <w:tcPr>
            <w:tcW w:w="14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February 1, 2025</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145,760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87,886</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57,874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(62,054)</w:t>
            </w: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(41,131)</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(13,317)</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(47,003)</w:t>
            </w: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33,686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1,009</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71,398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72,546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 for the major variances in cash provided by (used in) the table above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$57.9 million higher in Fiscal 2026 compared to Fiscal 2025, reflecting primarily the following factors:</w:t>
      </w:r>
    </w:p>
    <w:p>
      <w:pPr>
        <w:spacing w:after="0" w:line="185" w:lineRule="exact"/>
        <w:rPr>
          <w:sz w:val="20"/>
          <w:szCs w:val="20"/>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$123.5 million increase in cash flow from changes in prepaids and other current assets, partially offset by a $56.1 million decrease in cash flow from changes in other assets and liabilities, primarily reflecting the receipt of a $59.3 million income tax refund;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$47.9 million increase in cash flow from changes in inventory, reflecting a $1.2 million increase in inventory in Fiscal 2026 versus Fiscal 2025 compared to a $49.1 million increase in inventory in Fiscal 2025 versus Fiscal 2024; partially offset by</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$67.5 million decrease in cash flow from changes in accounts payable, primarily reflecting changes in timing of rent payments and changes in buying and receipt patterns in Fiscal 2026.</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$20.9 million higher in Fiscal 2026 compared to Fiscal 2025 reflecting increased capital expenditures primarily related to investments in retail stores, primarily renovations.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$33.7 million lower in Fiscal 2026 as compared to Fiscal 2025 primarily reflecting higher net payments in Fiscal 2025 compared to Fiscal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 and Future Capital Needs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principal sources of liquidity: cash flow from operations, cash on hand and our credit facilities discussed in Item 8, Note 8, "Long-Term Debt", to our Consolidated Financial Statements included in this Annual Report on Form 10-K.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January 16, 2026, we entered into the Fourth Amendment (the "Fourth Amendment") </w:t>
      </w:r>
      <w:r>
        <w:rPr>
          <w:rFonts w:ascii="Times New Roman" w:cs="Times New Roman" w:eastAsia="Times New Roman" w:hAnsi="Times New Roman"/>
          <w:sz w:val="18"/>
          <w:szCs w:val="18"/>
          <w:color w:val="222222"/>
        </w:rPr>
        <w:t>to the Fourth Amended and Restated Credit Agreement dated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of January 31, 2018 (as amended, the "Credit Facility" or the "Credit Agreement") by and among us, certain of our subsidiaries, the lenders party thereto and Bank of America, N.A. as agent, to, </w:t>
      </w:r>
      <w:r>
        <w:rPr>
          <w:rFonts w:ascii="Times New Roman" w:cs="Times New Roman" w:eastAsia="Times New Roman" w:hAnsi="Times New Roman"/>
          <w:sz w:val="18"/>
          <w:szCs w:val="18"/>
          <w:color w:val="000000"/>
        </w:rPr>
        <w:t>among other things, extend the maturity date to January 16, 2031. In addition, the Fourth Amendment (i) makes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conforming changes to replace the Canadian Dollar Offered Rate with the Canadian Overnight Repo Rate Average ("CORRA") with respect to Canadian borrowings and (ii) removes the credit spread adjustment and thereby reduces the Term SOFR (as defined in the Credit Agreement) interest rate with respect to domestic borrowings. The Total Commitments (as defined in the Credit Agreement) for the revolving loans remains at $332.5 million. As of January 31, 2026, we had outstanding revolver borrowings under the Credit Facility of $3.4 million (CAD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$4.6 million) related to GCO Canada ULC. We had outstanding letters of credit of $6.2 million under the Credit Facility at January 31, 2026. These letters of credit support insurance and lease indemnifications.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 2022, Schuh entered into a facility agreement (the "Facility Agreement") with Lloyds Bank PLC (“Lloyds”) for a £19.0 million revolving credit facility. The Facility Agreement was extended through February 28, 2026 and bears interest at 2.35% over the SONIA Rate. The Facility Agreement was amended during the first quarter of Fiscal 2027 on February 20, 2026 to, among other things, increase the commitment of the credit facility to £20.0 million, extend the maturity date to August 20, 2027, and it will bear interest at 1.75% over the SONIA Rate. This Facility Agreement replaced Schuh's Facility Letter.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 As of January 31, 2026, we did not have any borrowings under the Schuh Facility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and Facility Agreement as of January 31, 2026.</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cash on hand, cash provided by operations and borrowings under our amended Credit Facility and the Schuh Facility Agreement will be sufficient to support our liquidity needs in Fiscal 2027 and the foreseeable future.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Fiscal 2021, we implemented tax strategies allowed under the 5-year carryback provisions in the CARES Act which we believed would generate approximately $55 million of net tax refunds. We received approximately $26 million of such net tax refunds in Fiscal 2022 and anticipated receipt of the remaining outstanding net tax refund in Fiscal 2023. However, in the third quarter of Fiscal 2023, we were notified that the IRS would conduct an audit of the periods related to the outstanding net tax refund. As a result, the timing of the net tax refund was extended due to the audit process. On January 17, 2025, we executed Form 870 with the IRS exam team and began the process of completing the separate Joint Committee on Taxation ("JCT") review of our outstanding U.S. Federal tax refund claim for the Fiscal 2014 to Fiscal 2021 tax periods. During the first quarter of Fiscal 2026, the JCT finalized their review with no changes to the claim and the IRS began the process of issuing the refund. The balance outstanding increased as a result of additional accrued interest. We received a total refund of $60.1 million, including interest, in Fiscal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aggregate contractual obligations as of January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2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Long-Term</w:t>
            </w: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3,379</w:t>
            </w:r>
          </w:p>
        </w:tc>
        <w:tc>
          <w:tcPr>
            <w:tcW w:w="5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3,379</w:t>
            </w: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26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628,018</w:t>
            </w:r>
          </w:p>
        </w:tc>
        <w:tc>
          <w:tcPr>
            <w:tcW w:w="5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146,527</w:t>
            </w:r>
          </w:p>
        </w:tc>
        <w:tc>
          <w:tcPr>
            <w:tcW w:w="4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481,491</w:t>
            </w:r>
          </w:p>
        </w:tc>
      </w:tr>
      <w:tr>
        <w:trPr>
          <w:trHeight w:val="216"/>
        </w:trPr>
        <w:tc>
          <w:tcPr>
            <w:tcW w:w="4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434</w:t>
            </w: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r>
      <w:tr>
        <w:trPr>
          <w:trHeight w:val="20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631,831</w:t>
            </w:r>
          </w:p>
        </w:tc>
        <w:tc>
          <w:tcPr>
            <w:tcW w:w="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146,667</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485,164</w:t>
            </w:r>
          </w:p>
        </w:tc>
      </w:tr>
    </w:tbl>
    <w:p>
      <w:pPr>
        <w:spacing w:after="0" w:line="133"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lease obligations excludes $55.8 million for leases signed but not yet commenced.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issue inventory purchase orders in the ordinary course of business, which represent authorizations to purchase that are cancelable by their terms. We do not consider purchase orders to be firm inventory commitments. If we choose to cancel a purchase order, we may be obligated to reimburse the vendor for unrecoverable outlays incurred prior to cancellation.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were $62.1 million and $41.1 million for Fiscal 2026 and 2025, respectively. The $21.0 million increase in Fiscal 2026 capital expenditures as compared to Fiscal 2025 is primarily due to increased store renovations and new stores.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total capital expenditures for Fiscal 2027 to be approximately $65-$70 million of which approximately 90% is for new stores and renovations and 10% is for other initiatives. We do not currently have any longer-term capital expenditures or other cash requirements other than as set forth in the contractual obligations table. We also do not currently have any off-balance sheet arrangements.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repurchased 604,531 shares during Fiscal 2026 at a cost of $12.6 million or an average of $20.79 per share. We were operating under a $100.0 million repurchase authorization from February 2022. In June 2023, we announced an additional $50.0 million share repurchase authorization. As of January 31, 2026, we have $29.8 million remaining under the expanded share repurchase authorization. We repurchased 399,633 shares during Fiscal 2025 at a cost of $9.8 million or an average of $24.49 per share. We repurchased 1,261,295 shares during Fiscal 2024 at a cost of $32.0 million or an average of $25.39 per share. During the first quarter of Fiscal 2027, through March 25, 2026, we did not repurchase any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Contingencies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certain loss contingencies related to environmental proceedings and other legal matters, including those disclosed in Item 8, Note 15, "Legal Proceedings", to our Consolidated Financial Statements included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discusses our exposure to financial market risk.</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Debt – We have outstanding revolver borrowings of $3.4 million (CAD $4.6 million) related to GCO Canada ULC, at an average interest rate of 4.7% as of January 31, 2026. A 100 point basis point increase in interest rates would increase annual interest less than $0.1 million on the $3.4 million revolver borrowings.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 Our cash and cash equivalent balances are held in our bank accounts and are invested primarily in institutional money market funds. We did not have significant exposure to changing interest rates on invested cash at January 31, 2026. As a result, we consider the interest rate risk implicit in these investments at January 31, 2026 to be low. We had cash equivalents of $71.8 million at January 31, 2026.</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Summary – Based on our overall market interest rate exposure at January 31, 2026, we believe that the effect, if any, of reasonably possible near-term changes in interest rates on our consolidated financial position, results of operations or cash flows for Fiscal 2027 would not be material.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 Our accounts receivable balance at January 31, 2026 is concentrated in our wholesale businesses, which sell primarily to department stores and independent retailers across the United States. In the wholesale businesses, one customer accounted for 22%, one customer accounted for 13% and two customers each accounted for 10% of our total trade receivables balance, while no other customer accounted for more than 8% of our total trade receivables balance as of January 31, 2026.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for Fiscal 2026 were positively impacted by $21.2 million and the operating loss for Fiscal 2026 was negatively impacted by $0.2 million due to the change in foreign exchange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Principles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Descriptions of recently issued accounting pronouncements, if any, and the accounting pronouncements adopted by us during Fiscal 2026 are included in Note 2, "New Accounting Pronouncements", to the Consolidated Financial Statements included in Item 8, "Financial Statements and Supplementary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about the recoverability of the inventory and its market value,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We analyze markdown requirements at the stock number level based on factors such as inventory turn, average selling price and inventory age and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as well as expectations surrounding future sales. Failure to make appropriate conclusions regarding these factors may result in an overstatement or understatement of inventory value. A change of 10% from the recorded amounts for markdowns, shrinkage and damaged goods would have changed inventory by $0.9 million at January 31,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recoverability of our long-lived assets, other than goodwill, and evaluate such assets for impairment whenever events or changes in circumstances indicate that the carrying amount of an asset may not be recoverable. Asset impairment is determined to exist if an asset's fair value is less than the carrying amount. Fair value of our long-lived assets is determined by estimated future cash flows, undiscounted and without interest charges, and comparable market rents. Inherent in the analysis of impairment are subjective judgments about future cash flows. Failure to make appropriate conclusions regarding these judgments may result in an overstatement or understatement of the value of long-lived assets.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annually assess our goodwill and indefinite lived trademarks for impairment and on an interim basis if indicators of impairment are present. Our annual assessment date of goodwill and indefinite lived trade names is the first day of the fourth quarter.</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ASC ("Accounting Standards Codification") 350, "Intangibles - Goodwill and Other"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 Item 8, Note 3, "Goodwill and Other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and Note 4,"Asset Impairments and Other Charges" to our Consolidated Financial Statements included in this Annual Report on Form 10-K.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quantitative impairment test for indefinite lived trademarks compares the fair value of the trademark with the carrying value of the related trademark. If the fair value of the trademark is less than the carrying value of the trademark, an impairment charge would be recorded for the amount, if any, in which the carrying value exceeds the trademark’s fair value. We estimate fair value using the best information available, and compute the fair value using an income approach that estimates the savings that the trademark owner would realize from owning that asset instead of having to pay rent or a royalty for the use of it. Key assumptions in our fair value estimate are the selected royalty rate and discount rate. Other significant estimates and assumptions include terminal value growth rates and future profitability expectations.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Accounting Standards Update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it is more likely than not that some portion or all of a deferred asset will not be realized,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negative evidence that may exist at such time. In the event the deferred tax valuation allowance is released, we would record an income tax benefit for a portion or all of the deferred tax valuation allowance released. At January 31, 2026, we had a deferred tax valuation allowance of $71.2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 reserves for uncertain tax positions are determined using the methodology required by the ASC Income Tax Topic, ("ASC 740"). This methodology requires companies to assess each income tax position taken using a two-step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11, "Income Taxes", to our Consolidated Financial Statements included in this Annual Report on Form 10-K for additional information related to income taxes.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regarding market risk appearing under the heading “Financial Market Risk” in Item 7, "Management’s Discussion and Analysis of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97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i w:val="1"/>
                <w:i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740" w:type="dxa"/>
            <w:vAlign w:val="bottom"/>
            <w:gridSpan w:val="8"/>
            <w:vMerge w:val="continue"/>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the Financial Statements (PCAOB IDs: 34 and 42)</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January 31, 2026 and February 1, 2025</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each of the three fiscal years ended 2026, 2025 and 2024</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 each of the three fiscal years ended 2026, 2025 and 2024</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each of the three fiscal years ended 2026, 2025 and 2024</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Equity, each of the three fiscal years ended 2026, 2025 and 2024</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668"/>
        </w:trPr>
        <w:tc>
          <w:tcPr>
            <w:tcW w:w="8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5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Genesco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Genesco Inc. and Subsidiaries’ (the "Company") as of January 31, 2026,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January 31, 2026, based on criteria established in Internal Control - Integrated Framework (2013)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31, 2026, of the Company and our report dated March 25,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Genesco Inc. and subsidiaries (the "Company") </w:t>
      </w:r>
      <w:r>
        <w:rPr>
          <w:rFonts w:ascii="Times New Roman" w:cs="Times New Roman" w:eastAsia="Times New Roman" w:hAnsi="Times New Roman"/>
          <w:sz w:val="18"/>
          <w:szCs w:val="18"/>
          <w:color w:val="333333"/>
        </w:rPr>
        <w:t>as of January 31, 2026, the related</w:t>
      </w:r>
      <w:r>
        <w:rPr>
          <w:rFonts w:ascii="Times New Roman" w:cs="Times New Roman" w:eastAsia="Times New Roman" w:hAnsi="Times New Roman"/>
          <w:sz w:val="18"/>
          <w:szCs w:val="18"/>
          <w:color w:val="auto"/>
        </w:rPr>
        <w:t xml:space="preserve"> consolidated </w:t>
      </w:r>
      <w:r>
        <w:rPr>
          <w:rFonts w:ascii="Times New Roman" w:cs="Times New Roman" w:eastAsia="Times New Roman" w:hAnsi="Times New Roman"/>
          <w:sz w:val="18"/>
          <w:szCs w:val="18"/>
          <w:color w:val="333333"/>
        </w:rPr>
        <w:t>statements of operations, comprehensive income (loss), cash flows, and equity for the year ended</w:t>
      </w:r>
      <w:r>
        <w:rPr>
          <w:rFonts w:ascii="Times New Roman" w:cs="Times New Roman" w:eastAsia="Times New Roman" w:hAnsi="Times New Roman"/>
          <w:sz w:val="18"/>
          <w:szCs w:val="18"/>
          <w:color w:val="auto"/>
        </w:rPr>
        <w:t xml:space="preserve"> January 31, 2026</w:t>
      </w:r>
      <w:r>
        <w:rPr>
          <w:rFonts w:ascii="Times New Roman" w:cs="Times New Roman" w:eastAsia="Times New Roman" w:hAnsi="Times New Roman"/>
          <w:sz w:val="18"/>
          <w:szCs w:val="18"/>
          <w:color w:val="333333"/>
        </w:rPr>
        <w:t>, and the related notes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the financial statement schedule 2 - Valuation and Qualifying Accounts (collectively referred to as the "financial statements"). In our opinion, the financial statements present fairly, in all material respects, the financial position of the Company as of </w:t>
      </w:r>
      <w:r>
        <w:rPr>
          <w:rFonts w:ascii="Times New Roman" w:cs="Times New Roman" w:eastAsia="Times New Roman" w:hAnsi="Times New Roman"/>
          <w:sz w:val="18"/>
          <w:szCs w:val="18"/>
          <w:color w:val="000000"/>
        </w:rPr>
        <w:t>January 31, 2026</w:t>
      </w:r>
      <w:r>
        <w:rPr>
          <w:rFonts w:ascii="Times New Roman" w:cs="Times New Roman" w:eastAsia="Times New Roman" w:hAnsi="Times New Roman"/>
          <w:sz w:val="18"/>
          <w:szCs w:val="18"/>
          <w:color w:val="333333"/>
        </w:rPr>
        <w:t xml:space="preserve">, and the results of its operations and its cash flows for the year ended </w:t>
      </w:r>
      <w:r>
        <w:rPr>
          <w:rFonts w:ascii="Times New Roman" w:cs="Times New Roman" w:eastAsia="Times New Roman" w:hAnsi="Times New Roman"/>
          <w:sz w:val="18"/>
          <w:szCs w:val="18"/>
          <w:color w:val="000000"/>
        </w:rPr>
        <w:t>January 31, 2026</w:t>
      </w:r>
      <w:r>
        <w:rPr>
          <w:rFonts w:ascii="Times New Roman" w:cs="Times New Roman" w:eastAsia="Times New Roman" w:hAnsi="Times New Roman"/>
          <w:sz w:val="18"/>
          <w:szCs w:val="18"/>
          <w:color w:val="333333"/>
        </w:rPr>
        <w:t>,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January 31, 2026, based on criteria established in Internal Control-Integrated Framework (2013) issued by the Committee of Sponsoring Organizations of the Treadway Commission and our report dated March 25, 2026,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 Journeys Group - Refer to Note 1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Journeys Group follows the retail inventory method in accounting for its retail operations inventory. Under the retail inventory method, valuing inventory at the lower of cost or market is achieved as markdowns are taken or accrued as a reduction of the retail value of inventories. The valuation of retail inventory within the Journeys Group requires management to make judgments and estimates about the recoverability of the inventory and its market value. The Company establishes an inventory valuation allowance for expected markdowns for the Journeys Group, which includes estimates of inventory turn, average selling price, inventory age, vendor agreements, current market conditions, fashion trends and overall economic conditions.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inventory markdown allowance for the Journeys Group as a critical audit matter because of the significant judgments made by management in estimating the recoverability of the inventory and its market value. Auditing the inventory markdown allowance required a high degree of auditor judgment and an increased extent of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valuation of the inventory markdown allowance included the following, among others:</w:t>
      </w:r>
    </w:p>
    <w:p>
      <w:pPr>
        <w:spacing w:after="0" w:line="225" w:lineRule="exact"/>
        <w:rPr>
          <w:sz w:val="20"/>
          <w:szCs w:val="20"/>
          <w:color w:val="auto"/>
        </w:rPr>
      </w:pPr>
    </w:p>
    <w:p>
      <w:pPr>
        <w:ind w:left="380" w:hanging="372"/>
        <w:spacing w:after="0" w:line="282" w:lineRule="auto"/>
        <w:tabs>
          <w:tab w:leader="none" w:pos="3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the Company’s internal controls over the development and review of estimates included in determining the inventory markdown allowance.</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calculation of the inventory markdown allowance by:</w:t>
      </w:r>
    </w:p>
    <w:p>
      <w:pPr>
        <w:spacing w:after="0" w:line="225" w:lineRule="exact"/>
        <w:rPr>
          <w:sz w:val="20"/>
          <w:szCs w:val="20"/>
          <w:color w:val="auto"/>
        </w:rPr>
      </w:pPr>
    </w:p>
    <w:p>
      <w:pPr>
        <w:ind w:left="760" w:hanging="365"/>
        <w:spacing w:after="0"/>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sample basis, recalculated the projected loss for inventory on hand based on the source data used in the calculation.</w:t>
      </w:r>
    </w:p>
    <w:p>
      <w:pPr>
        <w:spacing w:after="0" w:line="27" w:lineRule="exact"/>
        <w:rPr>
          <w:rFonts w:ascii="Times New Roman" w:cs="Times New Roman" w:eastAsia="Times New Roman" w:hAnsi="Times New Roman"/>
          <w:sz w:val="18"/>
          <w:szCs w:val="18"/>
          <w:color w:val="auto"/>
        </w:rPr>
      </w:pPr>
    </w:p>
    <w:p>
      <w:pPr>
        <w:ind w:left="760" w:hanging="365"/>
        <w:spacing w:after="0" w:line="260" w:lineRule="auto"/>
        <w:tabs>
          <w:tab w:leader="none" w:pos="75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retrospective review to evaluate management's ability to accurately forecast future sales trends and inventory losses by comparing actual results to management's historical forecasts.</w:t>
      </w:r>
    </w:p>
    <w:p>
      <w:pPr>
        <w:spacing w:after="0" w:line="181" w:lineRule="exact"/>
        <w:rPr>
          <w:rFonts w:ascii="Times New Roman" w:cs="Times New Roman" w:eastAsia="Times New Roman" w:hAnsi="Times New Roman"/>
          <w:sz w:val="18"/>
          <w:szCs w:val="18"/>
          <w:color w:val="auto"/>
        </w:rPr>
      </w:pPr>
    </w:p>
    <w:p>
      <w:pPr>
        <w:ind w:left="380" w:hanging="372"/>
        <w:spacing w:after="0" w:line="282" w:lineRule="auto"/>
        <w:tabs>
          <w:tab w:leader="none" w:pos="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expectation for estimated inventory markdowns based on historical inventory balances and compared our expectation to the amount recorded.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Genesco Inc. (the "Company") </w:t>
      </w:r>
      <w:r>
        <w:rPr>
          <w:rFonts w:ascii="Times New Roman" w:cs="Times New Roman" w:eastAsia="Times New Roman" w:hAnsi="Times New Roman"/>
          <w:sz w:val="18"/>
          <w:szCs w:val="18"/>
          <w:color w:val="333333"/>
        </w:rPr>
        <w:t>as of February 1, 2025, the related</w:t>
      </w:r>
      <w:r>
        <w:rPr>
          <w:rFonts w:ascii="Times New Roman" w:cs="Times New Roman" w:eastAsia="Times New Roman" w:hAnsi="Times New Roman"/>
          <w:sz w:val="18"/>
          <w:szCs w:val="18"/>
          <w:color w:val="auto"/>
        </w:rPr>
        <w:t xml:space="preserve"> consolidated </w:t>
      </w:r>
      <w:r>
        <w:rPr>
          <w:rFonts w:ascii="Times New Roman" w:cs="Times New Roman" w:eastAsia="Times New Roman" w:hAnsi="Times New Roman"/>
          <w:sz w:val="18"/>
          <w:szCs w:val="18"/>
          <w:color w:val="333333"/>
        </w:rPr>
        <w:t>statements of operations, comprehensive income (loss), cash flows, and equity for the two fiscal years in the period ended February 1, 2025,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February 1, 2025, and the results of its operations and its cash flows for each of the two years in the period ended February 1, 2025, in conformity with U.S. generally accepted accounting principles.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2001 to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1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February 1, 2025</w:t>
            </w: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105,405</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34,007</w:t>
            </w:r>
          </w:p>
        </w:tc>
        <w:tc>
          <w:tcPr>
            <w:tcW w:w="0" w:type="dxa"/>
            <w:vAlign w:val="bottom"/>
          </w:tcPr>
          <w:p>
            <w:pPr>
              <w:spacing w:after="0"/>
              <w:rPr>
                <w:sz w:val="1"/>
                <w:szCs w:val="1"/>
                <w:color w:val="auto"/>
              </w:rPr>
            </w:pPr>
          </w:p>
        </w:tc>
      </w:tr>
      <w:tr>
        <w:trPr>
          <w:trHeight w:val="198"/>
        </w:trPr>
        <w:tc>
          <w:tcPr>
            <w:tcW w:w="6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$2,377 at January 31, 2026 and $2,522 at February</w:t>
            </w:r>
          </w:p>
        </w:tc>
        <w:tc>
          <w:tcPr>
            <w:tcW w:w="480" w:type="dxa"/>
            <w:vAlign w:val="bottom"/>
            <w:shd w:val="clear" w:color="auto" w:fill="CFF0FC"/>
          </w:tcPr>
          <w:p>
            <w:pPr>
              <w:spacing w:after="0"/>
              <w:rPr>
                <w:sz w:val="17"/>
                <w:szCs w:val="17"/>
                <w:color w:val="auto"/>
              </w:rPr>
            </w:pPr>
          </w:p>
        </w:tc>
        <w:tc>
          <w:tcPr>
            <w:tcW w:w="184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39,825</w:t>
            </w:r>
          </w:p>
        </w:tc>
        <w:tc>
          <w:tcPr>
            <w:tcW w:w="7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1, 2025</w:t>
            </w:r>
          </w:p>
        </w:tc>
        <w:tc>
          <w:tcPr>
            <w:tcW w:w="480" w:type="dxa"/>
            <w:vAlign w:val="bottom"/>
            <w:shd w:val="clear" w:color="auto" w:fill="CFF0FC"/>
          </w:tcPr>
          <w:p>
            <w:pPr>
              <w:spacing w:after="0"/>
              <w:rPr>
                <w:sz w:val="20"/>
                <w:szCs w:val="20"/>
                <w:color w:val="auto"/>
              </w:rPr>
            </w:pPr>
          </w:p>
        </w:tc>
        <w:tc>
          <w:tcPr>
            <w:tcW w:w="1840" w:type="dxa"/>
            <w:vAlign w:val="bottom"/>
            <w:vMerge w:val="continue"/>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48,865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433,878</w:t>
            </w:r>
          </w:p>
        </w:tc>
        <w:tc>
          <w:tcPr>
            <w:tcW w:w="7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425,224</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39,408</w:t>
            </w:r>
          </w:p>
        </w:tc>
        <w:tc>
          <w:tcPr>
            <w:tcW w:w="7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100,660</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618,516</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608,756</w:t>
            </w: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237,656</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228,022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48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472,815</w:t>
            </w:r>
          </w:p>
        </w:tc>
        <w:tc>
          <w:tcPr>
            <w:tcW w:w="7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438,273</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9,459</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48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27,867</w:t>
            </w:r>
          </w:p>
        </w:tc>
        <w:tc>
          <w:tcPr>
            <w:tcW w:w="7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249</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26,416</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25,174</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1,392,978</w:t>
            </w:r>
          </w:p>
        </w:tc>
        <w:tc>
          <w:tcPr>
            <w:tcW w:w="7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1,335,536</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156,735</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168,077</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operating lease liability</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119,216</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124,010</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100,391</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87,695</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376,342</w:t>
            </w:r>
          </w:p>
        </w:tc>
        <w:tc>
          <w:tcPr>
            <w:tcW w:w="7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379,782</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3,379</w:t>
            </w:r>
          </w:p>
        </w:tc>
        <w:tc>
          <w:tcPr>
            <w:tcW w:w="7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398,788</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361,079</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47,425</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47,705</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825,934</w:t>
            </w:r>
          </w:p>
        </w:tc>
        <w:tc>
          <w:tcPr>
            <w:tcW w:w="7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788,566</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48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835</w:t>
            </w:r>
          </w:p>
        </w:tc>
        <w:tc>
          <w:tcPr>
            <w:tcW w:w="7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equity:</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$1 par value:</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80,000,000 shares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common stock</w:t>
            </w:r>
          </w:p>
        </w:tc>
        <w:tc>
          <w:tcPr>
            <w:tcW w:w="48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11,277</w:t>
            </w:r>
          </w:p>
        </w:tc>
        <w:tc>
          <w:tcPr>
            <w:tcW w:w="7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11,773</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343,889</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331,756</w:t>
            </w:r>
          </w:p>
        </w:tc>
        <w:tc>
          <w:tcPr>
            <w:tcW w:w="0" w:type="dxa"/>
            <w:vAlign w:val="bottom"/>
          </w:tcPr>
          <w:p>
            <w:pPr>
              <w:spacing w:after="0"/>
              <w:rPr>
                <w:sz w:val="1"/>
                <w:szCs w:val="1"/>
                <w:color w:val="auto"/>
              </w:rPr>
            </w:pPr>
          </w:p>
        </w:tc>
      </w:tr>
      <w:tr>
        <w:trPr>
          <w:trHeight w:val="216"/>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265,790</w:t>
            </w:r>
          </w:p>
        </w:tc>
        <w:tc>
          <w:tcPr>
            <w:tcW w:w="7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265,887</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(36,890)</w:t>
            </w: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Treasury shares, at cost (488,464 shares)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(17,857)</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567,044</w:t>
            </w:r>
          </w:p>
        </w:tc>
        <w:tc>
          <w:tcPr>
            <w:tcW w:w="7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546,970</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1,392,978</w:t>
            </w: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1,335,536</w:t>
            </w:r>
          </w:p>
        </w:tc>
        <w:tc>
          <w:tcPr>
            <w:tcW w:w="0" w:type="dxa"/>
            <w:vAlign w:val="bottom"/>
          </w:tcPr>
          <w:p>
            <w:pPr>
              <w:spacing w:after="0"/>
              <w:rPr>
                <w:sz w:val="1"/>
                <w:szCs w:val="1"/>
                <w:color w:val="auto"/>
              </w:rPr>
            </w:pP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2,436,096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2,325,062</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2,324,624</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1,309,246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1,228,249</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1,225,804</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1,126,850</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1,096,813</w:t>
            </w: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1,098,820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1,101,468</w:t>
            </w:r>
          </w:p>
        </w:tc>
        <w:tc>
          <w:tcPr>
            <w:tcW w:w="2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1,079,653</w:t>
            </w:r>
          </w:p>
        </w:tc>
        <w:tc>
          <w:tcPr>
            <w:tcW w:w="4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1,082,040</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28,453</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 impairments and other, net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8,068</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3,235</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17,314</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13,925</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625</w:t>
            </w:r>
          </w:p>
        </w:tc>
        <w:tc>
          <w:tcPr>
            <w:tcW w:w="2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367</w:t>
            </w:r>
          </w:p>
        </w:tc>
        <w:tc>
          <w:tcPr>
            <w:tcW w:w="4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Interest expense (net of interest income of $0.7 million, $0.7 million and $0.4 million for</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4,098</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2026, 2025 and 2024, respectively)</w:t>
            </w: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4,250</w:t>
            </w: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7,777</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12,591</w:t>
            </w:r>
          </w:p>
        </w:tc>
        <w:tc>
          <w:tcPr>
            <w:tcW w:w="2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9,308</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(685)</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28,820</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13,276</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(19,512)</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discontinued operations, net of tax</w:t>
            </w: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622</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6,801</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5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13,269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(18,890)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0" w:type="dxa"/>
            <w:vAlign w:val="bottom"/>
          </w:tcPr>
          <w:p>
            <w:pPr>
              <w:spacing w:after="0"/>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0.00</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earnings (loss)</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41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0.00</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earnings (loss)</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9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10,366</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10,836</w:t>
            </w: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11,243</w:t>
            </w:r>
          </w:p>
        </w:tc>
        <w:tc>
          <w:tcPr>
            <w:tcW w:w="0" w:type="dxa"/>
            <w:vAlign w:val="bottom"/>
          </w:tcPr>
          <w:p>
            <w:pPr>
              <w:spacing w:after="0"/>
              <w:rPr>
                <w:sz w:val="1"/>
                <w:szCs w:val="1"/>
                <w:color w:val="auto"/>
              </w:rPr>
            </w:pPr>
          </w:p>
        </w:tc>
      </w:tr>
      <w:tr>
        <w:trPr>
          <w:trHeight w:val="238"/>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10,624</w:t>
            </w:r>
          </w:p>
        </w:tc>
        <w:tc>
          <w:tcPr>
            <w:tcW w:w="26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10,836</w:t>
            </w:r>
          </w:p>
        </w:tc>
        <w:tc>
          <w:tcPr>
            <w:tcW w:w="4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11,243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as noted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r>
      <w:tr>
        <w:trPr>
          <w:trHeight w:val="210"/>
        </w:trPr>
        <w:tc>
          <w:tcPr>
            <w:tcW w:w="48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2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13,269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(18,890)</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Postretirement liability adjustment</w:t>
            </w:r>
          </w:p>
        </w:tc>
        <w:tc>
          <w:tcPr>
            <w:tcW w:w="1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(1,161)</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9,695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(4,243)</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1,488</w:t>
            </w:r>
          </w:p>
        </w:tc>
      </w:tr>
      <w:tr>
        <w:trPr>
          <w:trHeight w:val="209"/>
        </w:trPr>
        <w:tc>
          <w:tcPr>
            <w:tcW w:w="4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8,534</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1,587</w:t>
            </w:r>
          </w:p>
        </w:tc>
      </w:tr>
      <w:tr>
        <w:trPr>
          <w:trHeight w:val="209"/>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21,803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(24,690)</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(15,240)</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6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r>
      <w:tr>
        <w:trPr>
          <w:trHeight w:val="128"/>
        </w:trPr>
        <w:tc>
          <w:tcPr>
            <w:tcW w:w="60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6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2024</w:t>
            </w:r>
          </w:p>
        </w:tc>
      </w:tr>
      <w:tr>
        <w:trPr>
          <w:trHeight w:val="128"/>
        </w:trPr>
        <w:tc>
          <w:tcPr>
            <w:tcW w:w="60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r>
      <w:tr>
        <w:trPr>
          <w:trHeight w:val="135"/>
        </w:trPr>
        <w:tc>
          <w:tcPr>
            <w:tcW w:w="6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earnings (loss)</w:t>
            </w:r>
          </w:p>
        </w:tc>
        <w:tc>
          <w:tcPr>
            <w:tcW w:w="620" w:type="dxa"/>
            <w:vAlign w:val="bottom"/>
          </w:tcPr>
          <w:p>
            <w:pPr>
              <w:jc w:val="right"/>
              <w:ind w:right="5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13,269</w:t>
            </w:r>
          </w:p>
        </w:tc>
        <w:tc>
          <w:tcPr>
            <w:tcW w:w="32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(18,890)</w:t>
            </w:r>
          </w:p>
        </w:tc>
        <w:tc>
          <w:tcPr>
            <w:tcW w:w="66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(16,827)</w:t>
            </w:r>
          </w:p>
        </w:tc>
      </w:tr>
      <w:tr>
        <w:trPr>
          <w:trHeight w:val="135"/>
        </w:trPr>
        <w:tc>
          <w:tcPr>
            <w:tcW w:w="6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earnings (loss) to net cash provided by operating activities: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tcPr>
          <w:p>
            <w:pPr>
              <w:spacing w:after="0"/>
              <w:rPr>
                <w:sz w:val="11"/>
                <w:szCs w:val="11"/>
                <w:color w:val="auto"/>
              </w:rPr>
            </w:pP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53,325</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52,464</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49,441</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(1,208)</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26,758</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3,452</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Goodwill impairment</w:t>
            </w:r>
          </w:p>
        </w:tc>
        <w:tc>
          <w:tcPr>
            <w:tcW w:w="620" w:type="dxa"/>
            <w:vAlign w:val="bottom"/>
          </w:tcPr>
          <w:p>
            <w:pPr>
              <w:spacing w:after="0"/>
              <w:rPr>
                <w:sz w:val="11"/>
                <w:szCs w:val="11"/>
                <w:color w:val="auto"/>
              </w:rPr>
            </w:pP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28,453</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 of long-lived assets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4,374</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1,384</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958</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620" w:type="dxa"/>
            <w:vAlign w:val="bottom"/>
          </w:tcPr>
          <w:p>
            <w:pPr>
              <w:spacing w:after="0"/>
              <w:rPr>
                <w:sz w:val="11"/>
                <w:szCs w:val="11"/>
                <w:color w:val="auto"/>
              </w:rPr>
            </w:pP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12,241</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12,866</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14,014</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Provision for discontinued operations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10</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514</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 on sale of assets</w:t>
            </w:r>
          </w:p>
        </w:tc>
        <w:tc>
          <w:tcPr>
            <w:tcW w:w="620" w:type="dxa"/>
            <w:vAlign w:val="bottom"/>
          </w:tcPr>
          <w:p>
            <w:pPr>
              <w:spacing w:after="0"/>
              <w:rPr>
                <w:sz w:val="11"/>
                <w:szCs w:val="11"/>
                <w:color w:val="auto"/>
              </w:rPr>
            </w:pP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604</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502</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128</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472</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436</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1,000</w:t>
            </w:r>
          </w:p>
        </w:tc>
      </w:tr>
      <w:tr>
        <w:trPr>
          <w:trHeight w:val="117"/>
        </w:trPr>
        <w:tc>
          <w:tcPr>
            <w:tcW w:w="6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Changes in working capital and other assets and liabilities, net of</w:t>
            </w:r>
          </w:p>
        </w:tc>
        <w:tc>
          <w:tcPr>
            <w:tcW w:w="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53"/>
        </w:trPr>
        <w:tc>
          <w:tcPr>
            <w:tcW w:w="6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acquisitions/dispositions:</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9,801</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4,299</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(13,287)</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6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(1,162)</w:t>
            </w:r>
          </w:p>
        </w:tc>
        <w:tc>
          <w:tcPr>
            <w:tcW w:w="32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(49,080)</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80,352</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Prepaids and other current assets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62,304</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(61,210)</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(13,659)</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(13,182)</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54,327</w:t>
            </w:r>
          </w:p>
        </w:tc>
        <w:tc>
          <w:tcPr>
            <w:tcW w:w="660" w:type="dxa"/>
            <w:vAlign w:val="bottom"/>
          </w:tcPr>
          <w:p>
            <w:pPr>
              <w:spacing w:after="0"/>
              <w:rPr>
                <w:sz w:val="11"/>
                <w:szCs w:val="11"/>
                <w:color w:val="auto"/>
              </w:rPr>
            </w:pPr>
          </w:p>
        </w:tc>
        <w:tc>
          <w:tcPr>
            <w:tcW w:w="1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(27,665)</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accrued liabilities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9,436</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12,066</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(2,011)</w:t>
            </w:r>
          </w:p>
        </w:tc>
      </w:tr>
      <w:tr>
        <w:trPr>
          <w:trHeight w:val="135"/>
        </w:trPr>
        <w:tc>
          <w:tcPr>
            <w:tcW w:w="6000" w:type="dxa"/>
            <w:vAlign w:val="bottom"/>
            <w:tcBorders>
              <w:bottom w:val="single" w:sz="8" w:color="auto"/>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assets and liabilities</w:t>
            </w:r>
          </w:p>
        </w:tc>
        <w:tc>
          <w:tcPr>
            <w:tcW w:w="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(4,524)</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51,604</w:t>
            </w:r>
          </w:p>
        </w:tc>
        <w:tc>
          <w:tcPr>
            <w:tcW w:w="6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(10,067)</w:t>
            </w:r>
          </w:p>
        </w:tc>
      </w:tr>
      <w:tr>
        <w:trPr>
          <w:trHeight w:val="128"/>
        </w:trPr>
        <w:tc>
          <w:tcPr>
            <w:tcW w:w="60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6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145,760</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87,886</w:t>
            </w:r>
          </w:p>
        </w:tc>
        <w:tc>
          <w:tcPr>
            <w:tcW w:w="6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94,796</w:t>
            </w:r>
          </w:p>
        </w:tc>
      </w:tr>
      <w:tr>
        <w:trPr>
          <w:trHeight w:val="129"/>
        </w:trPr>
        <w:tc>
          <w:tcPr>
            <w:tcW w:w="60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(62,054)</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(41,132)</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(60,303)</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investing activities</w:t>
            </w:r>
          </w:p>
        </w:tc>
        <w:tc>
          <w:tcPr>
            <w:tcW w:w="620" w:type="dxa"/>
            <w:vAlign w:val="bottom"/>
          </w:tcPr>
          <w:p>
            <w:pPr>
              <w:spacing w:after="0"/>
              <w:rPr>
                <w:sz w:val="11"/>
                <w:szCs w:val="11"/>
                <w:color w:val="auto"/>
              </w:rPr>
            </w:pP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215</w:t>
            </w:r>
          </w:p>
        </w:tc>
      </w:tr>
      <w:tr>
        <w:trPr>
          <w:trHeight w:val="135"/>
        </w:trPr>
        <w:tc>
          <w:tcPr>
            <w:tcW w:w="6000" w:type="dxa"/>
            <w:vAlign w:val="bottom"/>
            <w:tcBorders>
              <w:bottom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Proceeds from asset sales</w:t>
            </w:r>
          </w:p>
        </w:tc>
        <w:tc>
          <w:tcPr>
            <w:tcW w:w="6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87</w:t>
            </w:r>
          </w:p>
        </w:tc>
      </w:tr>
      <w:tr>
        <w:trPr>
          <w:trHeight w:val="128"/>
        </w:trPr>
        <w:tc>
          <w:tcPr>
            <w:tcW w:w="60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(62,054)</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(41,131)</w:t>
            </w:r>
          </w:p>
        </w:tc>
        <w:tc>
          <w:tcPr>
            <w:tcW w:w="6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(60,001)</w:t>
            </w:r>
          </w:p>
        </w:tc>
      </w:tr>
      <w:tr>
        <w:trPr>
          <w:trHeight w:val="128"/>
        </w:trPr>
        <w:tc>
          <w:tcPr>
            <w:tcW w:w="60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Borrowings under revolving credit facility</w:t>
            </w:r>
          </w:p>
        </w:tc>
        <w:tc>
          <w:tcPr>
            <w:tcW w:w="620" w:type="dxa"/>
            <w:vAlign w:val="bottom"/>
          </w:tcPr>
          <w:p>
            <w:pPr>
              <w:spacing w:after="0"/>
              <w:rPr>
                <w:sz w:val="11"/>
                <w:szCs w:val="11"/>
                <w:color w:val="auto"/>
              </w:rPr>
            </w:pP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444,613</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422,167</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477,841</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Payments on revolving credit facility</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(441,893)</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(456,727)</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(488,438)</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Shares repurchased related to share repurchase plan</w:t>
            </w:r>
          </w:p>
        </w:tc>
        <w:tc>
          <w:tcPr>
            <w:tcW w:w="6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(12,566)</w:t>
            </w:r>
          </w:p>
        </w:tc>
        <w:tc>
          <w:tcPr>
            <w:tcW w:w="32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(9,789)</w:t>
            </w:r>
          </w:p>
        </w:tc>
        <w:tc>
          <w:tcPr>
            <w:tcW w:w="660" w:type="dxa"/>
            <w:vAlign w:val="bottom"/>
          </w:tcPr>
          <w:p>
            <w:pPr>
              <w:spacing w:after="0"/>
              <w:rPr>
                <w:sz w:val="11"/>
                <w:szCs w:val="11"/>
                <w:color w:val="auto"/>
              </w:rPr>
            </w:pPr>
          </w:p>
        </w:tc>
        <w:tc>
          <w:tcPr>
            <w:tcW w:w="1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(32,027)</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Shares repurchased related to taxes for share-based awards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(1,317)</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(2,572)</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(2,249)</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 in overdraft balances</w:t>
            </w:r>
          </w:p>
        </w:tc>
        <w:tc>
          <w:tcPr>
            <w:tcW w:w="6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(554)</w:t>
            </w:r>
          </w:p>
        </w:tc>
        <w:tc>
          <w:tcPr>
            <w:tcW w:w="32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660" w:type="dxa"/>
            <w:vAlign w:val="bottom"/>
          </w:tcPr>
          <w:p>
            <w:pPr>
              <w:spacing w:after="0"/>
              <w:rPr>
                <w:sz w:val="11"/>
                <w:szCs w:val="11"/>
                <w:color w:val="auto"/>
              </w:rPr>
            </w:pPr>
          </w:p>
        </w:tc>
        <w:tc>
          <w:tcPr>
            <w:tcW w:w="1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(2,694)</w:t>
            </w:r>
          </w:p>
        </w:tc>
      </w:tr>
      <w:tr>
        <w:trPr>
          <w:trHeight w:val="135"/>
        </w:trPr>
        <w:tc>
          <w:tcPr>
            <w:tcW w:w="6000" w:type="dxa"/>
            <w:vAlign w:val="bottom"/>
            <w:tcBorders>
              <w:bottom w:val="single" w:sz="8" w:color="auto"/>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Additions to deferred financing costs</w:t>
            </w:r>
          </w:p>
        </w:tc>
        <w:tc>
          <w:tcPr>
            <w:tcW w:w="6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(1,600)</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w:t>
            </w:r>
          </w:p>
        </w:tc>
      </w:tr>
      <w:tr>
        <w:trPr>
          <w:trHeight w:val="128"/>
        </w:trPr>
        <w:tc>
          <w:tcPr>
            <w:tcW w:w="60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(13,317)</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(47,003)</w:t>
            </w:r>
          </w:p>
        </w:tc>
        <w:tc>
          <w:tcPr>
            <w:tcW w:w="6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(47,579)</w:t>
            </w:r>
          </w:p>
        </w:tc>
      </w:tr>
      <w:tr>
        <w:trPr>
          <w:trHeight w:val="128"/>
        </w:trPr>
        <w:tc>
          <w:tcPr>
            <w:tcW w:w="60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Effect of foreign exchange rate fluctuations on cash</w:t>
            </w:r>
          </w:p>
        </w:tc>
        <w:tc>
          <w:tcPr>
            <w:tcW w:w="6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1,009</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(900)</w:t>
            </w:r>
          </w:p>
        </w:tc>
        <w:tc>
          <w:tcPr>
            <w:tcW w:w="6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(51)</w:t>
            </w:r>
          </w:p>
        </w:tc>
      </w:tr>
      <w:tr>
        <w:trPr>
          <w:trHeight w:val="129"/>
        </w:trPr>
        <w:tc>
          <w:tcPr>
            <w:tcW w:w="60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620" w:type="dxa"/>
            <w:vAlign w:val="bottom"/>
          </w:tcPr>
          <w:p>
            <w:pPr>
              <w:spacing w:after="0"/>
              <w:rPr>
                <w:sz w:val="11"/>
                <w:szCs w:val="11"/>
                <w:color w:val="auto"/>
              </w:rPr>
            </w:pPr>
          </w:p>
        </w:tc>
        <w:tc>
          <w:tcPr>
            <w:tcW w:w="10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71,398</w:t>
            </w:r>
          </w:p>
        </w:tc>
        <w:tc>
          <w:tcPr>
            <w:tcW w:w="32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(1,148)</w:t>
            </w:r>
          </w:p>
        </w:tc>
        <w:tc>
          <w:tcPr>
            <w:tcW w:w="660" w:type="dxa"/>
            <w:vAlign w:val="bottom"/>
          </w:tcPr>
          <w:p>
            <w:pPr>
              <w:spacing w:after="0"/>
              <w:rPr>
                <w:sz w:val="11"/>
                <w:szCs w:val="11"/>
                <w:color w:val="auto"/>
              </w:rPr>
            </w:pPr>
          </w:p>
        </w:tc>
        <w:tc>
          <w:tcPr>
            <w:tcW w:w="1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(12,835)</w:t>
            </w:r>
          </w:p>
        </w:tc>
      </w:tr>
      <w:tr>
        <w:trPr>
          <w:trHeight w:val="135"/>
        </w:trPr>
        <w:tc>
          <w:tcPr>
            <w:tcW w:w="6000" w:type="dxa"/>
            <w:vAlign w:val="bottom"/>
            <w:tcBorders>
              <w:bottom w:val="single" w:sz="8" w:color="auto"/>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6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34,007</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35,155</w:t>
            </w:r>
          </w:p>
        </w:tc>
        <w:tc>
          <w:tcPr>
            <w:tcW w:w="6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47,990</w:t>
            </w:r>
          </w:p>
        </w:tc>
      </w:tr>
      <w:tr>
        <w:trPr>
          <w:trHeight w:val="128"/>
        </w:trPr>
        <w:tc>
          <w:tcPr>
            <w:tcW w:w="60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at end of year</w:t>
            </w:r>
          </w:p>
        </w:tc>
        <w:tc>
          <w:tcPr>
            <w:tcW w:w="6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105,405</w:t>
            </w:r>
          </w:p>
        </w:tc>
        <w:tc>
          <w:tcPr>
            <w:tcW w:w="32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34,007</w:t>
            </w:r>
          </w:p>
        </w:tc>
        <w:tc>
          <w:tcPr>
            <w:tcW w:w="660" w:type="dxa"/>
            <w:vAlign w:val="bottom"/>
            <w:tcBorders>
              <w:bottom w:val="single" w:sz="8" w:color="auto"/>
            </w:tcBorders>
          </w:tcPr>
          <w:p>
            <w:pPr>
              <w:jc w:val="right"/>
              <w:ind w:right="4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35,155</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5"/>
        </w:trPr>
        <w:tc>
          <w:tcPr>
            <w:tcW w:w="60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Supplemental information:</w:t>
            </w:r>
          </w:p>
        </w:tc>
        <w:tc>
          <w:tcPr>
            <w:tcW w:w="6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620" w:type="dxa"/>
            <w:vAlign w:val="bottom"/>
          </w:tcPr>
          <w:p>
            <w:pPr>
              <w:jc w:val="right"/>
              <w:ind w:right="5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4,351</w:t>
            </w:r>
          </w:p>
        </w:tc>
        <w:tc>
          <w:tcPr>
            <w:tcW w:w="32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4,481</w:t>
            </w:r>
          </w:p>
        </w:tc>
        <w:tc>
          <w:tcPr>
            <w:tcW w:w="66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7,841</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Income taxes paid (refunded)</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(58,722)</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3,506</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5,888</w:t>
            </w:r>
          </w:p>
        </w:tc>
      </w:tr>
      <w:tr>
        <w:trPr>
          <w:trHeight w:val="135"/>
        </w:trPr>
        <w:tc>
          <w:tcPr>
            <w:tcW w:w="60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paid for amounts included in measurement of operating lease liabilities</w:t>
            </w:r>
          </w:p>
        </w:tc>
        <w:tc>
          <w:tcPr>
            <w:tcW w:w="620" w:type="dxa"/>
            <w:vAlign w:val="bottom"/>
          </w:tcPr>
          <w:p>
            <w:pPr>
              <w:spacing w:after="0"/>
              <w:rPr>
                <w:sz w:val="11"/>
                <w:szCs w:val="11"/>
                <w:color w:val="auto"/>
              </w:rPr>
            </w:pPr>
          </w:p>
        </w:tc>
        <w:tc>
          <w:tcPr>
            <w:tcW w:w="10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181,083</w:t>
            </w:r>
          </w:p>
        </w:tc>
        <w:tc>
          <w:tcPr>
            <w:tcW w:w="320" w:type="dxa"/>
            <w:vAlign w:val="bottom"/>
          </w:tcPr>
          <w:p>
            <w:pPr>
              <w:spacing w:after="0"/>
              <w:rPr>
                <w:sz w:val="11"/>
                <w:szCs w:val="11"/>
                <w:color w:val="auto"/>
              </w:rPr>
            </w:pPr>
          </w:p>
        </w:tc>
        <w:tc>
          <w:tcPr>
            <w:tcW w:w="14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165,668</w:t>
            </w:r>
          </w:p>
        </w:tc>
        <w:tc>
          <w:tcPr>
            <w:tcW w:w="66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187,129</w:t>
            </w:r>
          </w:p>
        </w:tc>
      </w:tr>
      <w:tr>
        <w:trPr>
          <w:trHeight w:val="135"/>
        </w:trPr>
        <w:tc>
          <w:tcPr>
            <w:tcW w:w="60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Operating leased assets obtained in exchange for new operating lease liabilities</w:t>
            </w:r>
          </w:p>
        </w:tc>
        <w:tc>
          <w:tcPr>
            <w:tcW w:w="6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196,748</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156,487</w:t>
            </w:r>
          </w:p>
        </w:tc>
        <w:tc>
          <w:tcPr>
            <w:tcW w:w="6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128,017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40" w:type="dxa"/>
            <w:vAlign w:val="bottom"/>
          </w:tcPr>
          <w:p>
            <w:pPr>
              <w:spacing w:after="0"/>
              <w:rPr>
                <w:sz w:val="12"/>
                <w:szCs w:val="12"/>
                <w:color w:val="auto"/>
              </w:rPr>
            </w:pP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January 28, 2023</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815</w:t>
            </w:r>
          </w:p>
        </w:tc>
        <w:tc>
          <w:tcPr>
            <w:tcW w:w="2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13,089</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305,260</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346,870</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(41,211)</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(17,857)</w:t>
            </w:r>
          </w:p>
        </w:tc>
        <w:tc>
          <w:tcPr>
            <w:tcW w:w="2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606,966</w:t>
            </w:r>
          </w:p>
        </w:tc>
        <w:tc>
          <w:tcPr>
            <w:tcW w:w="0" w:type="dxa"/>
            <w:vAlign w:val="bottom"/>
          </w:tcPr>
          <w:p>
            <w:pPr>
              <w:spacing w:after="0"/>
              <w:rPr>
                <w:sz w:val="1"/>
                <w:szCs w:val="1"/>
                <w:color w:val="auto"/>
              </w:rPr>
            </w:pPr>
          </w:p>
        </w:tc>
      </w:tr>
      <w:tr>
        <w:trPr>
          <w:trHeight w:val="142"/>
        </w:trPr>
        <w:tc>
          <w:tcPr>
            <w:tcW w:w="2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12"/>
                <w:szCs w:val="12"/>
                <w:color w:val="auto"/>
              </w:rPr>
            </w:pPr>
          </w:p>
        </w:tc>
        <w:tc>
          <w:tcPr>
            <w:tcW w:w="10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(16,827)</w:t>
            </w:r>
          </w:p>
        </w:tc>
        <w:tc>
          <w:tcPr>
            <w:tcW w:w="120" w:type="dxa"/>
            <w:vAlign w:val="bottom"/>
          </w:tcPr>
          <w:p>
            <w:pPr>
              <w:spacing w:after="0"/>
              <w:rPr>
                <w:sz w:val="12"/>
                <w:szCs w:val="12"/>
                <w:color w:val="auto"/>
              </w:rPr>
            </w:pPr>
          </w:p>
        </w:tc>
        <w:tc>
          <w:tcPr>
            <w:tcW w:w="1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(16,827)</w:t>
            </w: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14,014</w:t>
            </w:r>
          </w:p>
        </w:tc>
        <w:tc>
          <w:tcPr>
            <w:tcW w:w="18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14,014</w:t>
            </w: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8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12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repurchased</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(30,766)</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(32,027)</w:t>
            </w: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Excise taxes related to repurchases of common</w:t>
            </w:r>
          </w:p>
        </w:tc>
        <w:tc>
          <w:tcPr>
            <w:tcW w:w="200" w:type="dxa"/>
            <w:vAlign w:val="bottom"/>
          </w:tcPr>
          <w:p>
            <w:pPr>
              <w:spacing w:after="0"/>
              <w:rPr>
                <w:sz w:val="10"/>
                <w:szCs w:val="10"/>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0"/>
                <w:szCs w:val="10"/>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February 3, 2024</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813</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11,961</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319,143</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296,766</w:t>
            </w: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(39,624)</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(17,857)</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571,202</w:t>
            </w:r>
          </w:p>
        </w:tc>
        <w:tc>
          <w:tcPr>
            <w:tcW w:w="0" w:type="dxa"/>
            <w:vAlign w:val="bottom"/>
          </w:tcPr>
          <w:p>
            <w:pPr>
              <w:spacing w:after="0"/>
              <w:rPr>
                <w:sz w:val="1"/>
                <w:szCs w:val="1"/>
                <w:color w:val="auto"/>
              </w:rPr>
            </w:pPr>
          </w:p>
        </w:tc>
      </w:tr>
      <w:tr>
        <w:trPr>
          <w:trHeight w:val="142"/>
        </w:trPr>
        <w:tc>
          <w:tcPr>
            <w:tcW w:w="2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(18,890)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(18,890)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w:t>
            </w:r>
          </w:p>
        </w:tc>
        <w:tc>
          <w:tcPr>
            <w:tcW w:w="1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w:t>
            </w: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12,866</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12,866</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8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repurchased</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(9,389)</w:t>
            </w:r>
          </w:p>
        </w:tc>
        <w:tc>
          <w:tcPr>
            <w:tcW w:w="12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(9,789)</w:t>
            </w:r>
          </w:p>
        </w:tc>
        <w:tc>
          <w:tcPr>
            <w:tcW w:w="0" w:type="dxa"/>
            <w:vAlign w:val="bottom"/>
          </w:tcPr>
          <w:p>
            <w:pPr>
              <w:spacing w:after="0"/>
              <w:rPr>
                <w:sz w:val="1"/>
                <w:szCs w:val="1"/>
                <w:color w:val="auto"/>
              </w:rPr>
            </w:pPr>
          </w:p>
        </w:tc>
      </w:tr>
      <w:tr>
        <w:trPr>
          <w:trHeight w:val="126"/>
        </w:trPr>
        <w:tc>
          <w:tcPr>
            <w:tcW w:w="27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Excise taxes related to repurchases of common</w:t>
            </w:r>
          </w:p>
        </w:tc>
        <w:tc>
          <w:tcPr>
            <w:tcW w:w="2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0"/>
                <w:szCs w:val="10"/>
                <w:color w:val="auto"/>
              </w:rPr>
            </w:pPr>
          </w:p>
        </w:tc>
        <w:tc>
          <w:tcPr>
            <w:tcW w:w="1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February 1, 2025</w:t>
            </w:r>
          </w:p>
        </w:tc>
        <w:tc>
          <w:tcPr>
            <w:tcW w:w="2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835</w:t>
            </w:r>
          </w:p>
        </w:tc>
        <w:tc>
          <w:tcPr>
            <w:tcW w:w="2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11,773</w:t>
            </w: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331,756</w:t>
            </w: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265,887</w:t>
            </w:r>
          </w:p>
        </w:tc>
        <w:tc>
          <w:tcPr>
            <w:tcW w:w="12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(45,424)</w:t>
            </w: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(17,857)</w:t>
            </w:r>
          </w:p>
        </w:tc>
        <w:tc>
          <w:tcPr>
            <w:tcW w:w="2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546,970</w:t>
            </w:r>
          </w:p>
        </w:tc>
        <w:tc>
          <w:tcPr>
            <w:tcW w:w="0" w:type="dxa"/>
            <w:vAlign w:val="bottom"/>
          </w:tcPr>
          <w:p>
            <w:pPr>
              <w:spacing w:after="0"/>
              <w:rPr>
                <w:sz w:val="1"/>
                <w:szCs w:val="1"/>
                <w:color w:val="auto"/>
              </w:rPr>
            </w:pPr>
          </w:p>
        </w:tc>
      </w:tr>
      <w:tr>
        <w:trPr>
          <w:trHeight w:val="142"/>
        </w:trPr>
        <w:tc>
          <w:tcPr>
            <w:tcW w:w="2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earnings</w:t>
            </w:r>
          </w:p>
        </w:tc>
        <w:tc>
          <w:tcPr>
            <w:tcW w:w="200" w:type="dxa"/>
            <w:vAlign w:val="bottom"/>
          </w:tcPr>
          <w:p>
            <w:pPr>
              <w:spacing w:after="0"/>
              <w:rPr>
                <w:sz w:val="12"/>
                <w:szCs w:val="12"/>
                <w:color w:val="auto"/>
              </w:rPr>
            </w:pPr>
          </w:p>
        </w:tc>
        <w:tc>
          <w:tcPr>
            <w:tcW w:w="10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13,269</w:t>
            </w:r>
          </w:p>
        </w:tc>
        <w:tc>
          <w:tcPr>
            <w:tcW w:w="120" w:type="dxa"/>
            <w:vAlign w:val="bottom"/>
          </w:tcPr>
          <w:p>
            <w:pPr>
              <w:spacing w:after="0"/>
              <w:rPr>
                <w:sz w:val="12"/>
                <w:szCs w:val="12"/>
                <w:color w:val="auto"/>
              </w:rPr>
            </w:pPr>
          </w:p>
        </w:tc>
        <w:tc>
          <w:tcPr>
            <w:tcW w:w="1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13,269</w:t>
            </w: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8,534</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8,534</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12,241</w:t>
            </w:r>
          </w:p>
        </w:tc>
        <w:tc>
          <w:tcPr>
            <w:tcW w:w="18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12,241</w:t>
            </w: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8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w:t>
            </w:r>
          </w:p>
        </w:tc>
        <w:tc>
          <w:tcPr>
            <w:tcW w:w="12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repurchased</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(11,961)</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(12,566)</w:t>
            </w: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Excise taxes related to repurchases of common</w:t>
            </w:r>
          </w:p>
        </w:tc>
        <w:tc>
          <w:tcPr>
            <w:tcW w:w="200" w:type="dxa"/>
            <w:vAlign w:val="bottom"/>
          </w:tcPr>
          <w:p>
            <w:pPr>
              <w:spacing w:after="0"/>
              <w:rPr>
                <w:sz w:val="10"/>
                <w:szCs w:val="10"/>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0"/>
                <w:szCs w:val="10"/>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31, 2026</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835</w:t>
            </w:r>
          </w:p>
        </w:tc>
        <w:tc>
          <w:tcPr>
            <w:tcW w:w="2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11,277</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343,889</w:t>
            </w:r>
          </w:p>
        </w:tc>
        <w:tc>
          <w:tcPr>
            <w:tcW w:w="1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265,790</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(36,890)</w:t>
            </w:r>
          </w:p>
        </w:tc>
        <w:tc>
          <w:tcPr>
            <w:tcW w:w="1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(17,857)</w:t>
            </w:r>
          </w:p>
        </w:tc>
        <w:tc>
          <w:tcPr>
            <w:tcW w:w="2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567,044</w:t>
            </w:r>
          </w:p>
        </w:tc>
        <w:tc>
          <w:tcPr>
            <w:tcW w:w="0" w:type="dxa"/>
            <w:vAlign w:val="bottom"/>
          </w:tcPr>
          <w:p>
            <w:pPr>
              <w:spacing w:after="0"/>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Genesco Inc. and its subsidiaries' business includes the sourcing and design, marketing and distribution of footwear, apparel and accessories through retail stores in the U.S., Puerto Rico and Canada primarily under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banners and under the Schuh banner in the U.K. and the ROI; through e-commerce websites including the following: journeys.com, journeyskidz.com, journeys.ca, schuh.co.uk, schuh.ie, schuh.eu, littleburgundyshoes.com, johnstonmurphy.com and nashvilleshoewarehouse.com as well as the Johnston &amp; Murphy catalog and at wholesale, primarily under our Johnston &amp; Murphy brand,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Wrangler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other brands that we license for footwear. At January 31, 2026, we operated 1,236 retail stores in the U.S., Puerto Rico, Canada, the U.K. and the ROI.</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2026,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Genesco Brands Group, comprised of the licensed Dockers and Levi's brands, as well as other brands we license for footwear. The license for the Levi's brand expires in May 2026 and we are in the process of exiting that business. During the second quarter of Fiscal 2026, we signed a multi-year licensing agreement with Kontoor Brands, Inc. to design, source, market and distribute footwear under the Wrangler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We expect to launch the first Wrangler footwear collection in the fall of calendar year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subsidiaries are consolidated in our Consolidated Financial Statements. All significant intercompany transactions and accounts have been eliminated.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fiscal year ends on the Saturday closest to January 31st in the named year. This reporting schedule is followed by many national retail companies and typically results in a 52-week fiscal year, but occasionally will contain an additional week resulting in a 53-week fiscal year. The periods presented in these financial statements each consisted of 52 weeks, except for Fiscal 2024, which consisted of 53 weeks. Fiscal 2026 ended on January 31, 2026, Fiscal 2025 ended on February 1, 2025 and Fiscal 2024 ended on February 3,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foreign subsidiaries held cash of approximately $20.2 million and $13.9 million as of January 31, 2026 and February 1, 2025, respectively, which is included in cash and cash equivalents on the Consolidated Balance Sheets. Based upon evaluation of our worldwide operations and specific plans to remit foreign earnings back to the U.S., we can no longer assert that earnings from certain U.K. subsidiaries will be indefinitely reinvested and have recorded U.S. taxes in accordance with applicable U.S. tax rules and regulations.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$71.8 million and $7.5 million of cash equivalents at January 31, 2026 and February 1, 2025, respectively. Cash equivalents include highly-liquid financial instruments, which we define as those having an original maturity of three months or less. Our $71.8 million of cash equivalents at January 31, 2026 were invested in institutional money market funds which invest exclusively in highly rated, short-term securities that are issued, guaranteed or collateralized by the U.S. government or by U.S. government agencies and instrumentalities. The majority of payments due from banks for customer credit cards are classified as cash, as they generally settle within 24 to 48 hours.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January 31, 2026 and February 1, 2025, outstanding checks drawn on zero-balance accounts at certain banks exceeded book cash balances at those banks by approximately $2.6 million and $3.2 million, respectively. These amounts are included in accounts payable in our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Allowances on Accounts Receivable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22%, one customer accounted for 13% and two customers each accounted for 10% of our total trade receivables balance, while no other customer accounted for more than 8% of our total trade receivables balance as of January 31, 2026.</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about the recoverability of the inventory and its market value,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We analyze markdown requirements at the stock number level based on factors such as inventory turn, average selling price and inventory age and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as well as expectations surrounding future sales. Failure to make appropriate conclusions regarding these factors may result in an overstatement or understatement of inventory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over the estimated useful life of related assets. We capitalize certain costs incurred in connection with developing or obtaining internal-use software. Capitalized software costs are included in property and equipment, net on the Consolidated Balance Sheets and are generally amortized over five years. Depreciation and amortization expense are computed principally by the straight-line method over the following estimated useful lives: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 years</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software and equipment</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4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approximately $52.8 million, $51.9 million and $48.9 million for Fiscal 2026,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3%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 conditions if a reasonable estimate of fair value can be made. Asset retirement obligations are recorded in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4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Consolidated Balance Sheets include asset retirement obligations related to leases in other long-term liabilities in the amount of $11.1 million and $10.9 million as of January 31, 2026 and February 1,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recoverability of our long-lived assets, other than goodwill, and evaluate such assets for impairment whenever events or changes in circumstances indicate that the carrying amount of an asset may not be recoverable. Asset impairment is determined to exist if an asset's fair value is less than the carrying amount. Fair value of our long-lived assets is determined by estimated future cash flows, undiscounted and without interest charges, and comparable market rents. Inherent in the analysis of impairment are subjective judgments about future cash flows. Failure to make appropriate conclusions regarding these judgments may result in an overstatement or understatement of the value of long-lived assets.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financial asset or liability’s classification within the hierarchy is determined based on the lowest level input that is significant to the fair value measurement.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exclude sales and value added tax collected on behalf of third parties from the transaction price.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expected to be exercised by the customer in future periods. We perform an evaluation of historical redemption patterns from the date of original issuance to estimate future period redemption activity.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Balance Sheets include an accrued liability for gift cards of $6.1 million and $5.0 million as of January 31, 2026 and February 1, 2025, respectively. Gift card breakage recognized as revenue was $1.5 million, $1.2 million and $1.1 million for Fiscal 2026, 2025 and 2024, respectively. During Fiscal 2026, we recognized $3.7 million of gift card redemptions and gift card breakage revenue that were included in the gift card liability as of February 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retail operations, the cost of sales includes actual product cost, the cost of transportation to our warehouses from suppliers, the cost of transportation from our warehouses to the stores and the cost of transportation from our warehouses to the customer. Additionally, the cost of our distribution facilities inclusive of the related depreciation and amortization allocated to our retail operations is included in cost of sales.</w:t>
      </w:r>
    </w:p>
    <w:p>
      <w:pPr>
        <w:spacing w:after="0" w:line="135" w:lineRule="exact"/>
        <w:rPr>
          <w:sz w:val="20"/>
          <w:szCs w:val="20"/>
          <w:color w:val="auto"/>
        </w:rPr>
      </w:pPr>
    </w:p>
    <w:p>
      <w:pPr>
        <w:ind w:right="100"/>
        <w:spacing w:after="0" w:line="461" w:lineRule="auto"/>
        <w:rPr>
          <w:sz w:val="20"/>
          <w:szCs w:val="20"/>
          <w:color w:val="auto"/>
        </w:rPr>
      </w:pPr>
      <w:r>
        <w:rPr>
          <w:rFonts w:ascii="Times New Roman" w:cs="Times New Roman" w:eastAsia="Times New Roman" w:hAnsi="Times New Roman"/>
          <w:sz w:val="18"/>
          <w:szCs w:val="18"/>
          <w:color w:val="auto"/>
        </w:rPr>
        <w:t xml:space="preserve">For our wholesale operations, the cost of sales includes the actual product cost and the cost of transportation to the Company’s warehouses from suppliers. </w:t>
      </w:r>
      <w:r>
        <w:rPr>
          <w:rFonts w:ascii="Times New Roman" w:cs="Times New Roman" w:eastAsia="Times New Roman" w:hAnsi="Times New Roman"/>
          <w:sz w:val="18"/>
          <w:szCs w:val="18"/>
          <w:b w:val="1"/>
          <w:bCs w:val="1"/>
          <w:i w:val="1"/>
          <w:iCs w:val="1"/>
          <w:color w:val="auto"/>
        </w:rPr>
        <w:t>Selling and Administrative Expenses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$10.6 million, $11.1 million and $12.1 million for Fiscal 2026, 2025 and 2024, respectively.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$296.5 million, $298.2 million and $309.8 million for Fiscal 2026,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in our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predominantly expensed as incurred. Advertising costs were $141.5 million, $132.8 million and $124.7 million for Fiscal 2026,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to Resellers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wholesale businesses, we do not have any written buy-down programs with retailers, but we have provided certain retailers with markdown allowances for obsolete and slow-moving products that are in the retailer’s inventory. We estimate these allowances and provide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support from some of our vendors in the form of reimbursements for cooperative advertising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Vendor reimbursements of cooperative advertising costs recognized as a reduction of selling and administrative expenses were $13.9 million, $9.0 million and $13.1 million for Fiscal 2026, 2025 and 2024, respectively. During Fiscal 2026, 2025 and 2024, our vendor reimbursements of cooperative advertising received were not in excess of the costs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share-based compensation plan, the Genesco Inc. Third Amended and Restated 2020 Equity Incentive Plan (the "2020 Plan"), which originally became effective June 25, 2020, was amended and restated on June 22, 2023 and further amended and restated on June 25, 2024 and June 26, 2025. Under the 2020 Plan, we may grant non-qualified stock options, restricted stock awards ("RSAs"), restricted stock units ("RSUs") and performance-based share units ("PSUs") and other stock-based awards to our key employees, non-employee directors and consultants.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Compensation expense for RSAs, RSUs and PSUs, net of forfeitures, is recognized on a straight-line basis over the requisite service period. For PSUs, at the end of each reporting period, compensation expense 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for our expected performance level against the performance goals, which involves judgment as to the achievement of certain performance metrics.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foreign currency transactions were not material for Fiscal 2026,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adopted ASU 2023-09 for the year ended January 31, 2026 on a prospective basis. The adoption did not have a material impact on our Consolidated Financial Statements, but it did require increased income tax disclosures within the notes to our Consolidated Financial Statements. See Note 11, "Income Taxes"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The ASU is intended to modernize the accounting for internal-use software costs with how software is developed today, clarify when to begin capitalizing costs and enhance disclosure requirements. The ASU is effective on either a retrospective, prospective or modified prospective basis for fiscal years beginning after December 15, 2027, including interim periods within those fiscal years. Early adoption is permitted. We are currently evaluating the impact of the adoption of this ASU on our financial disclosures but do not expect it to have a material impact on our Consolidated Financial Statements.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ASU is intended to improve the disclosures about a public business entity’s expenses and address requests from investors for more detailed information about the types of expenses in commonly presented expense captions. The ASU is required to be adopted for fiscal years beginning after December 15, 2026 and interim reporting periods beginning after December 15, 2027. Early adoption is permitted. The amendments should be applied on either a prospective basis to financial statements issued for reporting periods after the effective date of the update, or on a retrospective basis to any or all prior periods presented in the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 Continued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evaluating the impact of adoption on our financial disclosures but do not expect this ASU to have a material impact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goodwill for Journeys Group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Goodwill</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February 1, 2025</w:t>
            </w:r>
          </w:p>
        </w:tc>
        <w:tc>
          <w:tcPr>
            <w:tcW w:w="37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8,863</w:t>
            </w:r>
          </w:p>
        </w:tc>
      </w:tr>
      <w:tr>
        <w:trPr>
          <w:trHeight w:val="216"/>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596</w:t>
            </w:r>
          </w:p>
        </w:tc>
      </w:tr>
      <w:tr>
        <w:trPr>
          <w:trHeight w:val="209"/>
        </w:trPr>
        <w:tc>
          <w:tcPr>
            <w:tcW w:w="6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37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9,459</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Valuation (Genesco Brands Group)</w:t>
      </w: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under ASC 350, "Intangibles - Goodwill and Other," we annually assess our goodwill and indefinite lived trade names for impairment and on an interim basis if indicators of impairment are present. Our annual assessment date of goodwill and indefinite lived trade names is the first day of the fourth quarter. In accordance with ASC 350, when indicators of impairment are present on an interim basis, we must assess whether it is “more likely than not” (i.e., a greater than 50% chance) that an impairment has occurred.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a dispute during the second quarter of Fiscal 2024 with a Genesco Brands Group licensor regarding renewal of their current license in the normal course, which was resolved in Fiscal 2025, and based on the requirements of ASC 350, we identified indicators of impairment in the second quarter of Fiscal 2024 and determined that it was "more likely than not" that an impairment had occurred and performed a full valuation of our Togast reporting unit. Consistent with our Fiscal 2023 annual assessment, our analyses included preparing an income approach and a market approach model. The fair value estimates under the income approach were sensitive to significant assumptions required to develop prospective financial information related to growth rates in sales, costs, and estimates of future expected changes in operating margins. Other significant assumptions related to estimating the weighted average cost of capital utilized for discounting cash flow estimates and terminal period growth rates. These significant assumptions were affected by expectations about future market or economic conditions. The market approach model considered valuations of comparable companies as an input in the determination of the value of the reporting unit.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upon the results of these analyses, we concluded the goodwill attributed to Togast was fully impaired. As a result, we recorded a non-cash impairment charge of $28.5 million in the second quarter of Fiscal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by major classes were as follows: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4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24"/>
                <w:szCs w:val="24"/>
                <w:b w:val="1"/>
                <w:b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Customer Lists</w:t>
            </w:r>
            <w:r>
              <w:rPr>
                <w:rFonts w:ascii="Times New Roman" w:cs="Times New Roman" w:eastAsia="Times New Roman" w:hAnsi="Times New Roman"/>
                <w:sz w:val="24"/>
                <w:szCs w:val="24"/>
                <w:b w:val="1"/>
                <w:bCs w:val="1"/>
                <w:color w:val="auto"/>
                <w:w w:val="99"/>
                <w:vertAlign w:val="superscript"/>
              </w:rPr>
              <w:t>(2)</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4"/>
                <w:szCs w:val="24"/>
                <w:b w:val="1"/>
                <w:bCs w:val="1"/>
                <w:color w:val="auto"/>
                <w:vertAlign w:val="superscript"/>
              </w:rPr>
              <w:t>(3)</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spacing w:after="0"/>
              <w:rPr>
                <w:sz w:val="24"/>
                <w:szCs w:val="24"/>
                <w:color w:val="auto"/>
              </w:rPr>
            </w:pPr>
          </w:p>
        </w:tc>
      </w:tr>
      <w:tr>
        <w:trPr>
          <w:trHeight w:val="187"/>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Jan. 31,</w:t>
            </w:r>
          </w:p>
        </w:tc>
        <w:tc>
          <w:tcPr>
            <w:tcW w:w="2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Feb 1,</w:t>
            </w:r>
          </w:p>
        </w:tc>
        <w:tc>
          <w:tcPr>
            <w:tcW w:w="20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Jan. 31,</w:t>
            </w:r>
          </w:p>
        </w:tc>
        <w:tc>
          <w:tcPr>
            <w:tcW w:w="220" w:type="dxa"/>
            <w:vAlign w:val="bottom"/>
          </w:tcPr>
          <w:p>
            <w:pPr>
              <w:spacing w:after="0"/>
              <w:rPr>
                <w:sz w:val="16"/>
                <w:szCs w:val="16"/>
                <w:color w:val="auto"/>
              </w:rPr>
            </w:pPr>
          </w:p>
        </w:tc>
        <w:tc>
          <w:tcPr>
            <w:tcW w:w="6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Feb 1,</w:t>
            </w:r>
          </w:p>
        </w:tc>
        <w:tc>
          <w:tcPr>
            <w:tcW w:w="180" w:type="dxa"/>
            <w:vAlign w:val="bottom"/>
          </w:tcPr>
          <w:p>
            <w:pPr>
              <w:spacing w:after="0"/>
              <w:rPr>
                <w:sz w:val="16"/>
                <w:szCs w:val="16"/>
                <w:color w:val="auto"/>
              </w:rPr>
            </w:pPr>
          </w:p>
        </w:tc>
        <w:tc>
          <w:tcPr>
            <w:tcW w:w="7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Jan. 31,</w:t>
            </w:r>
          </w:p>
        </w:tc>
        <w:tc>
          <w:tcPr>
            <w:tcW w:w="300" w:type="dxa"/>
            <w:vAlign w:val="bottom"/>
          </w:tcPr>
          <w:p>
            <w:pPr>
              <w:spacing w:after="0"/>
              <w:rPr>
                <w:sz w:val="16"/>
                <w:szCs w:val="16"/>
                <w:color w:val="auto"/>
              </w:rPr>
            </w:pPr>
          </w:p>
        </w:tc>
        <w:tc>
          <w:tcPr>
            <w:tcW w:w="5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Feb 1,</w:t>
            </w:r>
          </w:p>
        </w:tc>
        <w:tc>
          <w:tcPr>
            <w:tcW w:w="160" w:type="dxa"/>
            <w:vAlign w:val="bottom"/>
          </w:tcPr>
          <w:p>
            <w:pPr>
              <w:spacing w:after="0"/>
              <w:rPr>
                <w:sz w:val="16"/>
                <w:szCs w:val="16"/>
                <w:color w:val="auto"/>
              </w:rPr>
            </w:pPr>
          </w:p>
        </w:tc>
        <w:tc>
          <w:tcPr>
            <w:tcW w:w="7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Jan. 31,</w:t>
            </w:r>
          </w:p>
        </w:tc>
        <w:tc>
          <w:tcPr>
            <w:tcW w:w="220" w:type="dxa"/>
            <w:vAlign w:val="bottom"/>
          </w:tcPr>
          <w:p>
            <w:pPr>
              <w:spacing w:after="0"/>
              <w:rPr>
                <w:sz w:val="16"/>
                <w:szCs w:val="16"/>
                <w:color w:val="auto"/>
              </w:rPr>
            </w:pPr>
          </w:p>
        </w:tc>
        <w:tc>
          <w:tcPr>
            <w:tcW w:w="6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Feb 1,</w:t>
            </w:r>
          </w:p>
        </w:tc>
      </w:tr>
      <w:tr>
        <w:trPr>
          <w:trHeight w:val="23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other intangibles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26,214</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6,611</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6,471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33,225</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30,710</w:t>
            </w:r>
          </w:p>
        </w:tc>
      </w:tr>
      <w:tr>
        <w:trPr>
          <w:trHeight w:val="21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(4,958)</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(5,358)</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r>
      <w:tr>
        <w:trPr>
          <w:trHeight w:val="249"/>
        </w:trPr>
        <w:tc>
          <w:tcPr>
            <w:tcW w:w="4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26,214</w:t>
            </w:r>
          </w:p>
        </w:tc>
        <w:tc>
          <w:tcPr>
            <w:tcW w:w="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1,653</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2,220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27,867</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26,059</w:t>
            </w:r>
          </w:p>
        </w:tc>
      </w:tr>
    </w:tbl>
    <w:p>
      <w:pPr>
        <w:spacing w:after="0" w:line="160"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a $23.0 million trademark at January 31, 2026 related to Schuh Group and $3.2 million related to Journeys Group.</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$5.1 million for the Togast acquisition.</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Backlog for Togast.</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amortization of intangibles was $0.6 million for each of Fiscal 2026, Fiscal 2025 and Fiscal 2024. Currently, amortization of intangibles is expected to be $0.6 million for each of the next two years, $0.5 million in three years and no intangible amortization expected after Fiscal 2029.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Impairments and Other Charges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 impairment charges are reflected as a reduction of the net carrying value of property and equipment and operating lease right of use assets, in asset impairments and other, net in the accompanying Consolidated Statements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recorded a pretax charge to earnings of $8.1 million in Fiscal 2026, including $3.9 million for store restructuring, $2.9 million for costs associated with information technology transformation, $0.7 million for asset impairments and $0.6 million for severance.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 pretax charge to earnings of $3.2 million in Fiscal 2025, including $1.8 million for severance and $1.4 million for asset impairments.</w:t>
      </w:r>
    </w:p>
    <w:p>
      <w:pPr>
        <w:spacing w:after="0" w:line="1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recorded a pretax charge to earnings of $1.8 million in Fiscal 2024, including $1.1 million for severance and $1.0 million for asset impairments, partially offset by a $0.3 million insurance gain.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Inventories</w:t>
            </w:r>
          </w:p>
        </w:tc>
        <w:tc>
          <w:tcPr>
            <w:tcW w:w="2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2"/>
        </w:trPr>
        <w:tc>
          <w:tcPr>
            <w:tcW w:w="3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6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February 1, 2025</w:t>
            </w:r>
          </w:p>
        </w:tc>
      </w:tr>
      <w:tr>
        <w:trPr>
          <w:trHeight w:val="21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32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68,976</w:t>
            </w:r>
          </w:p>
        </w:tc>
        <w:tc>
          <w:tcPr>
            <w:tcW w:w="66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82,784</w:t>
            </w:r>
          </w:p>
        </w:tc>
      </w:tr>
      <w:tr>
        <w:trPr>
          <w:trHeight w:val="216"/>
        </w:trPr>
        <w:tc>
          <w:tcPr>
            <w:tcW w:w="3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3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364,902</w:t>
            </w: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342,440</w:t>
            </w:r>
          </w:p>
        </w:tc>
      </w:tr>
      <w:tr>
        <w:trPr>
          <w:trHeight w:val="249"/>
        </w:trPr>
        <w:tc>
          <w:tcPr>
            <w:tcW w:w="37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2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433,878</w:t>
            </w:r>
          </w:p>
        </w:tc>
        <w:tc>
          <w:tcPr>
            <w:tcW w:w="66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425,224</w:t>
            </w:r>
          </w:p>
        </w:tc>
      </w:tr>
      <w:tr>
        <w:trPr>
          <w:trHeight w:val="629"/>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62</w:t>
            </w: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and Other Current Accrued Liabilities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February 1, 2025</w:t>
            </w: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4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7,126</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7,050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24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76,166</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74,390</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equipment</w:t>
            </w:r>
          </w:p>
        </w:tc>
        <w:tc>
          <w:tcPr>
            <w:tcW w:w="2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111,458</w:t>
            </w:r>
          </w:p>
        </w:tc>
        <w:tc>
          <w:tcPr>
            <w:tcW w:w="4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102,694</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117,421</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107,141</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133,880</w:t>
            </w:r>
          </w:p>
        </w:tc>
        <w:tc>
          <w:tcPr>
            <w:tcW w:w="4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128,388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8,340</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10,362</w:t>
            </w:r>
          </w:p>
        </w:tc>
      </w:tr>
      <w:tr>
        <w:trPr>
          <w:trHeight w:val="216"/>
        </w:trPr>
        <w:tc>
          <w:tcPr>
            <w:tcW w:w="5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Improvements to leased property</w:t>
            </w:r>
          </w:p>
        </w:tc>
        <w:tc>
          <w:tcPr>
            <w:tcW w:w="24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358,652</w:t>
            </w:r>
          </w:p>
        </w:tc>
        <w:tc>
          <w:tcPr>
            <w:tcW w:w="4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345,370</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4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813,043</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775,395</w:t>
            </w:r>
          </w:p>
        </w:tc>
      </w:tr>
      <w:tr>
        <w:trPr>
          <w:trHeight w:val="216"/>
        </w:trPr>
        <w:tc>
          <w:tcPr>
            <w:tcW w:w="5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(575,387)</w:t>
            </w:r>
          </w:p>
        </w:tc>
        <w:tc>
          <w:tcPr>
            <w:tcW w:w="4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(547,373)</w:t>
            </w:r>
          </w:p>
        </w:tc>
      </w:tr>
      <w:tr>
        <w:trPr>
          <w:trHeight w:val="210"/>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237,656</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228,022</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88"/>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February 1, 2025</w:t>
            </w: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33,220</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28,081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taxes</w:t>
            </w:r>
          </w:p>
        </w:tc>
        <w:tc>
          <w:tcPr>
            <w:tcW w:w="2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13,159</w:t>
            </w:r>
          </w:p>
        </w:tc>
        <w:tc>
          <w:tcPr>
            <w:tcW w:w="40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10,061</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2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1,323</w:t>
            </w:r>
          </w:p>
        </w:tc>
        <w:tc>
          <w:tcPr>
            <w:tcW w:w="4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1,287</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discontinued operations</w:t>
            </w:r>
          </w:p>
        </w:tc>
        <w:tc>
          <w:tcPr>
            <w:tcW w:w="2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40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5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52,276</w:t>
            </w:r>
          </w:p>
        </w:tc>
        <w:tc>
          <w:tcPr>
            <w:tcW w:w="4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47,671</w:t>
            </w:r>
          </w:p>
        </w:tc>
      </w:tr>
      <w:tr>
        <w:trPr>
          <w:trHeight w:val="210"/>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Current Accrued Liabilities</w:t>
            </w:r>
          </w:p>
        </w:tc>
        <w:tc>
          <w:tcPr>
            <w:tcW w:w="2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100,391</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87,695</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values of our financial instruments at January 31, 2026 and February 1, 2025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February 1, 2025</w:t>
            </w:r>
          </w:p>
        </w:tc>
        <w:tc>
          <w:tcPr>
            <w:tcW w:w="680" w:type="dxa"/>
            <w:vAlign w:val="bottom"/>
            <w:tcBorders>
              <w:bottom w:val="single" w:sz="8" w:color="auto"/>
            </w:tcBorders>
          </w:tcPr>
          <w:p>
            <w:pPr>
              <w:spacing w:after="0"/>
              <w:rPr>
                <w:sz w:val="20"/>
                <w:szCs w:val="20"/>
                <w:color w:val="auto"/>
              </w:rPr>
            </w:pPr>
          </w:p>
        </w:tc>
      </w:tr>
      <w:tr>
        <w:trPr>
          <w:trHeight w:val="187"/>
        </w:trPr>
        <w:tc>
          <w:tcPr>
            <w:tcW w:w="3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720" w:type="dxa"/>
            <w:vAlign w:val="bottom"/>
          </w:tcPr>
          <w:p>
            <w:pPr>
              <w:spacing w:after="0"/>
              <w:rPr>
                <w:sz w:val="16"/>
                <w:szCs w:val="16"/>
                <w:color w:val="auto"/>
              </w:rPr>
            </w:pPr>
          </w:p>
        </w:tc>
        <w:tc>
          <w:tcPr>
            <w:tcW w:w="6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420" w:type="dxa"/>
            <w:vAlign w:val="bottom"/>
          </w:tcPr>
          <w:p>
            <w:pPr>
              <w:spacing w:after="0"/>
              <w:rPr>
                <w:sz w:val="16"/>
                <w:szCs w:val="16"/>
                <w:color w:val="auto"/>
              </w:rPr>
            </w:pPr>
          </w:p>
        </w:tc>
        <w:tc>
          <w:tcPr>
            <w:tcW w:w="1680" w:type="dxa"/>
            <w:vAlign w:val="bottom"/>
          </w:tcPr>
          <w:p>
            <w:pPr>
              <w:jc w:val="right"/>
              <w:ind w:right="750"/>
              <w:spacing w:after="0" w:line="188" w:lineRule="exact"/>
              <w:rPr>
                <w:sz w:val="20"/>
                <w:szCs w:val="20"/>
                <w:color w:val="auto"/>
              </w:rPr>
            </w:pPr>
            <w:r>
              <w:rPr>
                <w:rFonts w:ascii="Times New Roman" w:cs="Times New Roman" w:eastAsia="Times New Roman" w:hAnsi="Times New Roman"/>
                <w:sz w:val="18"/>
                <w:szCs w:val="18"/>
                <w:color w:val="auto"/>
              </w:rPr>
              <w:t>Carrying</w:t>
            </w:r>
          </w:p>
        </w:tc>
        <w:tc>
          <w:tcPr>
            <w:tcW w:w="68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Fair</w:t>
            </w:r>
          </w:p>
        </w:tc>
      </w:tr>
      <w:tr>
        <w:trPr>
          <w:trHeight w:val="238"/>
        </w:trPr>
        <w:tc>
          <w:tcPr>
            <w:tcW w:w="38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Amount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r>
      <w:tr>
        <w:trPr>
          <w:trHeight w:val="250"/>
        </w:trPr>
        <w:tc>
          <w:tcPr>
            <w:tcW w:w="3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revolver borrowings</w:t>
            </w:r>
          </w:p>
        </w:tc>
        <w:tc>
          <w:tcPr>
            <w:tcW w:w="2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3,379</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3,362</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fair values were determined using a discount cash flow analysis based on current market interest rates for similar types of financial instruments and would be classified in Level 2 within the fair value hierarchy.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Carrying amounts reported on our Consolidated Balance Sheets for cash, receivables and accounts payable approximate fair value due to the short-term maturity of these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31, 2026 and February 1, 2025, we have $3.9 million and $9.9 million, respectively, of long-lived assets held and used which were measured using Level 3 inputs within the fair value hierarchy.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and February 1, 2025, we have $7.0 million and $6.7 million, respectively, of investments which were measured using Level 1 inputs within the fair value hierarchy.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January 16, 2026, we entered into the Fourth Amendment (the "Fourth Amendment") to the Fourth Amended and Restated Credit Agreement </w:t>
      </w:r>
      <w:r>
        <w:rPr>
          <w:rFonts w:ascii="Times New Roman" w:cs="Times New Roman" w:eastAsia="Times New Roman" w:hAnsi="Times New Roman"/>
          <w:sz w:val="18"/>
          <w:szCs w:val="18"/>
          <w:color w:val="222222"/>
        </w:rPr>
        <w:t>dated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of January 31, 2018 (as amended, the "Credit Facility" or the "Credit Agreement") by and among us, certain of our subsidiaries, the lenders party thereto and Bank of America, N.A. as agent, to, </w:t>
      </w:r>
      <w:r>
        <w:rPr>
          <w:rFonts w:ascii="Times New Roman" w:cs="Times New Roman" w:eastAsia="Times New Roman" w:hAnsi="Times New Roman"/>
          <w:sz w:val="18"/>
          <w:szCs w:val="18"/>
          <w:color w:val="000000"/>
        </w:rPr>
        <w:t>among other things, extend the maturity date to January 16, 2031. In addition, the Fourth Amendment (i) makes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conforming changes to replace the Canadian Dollar Offered Rate with the Canadian Overnight Repo Rate Average ("CORRA") with respect to Canadian borrowings, and (ii) removes the credit spread adjustment and thereby reduces the Term SOFR (as defined in the Credit Agreement) interest rate with respect to domestic borrowings. The Fourth Amendment also adjusts the pricing grid for the Applicable Margin (as defined in the Credit Agreement) on our revolving credit facility by adding a new level III, with margins continuing to be based on average daily excess availability. The Total Commitments (as defined in the Credit Agreement) for the revolving loans remains at $332.5 million.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Facility continues to be secured by certain assets of the Company and certain subsidiaries of the Company, including accounts receivable, inventory, payment intangibles and deposit accounts. Equity interests, certain equipment, intellectual property and most leasehold interests are specifically excluded. The Credit Facility continues to provide for the borrowing base to include real estate as those assets are added or maintained as collateral and contains customary real estate covenants. As of January 31, 2026, we had outstanding revolver borrowings under the Credit Facility of $3.4 million (CAD $4.6 million) related to GCO Canada ULC. We had outstanding letters of credit of $6.2 million under the Credit Facility at January 31, 2026. These letters of credit support insurance and lease indemnifications.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Deferred financing costs incurred in Fiscal 2026 of $1.6 million related to the amended Credit Facility were capitalized and are being amortized over the term of the new agreement. The remaining balance of deferred financing costs incurred related to the previous Credit Facility are being amortized over the term of the new agreement. These costs are included in other noncurrent assets on the Consolidated Balance Sheets.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Facility is a revolving credit facility in the aggregate principal amount of $332.5 million, including (i) for the Company and other borrowers formed in the U.S., a $70.0 million sublimit for the issuance of letters of credit and a domestic swingline subfacility of up to $45.0 million, (ii) for GCO Canada ULC,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($332.5 million or, if increased as described above, up to $532.5 million) or the "Borrowing Base", as defined in the Credit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a commitment fee on the actual daily unused portions of the Credit Facility at a rate of 0.25% per annum.</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also permits us to incur senior debt in an amount up to the greater of $500.0 million or an amount that would not cause our ratio of consolidated total indebtedness to consolidated EBITDA to exceed 5.0:1.0 as of the date of incurrence (and after giving effect to any such incurrence), provided that certain terms and conditions are met.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does not require us to comply with any financial covenants unless Excess Availability, as defined in the Credit Agreement, is less than the greater of $22.5 million or 10% of the loan cap. If and during such time as Excess Availability is less than the greater of $22.5 million or 10% of the loan cap, the Credit Facility requires us to have a fixed charge coverage ratio of not less than 1.0:1.0. Excess Availability was $305.7 million at January 31, 2026.</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Facility contains customary events of default, which if any of them occurs, would permit or require the principal of and interest on the Credit Facility to be declared due and payable as applicable.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as of January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Facility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 2022, Schuh entered into the Facility Agreement with Lloyds for a £19.0 million revolving credit facility. The Facility Agreement was extended through February 28, 2026 and bears interest at 2.35% over the SONIA Rate. The Facility Agreement was amended during the first quarter of Fiscal 2027 on February 20, 2026 to, among other things, increase the commitment of the credit facility to £20.0 million, extend the maturity date to August 20, 2027 and it will bear interest at 1.75% over the SONIA Rate. This Facility Agreement replaced Schuh's Facility Letter.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 As of January 31, 2026, we did not have any borrowings under the Schuh Facility Agreement and were in compliance with all the relevant terms and conditions of the Facility Agreement as of January 31,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our office space and all of our retail store locations, transportation equipment and other equipment under various noncancelable operating leases. The leases have varying terms and expire at various dates through 2037. The store leases in the United States, Puerto Rico and Canada typically have initial terms of approximately 10 years. The store leases in the U.K. and the ROI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We evaluate renewal options and break options at lease inception and on an ongoing basis, and include renewal options and break options that we are reasonably certain to exercise in our expected lease terms for calculations of our right-of-use assets and lease liabilities. Approximately 3% of our leases contain renewal options. Our lease agreements do not contain any material residual value guarantees or material restrictive covenants.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 The table below presents the components of lease cost for operating leases for the years ended January 31, 2026, February 1, 2025 and February 3,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Fiscal 2025</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Fiscal 2024</w:t>
            </w: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169,964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164,355</w:t>
            </w: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8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14,756</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14,582</w:t>
            </w:r>
          </w:p>
        </w:tc>
      </w:tr>
      <w:tr>
        <w:trPr>
          <w:trHeight w:val="216"/>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2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0"/>
        </w:trPr>
        <w:tc>
          <w:tcPr>
            <w:tcW w:w="4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28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184,572</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169,007</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178,764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maturities of undiscounted cash flows to our operating lease liabilities recorded on the Consolidated Balance Sheets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3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1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146,527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1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107,566</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80,951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1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68,815</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3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60,093</w:t>
            </w:r>
          </w:p>
        </w:tc>
      </w:tr>
      <w:tr>
        <w:trPr>
          <w:trHeight w:val="21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164,066</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3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628,018</w:t>
            </w:r>
          </w:p>
        </w:tc>
      </w:tr>
      <w:tr>
        <w:trPr>
          <w:trHeight w:val="21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3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(110,014)</w:t>
            </w:r>
          </w:p>
        </w:tc>
      </w:tr>
      <w:tr>
        <w:trPr>
          <w:trHeight w:val="249"/>
        </w:trPr>
        <w:tc>
          <w:tcPr>
            <w:tcW w:w="6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Present Value of Operating Lease Liabilities</w:t>
            </w:r>
          </w:p>
        </w:tc>
        <w:tc>
          <w:tcPr>
            <w:tcW w:w="316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518,004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weighted-average remaining lease term and weighted-average discount rate for operating leases as of January 31, 2026 and February 1, 2025 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February 1, 2025</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00" w:type="dxa"/>
            <w:vAlign w:val="bottom"/>
            <w:tcBorders>
              <w:top w:val="single" w:sz="8" w:color="auto"/>
            </w:tcBorders>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6.4 years</w:t>
            </w:r>
          </w:p>
        </w:tc>
        <w:tc>
          <w:tcPr>
            <w:tcW w:w="1460" w:type="dxa"/>
            <w:vAlign w:val="bottom"/>
            <w:tcBorders>
              <w:top w:val="single" w:sz="8" w:color="auto"/>
            </w:tcBorders>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98"/>
              </w:rPr>
              <w:t>5.8 years</w:t>
            </w:r>
          </w:p>
        </w:tc>
        <w:tc>
          <w:tcPr>
            <w:tcW w:w="20" w:type="dxa"/>
            <w:vAlign w:val="bottom"/>
          </w:tcPr>
          <w:p>
            <w:pPr>
              <w:spacing w:after="0"/>
              <w:rPr>
                <w:sz w:val="18"/>
                <w:szCs w:val="18"/>
                <w:color w:val="auto"/>
              </w:rPr>
            </w:pPr>
          </w:p>
        </w:tc>
      </w:t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5.8%</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r>
    </w:tbl>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31, 2026, we have additional operating leases and lease renewals that have not yet commenced with estimated right of use liabilities of $55.8 million. These leases will commence in Fiscal 2027 and Fiscal 2028 with lease terms of 1 to 10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Non-Redeemable Preferred Stock</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Employees’ Subordinated Convertible</w:t>
            </w:r>
          </w:p>
        </w:tc>
        <w:tc>
          <w:tcPr>
            <w:tcW w:w="1260" w:type="dxa"/>
            <w:vAlign w:val="bottom"/>
            <w:shd w:val="clear" w:color="auto" w:fill="CFF0FC"/>
          </w:tcPr>
          <w:p>
            <w:pPr>
              <w:spacing w:after="0"/>
              <w:rPr>
                <w:sz w:val="16"/>
                <w:szCs w:val="16"/>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27,830</w:t>
            </w:r>
          </w:p>
        </w:tc>
        <w:tc>
          <w:tcPr>
            <w:tcW w:w="1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4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27,845</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27,845</w:t>
            </w: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52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Stated Value of Issued Shares</w:t>
            </w: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5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198"/>
        </w:trPr>
        <w:tc>
          <w:tcPr>
            <w:tcW w:w="30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Employees’ Preferred Stock Purchase</w:t>
            </w:r>
          </w:p>
        </w:tc>
        <w:tc>
          <w:tcPr>
            <w:tcW w:w="1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w:t>
            </w:r>
          </w:p>
        </w:tc>
        <w:tc>
          <w:tcPr>
            <w:tcW w:w="12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7"/>
        </w:trPr>
        <w:tc>
          <w:tcPr>
            <w:tcW w:w="30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Non-Redeemable Preferred</w:t>
            </w: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Subordinated Convertible Preferred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Serial Preferred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stock-$1 par value. Authorized: 80,000,000 shares; issued: January 31, 2026 – 11,277,257 shares; February 1, 2025 – 11,773,352 shares. There were 488,464 shares held in treasury as of January 31, 2026 and February 1, 2025, respectively. Each outstanding share is entitled to one vote. At January 31, 2026, common shares were reserved as follows: 27,830 shares for conversion of preferred stock and 766,794 shares for the 2020 Plan.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January 31, 2026, shares of common stock were issued as follows: (i) 143,178 restricted shares as part of the 2020 Plan; (ii) 43,144 shares to directors in exchange for their services; (iii) 64,529 shares withheld for taxes on restricted stock vested in Fiscal 2026; (iv) 13,372 shares of restricted stock forfeited in Fiscal 2026 and (v) 15 shares were issued in miscellaneous conversions of Employees’ Subordinated Convertible Preferred Stock. In addition, the Company repurchased and retired 604,531 shares of common stock at an average weighted market price of $20.79 for a total of $12.6 million.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February 1, 2025, shares of common stock were issued as follows: (i) 301,222 restricted shares as part of the 2020 Plan; (ii) 36,320 shares to directors in exchange for their services; (iii) 89,942 shares withheld for taxes on restricted stock vested in Fiscal 2025; and (iv) 35,408 shares of restricted stock forfeited in Fiscal 2025. In addition, we repurchased and retired 399,633 shares of common stock at an average weighted market price of $24.49 for a total of $9.8 million.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February 3, 2024, shares of common stock were issued as follows: (i) 257,744 restricted shares as part of the 2020 Plan; (ii) 38,284 shares to directors in exchange for their services; (iii) 86,179 shares withheld for taxes on restricted stock vested in Fiscal 2024; (iv) 76,633 shares of restricted stock forfeited in Fiscal 2024; and (v) 90 shares were issued in miscellaneous conversions of Employees’ Subordinated Convertible Preferred Stock. In addition, we repurchased and retired 1,261,295 shares of common stock at an average weighted market price of $25.39 for a total of $32.0 million.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Dividends and Redemptions of Capital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no dividends may be paid and no shares of capital stock acquired for value if there are dividend or redemption arrearages on any senior or equally ranked stock. We do not pay dividends and therefore, there are no redemption arrearages. Exchanges of subordinated serial preferred stock for common stock or other stock junior to such exchanged stock are permitted.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earnings (loss) from continuing operations before income taxes is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19,346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(6,755)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10,784</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22,085</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Earnings (Loss) from Continuing Operations before Income Taxes</w:t>
            </w:r>
          </w:p>
        </w:tc>
        <w:tc>
          <w:tcPr>
            <w:tcW w:w="920" w:type="dxa"/>
            <w:vAlign w:val="bottom"/>
            <w:tcBorders>
              <w:bottom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12,591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9,308</w:t>
            </w:r>
          </w:p>
        </w:tc>
        <w:tc>
          <w:tcPr>
            <w:tcW w:w="5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0" w:type="dxa"/>
            <w:vAlign w:val="bottom"/>
          </w:tcPr>
          <w:p>
            <w:pPr>
              <w:spacing w:after="0"/>
              <w:rPr>
                <w:sz w:val="1"/>
                <w:szCs w:val="1"/>
                <w:color w:val="auto"/>
              </w:rPr>
            </w:pPr>
          </w:p>
        </w:tc>
      </w:tr>
      <w:tr>
        <w:trPr>
          <w:trHeight w:val="628"/>
        </w:trPr>
        <w:tc>
          <w:tcPr>
            <w:tcW w:w="6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Income Taxes, Continued</w:t>
            </w: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from continuing operations is comprised of the following:</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1,711</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(206)</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2,007</w:t>
            </w: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648</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1,100</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1,346</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4,818</w:t>
            </w: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20,226</w:t>
            </w: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(1,151)</w:t>
            </w:r>
          </w:p>
        </w:tc>
        <w:tc>
          <w:tcPr>
            <w:tcW w:w="2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515</w:t>
            </w:r>
          </w:p>
        </w:tc>
        <w:tc>
          <w:tcPr>
            <w:tcW w:w="5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6,017</w:t>
            </w: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7,438</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(1,208)</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26,758</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Related to Income Taxes</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(931)</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(3,062)</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203</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gridSpan w:val="2"/>
            <w:shd w:val="clear" w:color="auto" w:fill="CAEDFB"/>
          </w:tcPr>
          <w:p>
            <w:pPr>
              <w:spacing w:after="0"/>
              <w:rPr>
                <w:sz w:val="20"/>
                <w:szCs w:val="20"/>
                <w:color w:val="auto"/>
              </w:rPr>
            </w:pPr>
            <w:r>
              <w:rPr>
                <w:rFonts w:ascii="Times New Roman" w:cs="Times New Roman" w:eastAsia="Times New Roman" w:hAnsi="Times New Roman"/>
                <w:sz w:val="18"/>
                <w:szCs w:val="18"/>
                <w:color w:val="auto"/>
              </w:rPr>
              <w:t>Total Net Interest Related to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(936)</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(2,859)</w:t>
            </w: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191"/>
        </w:trPr>
        <w:tc>
          <w:tcPr>
            <w:tcW w:w="6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Tax Expense Recognized for Unrecognized Tax Benefits (“UTBS”) in the Statement of</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Tax Expense Recognized for UTBS in the Statement of Operations</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(Benefit) – Continuing Operations</w:t>
            </w:r>
          </w:p>
        </w:tc>
        <w:tc>
          <w:tcPr>
            <w:tcW w:w="640" w:type="dxa"/>
            <w:vAlign w:val="bottom"/>
            <w:tcBorders>
              <w:bottom w:val="single" w:sz="8" w:color="auto"/>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28,820</w:t>
            </w:r>
          </w:p>
        </w:tc>
        <w:tc>
          <w:tcPr>
            <w:tcW w:w="5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629"/>
        </w:trPr>
        <w:tc>
          <w:tcPr>
            <w:tcW w:w="64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United States federal statutory rate to our effective tax rate from continuing operations for Fiscal 2026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Effective</w:t>
            </w:r>
          </w:p>
        </w:tc>
      </w:tr>
      <w:tr>
        <w:trPr>
          <w:trHeight w:val="238"/>
        </w:trPr>
        <w:tc>
          <w:tcPr>
            <w:tcW w:w="6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Income Tax</w:t>
            </w:r>
          </w:p>
        </w:tc>
      </w:tr>
      <w:tr>
        <w:trPr>
          <w:trHeight w:val="216"/>
        </w:trPr>
        <w:tc>
          <w:tcPr>
            <w:tcW w:w="6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Rate %</w:t>
            </w: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12,591</w:t>
            </w:r>
          </w:p>
        </w:tc>
        <w:tc>
          <w:tcPr>
            <w:tcW w:w="1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6"/>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Statutory U.S. income tax rate</w:t>
            </w:r>
          </w:p>
        </w:tc>
        <w:tc>
          <w:tcPr>
            <w:tcW w:w="2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37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using statutory U.S. income tax rate</w:t>
            </w:r>
          </w:p>
        </w:tc>
        <w:tc>
          <w:tcPr>
            <w:tcW w:w="206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2,644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68"/>
        </w:trPr>
        <w:tc>
          <w:tcPr>
            <w:tcW w:w="64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2060" w:type="dxa"/>
            <w:vAlign w:val="bottom"/>
          </w:tcPr>
          <w:p>
            <w:pPr>
              <w:spacing w:after="0"/>
              <w:rPr>
                <w:sz w:val="23"/>
                <w:szCs w:val="23"/>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508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U.K.:</w:t>
            </w: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Statutory rate difference between U.K. and U.S.</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(239)</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6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allowance</w:t>
            </w:r>
          </w:p>
        </w:tc>
        <w:tc>
          <w:tcPr>
            <w:tcW w:w="20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511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Nontaxable branch income</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(419)</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6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(373)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9"/>
        </w:trPr>
        <w:tc>
          <w:tcPr>
            <w:tcW w:w="646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Subtotal U.K.</w:t>
            </w:r>
          </w:p>
        </w:tc>
        <w:tc>
          <w:tcPr>
            <w:tcW w:w="20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(520)</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0"/>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ROI:</w:t>
            </w: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Statutory rate difference between ROI and U.S.</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6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allowance</w:t>
            </w:r>
          </w:p>
        </w:tc>
        <w:tc>
          <w:tcPr>
            <w:tcW w:w="20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416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646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0"/>
        </w:trPr>
        <w:tc>
          <w:tcPr>
            <w:tcW w:w="6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Subtotal ROI</w:t>
            </w:r>
          </w:p>
        </w:tc>
        <w:tc>
          <w:tcPr>
            <w:tcW w:w="2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665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9"/>
        </w:trPr>
        <w:tc>
          <w:tcPr>
            <w:tcW w:w="64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(55)</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0"/>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foreign tax effects</w:t>
            </w:r>
          </w:p>
        </w:tc>
        <w:tc>
          <w:tcPr>
            <w:tcW w:w="2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6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Work opportunity tax credit</w:t>
            </w:r>
          </w:p>
        </w:tc>
        <w:tc>
          <w:tcPr>
            <w:tcW w:w="206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(4,061)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Limitation on excess compensation</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820</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6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0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237</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Change in UTBs</w:t>
            </w:r>
          </w:p>
        </w:tc>
        <w:tc>
          <w:tcPr>
            <w:tcW w:w="20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6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&amp; penalties - income tax</w:t>
            </w:r>
          </w:p>
        </w:tc>
        <w:tc>
          <w:tcPr>
            <w:tcW w:w="206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(735)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646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32"/>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Benefit/Effective Tax Rate</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(685)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-3914140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Texas makes up the majority of the state tax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United States federal statutory rate to our effective tax rate from continuing operations for Fiscal 2025 and Fiscal 2024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20" w:type="dxa"/>
            <w:vAlign w:val="bottom"/>
            <w:tcBorders>
              <w:bottom w:val="single" w:sz="8" w:color="auto"/>
            </w:tcBorders>
          </w:tcPr>
          <w:p>
            <w:pPr>
              <w:spacing w:after="0"/>
              <w:rPr>
                <w:sz w:val="18"/>
                <w:szCs w:val="18"/>
                <w:color w:val="auto"/>
              </w:rPr>
            </w:pPr>
          </w:p>
        </w:tc>
      </w:tr>
      <w:tr>
        <w:trPr>
          <w:trHeight w:val="209"/>
        </w:trPr>
        <w:tc>
          <w:tcPr>
            <w:tcW w:w="75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 S. federal statutory rate of tax</w:t>
            </w:r>
          </w:p>
        </w:tc>
        <w:tc>
          <w:tcPr>
            <w:tcW w:w="260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21.00%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60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305.14</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(33.57)</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w:t>
            </w:r>
          </w:p>
        </w:tc>
        <w:tc>
          <w:tcPr>
            <w:tcW w:w="260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Credits</w:t>
            </w:r>
          </w:p>
        </w:tc>
        <w:tc>
          <w:tcPr>
            <w:tcW w:w="26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(9.83)</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260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2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11.56</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interest</w:t>
            </w:r>
          </w:p>
        </w:tc>
        <w:tc>
          <w:tcPr>
            <w:tcW w:w="260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(25.99)</w:t>
            </w:r>
          </w:p>
        </w:tc>
        <w:tc>
          <w:tcPr>
            <w:tcW w:w="11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3.70</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(0.75)</w:t>
            </w:r>
          </w:p>
        </w:tc>
      </w:tr>
      <w:tr>
        <w:trPr>
          <w:trHeight w:val="250"/>
        </w:trPr>
        <w:tc>
          <w:tcPr>
            <w:tcW w:w="7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60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309.63%</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r>
    </w:tbl>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4, 2025, H.R. 1, a bill to provide for reconciliation pursuant to title II of H. Con. Res. 14, informally known as the One Big Beautiful Bill Act ("OBBBA"), which includes several measures affecting corporations and other business entities, was signed into law. Among these measures, the OBBBA modifies and permanently extends certain expiring provisions of the 2017 Tax Cuts and Jobs Act (“TCJA”), including the restoration of 100% bonus depreciation, which was scheduled to phase out in 2027 under the TCJA. The OBBBA also permits immediate expensing of research and development expenditures previously capitalized under the TCJA and modifies various components of the international tax framework. The legislation has multiple effective dates, with some provisions taking effect in 2025 and others phased in through 2027.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we recognized effects of the OBBBA during the second quarter of Fiscal 2026 for the provisions enacted at that point in time. For the fiscal year ended January 31, 2026, we had a material decrease in our U.S. jurisdiction to both the current tax liability and the effective income tax rate as a result of the enactment of income tax law changes under the OBBBA and their interaction with our valuation allowance in the U.S. jurisdiction. Including the impact of the OBBBA tax law changes, we recorded an effective income tax rate of (5.4)% in Fiscal 2026.</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a tax on global intangible low-tax income (“GILTI”). GILTI taxes foreign income in excess of deemed return on tangible assets of a foreign corporation and we elected to treat this tax as a period cost. The impact from GILTI was not material for Fiscal 2026, 2025 or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Income Taxes, Continued</w:t>
            </w:r>
          </w:p>
        </w:tc>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and liabilities are comprised of the following:</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February 1, 2025</w:t>
            </w:r>
          </w:p>
        </w:tc>
        <w:tc>
          <w:tcPr>
            <w:tcW w:w="0" w:type="dxa"/>
            <w:vAlign w:val="bottom"/>
          </w:tcPr>
          <w:p>
            <w:pPr>
              <w:spacing w:after="0"/>
              <w:rPr>
                <w:sz w:val="1"/>
                <w:szCs w:val="1"/>
                <w:color w:val="auto"/>
              </w:rPr>
            </w:pPr>
          </w:p>
        </w:tc>
      </w:tr>
      <w:tr>
        <w:trPr>
          <w:trHeight w:val="209"/>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Pensions</w:t>
            </w:r>
          </w:p>
        </w:tc>
        <w:tc>
          <w:tcPr>
            <w:tcW w:w="146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1,047</w:t>
            </w:r>
          </w:p>
        </w:tc>
        <w:tc>
          <w:tcPr>
            <w:tcW w:w="7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4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135,366</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126,744</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 over tax depreciation</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13,487</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14,359</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accruals</w:t>
            </w:r>
          </w:p>
        </w:tc>
        <w:tc>
          <w:tcPr>
            <w:tcW w:w="14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9,201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Uniform capitalization costs</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8,861</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 for discontinued operations and restructurings</w:t>
            </w:r>
          </w:p>
        </w:tc>
        <w:tc>
          <w:tcPr>
            <w:tcW w:w="14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648</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valuation</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1,614</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net operating loss and credit carryforwards</w:t>
            </w:r>
          </w:p>
        </w:tc>
        <w:tc>
          <w:tcPr>
            <w:tcW w:w="14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26,632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23,732</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Allowances for bad debts and notes</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373</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and restricted stock</w:t>
            </w:r>
          </w:p>
        </w:tc>
        <w:tc>
          <w:tcPr>
            <w:tcW w:w="14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2,559</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basis difference</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381</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Identified intangibles</w:t>
            </w:r>
          </w:p>
        </w:tc>
        <w:tc>
          <w:tcPr>
            <w:tcW w:w="14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4,942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7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205,141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194,439</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(71,174)</w:t>
            </w:r>
          </w:p>
        </w:tc>
        <w:tc>
          <w:tcPr>
            <w:tcW w:w="7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(72,355)</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1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133,967</w:t>
            </w: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122,084</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Identified intangibles</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(5,764)</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4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(128,501)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(1,487)</w:t>
            </w: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4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(137,222)</w:t>
            </w:r>
          </w:p>
        </w:tc>
        <w:tc>
          <w:tcPr>
            <w:tcW w:w="7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(126,158)</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(3,255)</w:t>
            </w: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deferred tax balances have been classified in our Consolidated Balance Sheets as follows:</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Fiscal Year Ended</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auto"/>
            </w:tcBorders>
            <w:gridSpan w:val="2"/>
            <w:vMerge w:val="continue"/>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non-current asset</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249</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non-current liability</w:t>
            </w:r>
          </w:p>
        </w:tc>
        <w:tc>
          <w:tcPr>
            <w:tcW w:w="1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(3,504)</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4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(3,255)</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and February 1, 2025, we had net state net operating loss carryforwards of $11.3 million and $11.2 million, respectively. We provided a valuation allowance against these attributes of $11.3 million as of January 31, 2026 and $11.2 million as of February 1, 2025. Expiration of these attributes will occur in various years through 2046.</w:t>
      </w:r>
    </w:p>
    <w:p>
      <w:pPr>
        <w:spacing w:after="0" w:line="1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each of January 31, 2026 and February 1, 2025, we had state tax credits of $0.6 million. We provided a valuation allowance against these attributes of $0.6 million as of each of January 31, 2026 and February 1, 2025 and $0.6 million of these credits have a remaining carryforward period of 5 years or less.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upon evaluation of our worldwide operations and specific plans to remit foreign earnings back to the U.S., we can no longer assert that earnings from certain U.K. subsidiaries will be indefinitely reinvested. As of January 31, 2026, we believe there are no deferred taxes applicable to the accumulated undistributed earnings of those foreign operations beyond the amounts recorded for deemed repatriation of such earnings, as required in the TCJA. The earnings of our remaining foreign operations are indefinitely reinvested, and accordingly, deferred taxes have not been provided. If changes occur in future investment opportunities and plans, those changes will be reflected when known and may result in providing residual U.S. deferred taxes on unremitted international earnings. If our unremitted international earnings were not considered indefinitely reinvested as of January 31, 2026, an immaterial amount of additional deferred taxes would have been provided.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foreign tax credit carryforwards of approximately $2.3 million were available to reduce possible future U.S. income taxes and expire from 2028 to 2031. As a result of the TCJA, we may no longer utilize certain U.S. foreign tax credit carryforwards. A valuation allowance of $2.3 million has been established against these credits.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and February 1, 2025, we had gross foreign net operating loss carryforwards of $54.2 million and $40.0 million, respectively, which have a carryforward period of at least 13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relating to operating loss and credit carryforwards discussed above as of January 31, 2026, consisted of the following:</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January 31, 2026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Valuation</w:t>
            </w:r>
          </w:p>
        </w:tc>
      </w:tr>
      <w:tr>
        <w:trPr>
          <w:trHeight w:val="234"/>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Carryforward</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Benefit Amount</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Allowance</w:t>
            </w: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operating loss carryforwards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183,934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11,301</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State credit carryforwards</w:t>
            </w:r>
          </w:p>
        </w:tc>
        <w:tc>
          <w:tcPr>
            <w:tcW w:w="2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593</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2,331</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U.K. operating loss carryforwards</w:t>
            </w:r>
          </w:p>
        </w:tc>
        <w:tc>
          <w:tcPr>
            <w:tcW w:w="2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7,982</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1,995</w:t>
            </w:r>
          </w:p>
        </w:tc>
        <w:tc>
          <w:tcPr>
            <w:tcW w:w="4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ROI operating loss carryforwards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12,603</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1,575</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Puerto Rico operating loss carryforwards</w:t>
            </w:r>
          </w:p>
        </w:tc>
        <w:tc>
          <w:tcPr>
            <w:tcW w:w="2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 operating loss carryforwards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33,501</w:t>
            </w: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8,788</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10"/>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Benefit Amount/Valuation Allowance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26,632</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(24,588)</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evaluate the need for a valuation allowance against our deferred tax assets. In making this determination, we consider all available evidence, both positive and negative, including but not limited to earnings history, projected future outcomes, industry and market trends and the nature of each of the deferred tax assets in assessing the extent to which a valuation allowance should be applied against our U.S. and foreign deferred tax assets. Based on this assessment, as of January 31, 2026 and February 1, 2025, we provided a total valuation allowance of approximately $71.2 million and $72.4 million, respectively, on U.S. and foreign deferred tax assets for which management has determined it is more likely than not that the deferred tax assets will not be realized.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 – Beginning of Period</w:t>
            </w:r>
          </w:p>
        </w:tc>
        <w:tc>
          <w:tcPr>
            <w:tcW w:w="19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751</w:t>
            </w:r>
          </w:p>
        </w:tc>
        <w:tc>
          <w:tcPr>
            <w:tcW w:w="6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 – Tax Positions in a Prior Period</w:t>
            </w: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6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Increases – Tax Positions in a Prior Period</w:t>
            </w:r>
          </w:p>
        </w:tc>
        <w:tc>
          <w:tcPr>
            <w:tcW w:w="1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541</w:t>
            </w:r>
          </w:p>
        </w:tc>
        <w:tc>
          <w:tcPr>
            <w:tcW w:w="6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a Current Period</w:t>
            </w: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w:t>
            </w:r>
          </w:p>
        </w:tc>
        <w:tc>
          <w:tcPr>
            <w:tcW w:w="3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6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6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 – End of Period</w:t>
            </w:r>
          </w:p>
        </w:tc>
        <w:tc>
          <w:tcPr>
            <w:tcW w:w="19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664</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unrecognized tax benefits which would impact the annual effective tax rate if recognized were $0.7 million as of January 31, 2026, $0.7 million as of February 1, 2025 and $0.8 million as of February 3, 2024. The amount of unrecognized tax benefits may change during the next twelve months but we do not believe the change, if any, will be material to our consolidated financial position or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interest expense and penalties related to the above unrecognized tax benefits within income tax expense on the Consolidated Statements of Operations and it was not material for Fiscal 2026, 2025 or 2024. We recorded $0.9 million, $2.9 million and $2.7 million of interest income within income tax expense, net on the Consolidated Statements of Operations for the years ended January 31, 2026, February 1, 2025 and February 3, 2024, respectively, primarily related to our outstanding federal refund request.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income tax returns in federal and in many state and local jurisdictions as well as foreign jurisdictions. With few exceptions, our state and local income tax returns for fiscal years ended January 28, 2023 and beyond remain subject to examination. In addition, we have subsidiaries in various foreign jurisdictions that have statutes of limitation generally ranging from two to six years. As part of the IRS audit of our federal income tax return for the fiscal year ended January 30, 2021, we have extended the statute of limitations for our fiscal years February 1, 2020, forward through March 31, 2026.</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in the tax laws of foreign jurisdictions may arise as a result of the Pillar Two ("Pillar Two") Global Anti-Base Erosion model rules that were released by the Organization for Economic Cooperation and Development ("OECD") in 2021, which proposed a 15% global minimum tax applied on a country-by country basis. Numerous countries have enacted legislation that implemented certain aspects of Pillar Two effective January 1, 2024, or adopted legislation that became effective in 2025, while additional jurisdictions may enact similar legislation in the future. In January 2026, the OECD issued further administrative guidance introducing a side-by-side framework under Pillar Two, largely exempting U.S.-headquartered companies from the application of Pillar Two. The OECD and implementing countries are expected to continue to make further revisions to their legislation and release additional guidance intended to adopt this side-by-side framework into law in each of the member countries. We recorded $0.3 million of additional tax expense under the Pillar Two rules in Fiscal 2026 and do not expect the Pillar Two rules to have a material impact on our tax provision or effective tax rate in future periods.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January 31, 2026, income taxes paid included a $60.1 million refund, including interest, from the IRS for our Fiscal 2014 to Fiscal 2021 tax periods and $1.1 million for our fiscal 2023 tax period. In addition, income taxes paid included $2.0 million of non-U.S. tax payments and $0.5 million of U.S. state and local income tax payments, for a total net income tax refund of $58.7 million in Fiscal 2026. No income taxes paid to any specific jurisdiction, outside of the IRS refunds, exceeded 5% of the total net income tax refund in Fiscal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Postretirement Benefit Plans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2018, the early retiree medical plan was frozen to new entrants. The grandfathered group of employees as of December 31, 2018 were those that had reached age 45 and had at least 10 years of service with the Company and retire at age 55 or older and have at least 15 years of service with the Company.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date of the assets and liabilities for postretirement medical and life insurance plans is the month-end date that is closest to our fiscal year end.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Balance Sheets include other postretirement medical and life insurance liabilities of $7.0 million and $6.2 million as of January 31, 2026 and February 1, 2025, respectively. The amount recognized in accumulated other comprehensive loss on the Consolidated Balance Sheets was $3.5 million and $2.4 million as of January 31, 2026 and February 1, 2025, respectively. Our Consolidated Statement of Operations includes net periodic benefit cost for other postretirement benefits of $0.6 million, $0.4 million and $0.5 million in Fiscal 2026, 2025 and 2024,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401(k) Savings Plan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Section 401(k) Savings Plan available to all employees in the U.S, including retail employees who have completed 500 hours of service within the first six months of employment, and are age 18 or older. There is a similar savings plan available to U.K. employees.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January 1, 2005, we began matching 100% of each U.S. employee’s contribution of up to 3% of salary and 50% of the next 2% of salary. In addition, for those employees hired before December 31, 2004, who were eligible for our cash balance retirement plan before it was frozen, we annually make an additional contribution of 2.5% of salary to each employee’s account. Participants are immediately vested in their contributions and our matching contribution plus actual earnings thereon. Our contribution expense for matching programs in the U.S. and U.K. was approximately $6.9 million for Fiscal 2026, $7.0 million for Fiscal 2025 and $6.9 million for Fiscal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earnings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number of shares used for earnings per share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Fiscal Year</w:t>
            </w:r>
          </w:p>
        </w:tc>
        <w:tc>
          <w:tcPr>
            <w:tcW w:w="114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in thousands)</w:t>
            </w:r>
          </w:p>
        </w:tc>
        <w:tc>
          <w:tcPr>
            <w:tcW w:w="28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8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 basic</w:t>
            </w:r>
          </w:p>
        </w:tc>
        <w:tc>
          <w:tcPr>
            <w:tcW w:w="2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10,366</w:t>
            </w: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10,836</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11,243</w:t>
            </w:r>
          </w:p>
        </w:tc>
      </w:tr>
      <w:tr>
        <w:trPr>
          <w:trHeight w:val="216"/>
        </w:trPr>
        <w:tc>
          <w:tcPr>
            <w:tcW w:w="5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28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258</w:t>
            </w:r>
          </w:p>
        </w:tc>
        <w:tc>
          <w:tcPr>
            <w:tcW w:w="188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Weighted-average number of shares - diluted</w:t>
            </w:r>
          </w:p>
        </w:tc>
        <w:tc>
          <w:tcPr>
            <w:tcW w:w="2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10,624</w:t>
            </w:r>
          </w:p>
        </w:tc>
        <w:tc>
          <w:tcPr>
            <w:tcW w:w="1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10,836</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11,243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equivalents of 0.2 million shares and 0.1 million shares are excluded for Fiscal 2025 and Fiscal 2024, respectively, due to the loss from continuing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repurchased 604,531 shares during Fiscal 2026 at a cost of $12.6 million or an average of $20.79 per share. We were operating under a $100.0 million repurchase authorization from February 2022. In June 2023, we announced an additional $50.0 million share repurchase authorization. As of January 31, 2026, we have $29.8 million remaining under the expanded share repurchase authorization. We repurchased 399,633 shares during Fiscal 2025 at a cost of $9.8 million or an average of $24.49 per share. We repurchased 1,261,295 shares during Fiscal 2024 at a cost of $32.0 million or an average of $25.39 per share. During the first quarter of Fiscal 2027, through March 25, 2026, we did not repurchase any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share-based compensation plan, the 2020 Plan, which became effective June 25, 2020. Under the 2020 Plan, we may grant non-qualified stock options, RSAs, RSUs and PSUs and other stock-based awards to our key employees, non-employee directors and consultants for up to 1.8 million shares of common stock. Under the 2020 Plan, as amended and restated on June 26, 2025, June 25, 2024 and June 22, 2023, an additional 0.3 million shares, 0.6 million shares and 0.5 million shares of common stock, respectively, were authorized for such grants.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The 2020 Plan replaced our Second Amended and Restated 2009 Equity Incentive Plan (the “2009 Plan”). There will be no future awards under the 2009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Cash Incentive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both the 2009 and 2020 Plans, the exercise price of each stock option equals the market price of our stock on the date of grant, and an option’s maximum term is 10 years. Stock options granted under both plans primarily vest 25% per year over four years. We did not capitalize any share-based compensation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established the 2020 Restricted Cash Incentive Program (the “2020 Program”) in Fiscal 2021 and adopted the 2024 Restricted Cash Program in Fiscal 2025 (the "2024 Program" and collectively with the 2020 Program, the "Programs") to attract and retain executive officers and key employees. Officers and employees of the Company or its subsidiaries are eligible to receive grants under the Programs. Total cash of $5.6 million and $5.0 million was granted in Fiscal 2026 and Fiscal 2025, respectively, under the 2024 Program. Cash granted under the 2024 Program will primarily vest 33% per year over three years. Total cash of $2.7 million was granted in June 2020 under the 2020 Program that vested 25% per year over four years. The compensation paid under the Programs is taxable and subject to applicable tax withholding requirements. Compensation expense recognized in selling and administrative expenses in the accompanying Consolidated Statements of Operations for these cash grants was $2.8 million, $1.6 million and $0.5 million for Fiscal 2026, Fiscal 2025 and Fiscal 2024,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Incentive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Restricted Stock</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2020 Plan permits grants to non-employee directors on such terms as the Board of Directors may approve. Restricted stock awards were made to independent directors on the date of the annual meeting of shareholders in each of Fiscal 2026, 2025 and 2024. The shares granted in each award vested on the earlier of the first anniversary of the grant date and the date of the next annual meeting of shareholders, subject to the director's continued service through that date. The grants for Fiscal 2026, Fiscal 2025 and Fiscal 2024 were valued at $120,000 per director. For Fiscal 2026, 2025 and 2024, we issued 43,144 shares, 36,320 shares and 37,264 shares, respectively, of director restricted stock. In addition, we issued 1,020 shares to newly elected directors in Fiscal 2024. We did not issue any shares to new directors in Fiscal 2026 or Fiscal 2025. We recognized $0.9 million, $0.9 million and $1.0 million of director restricted stock related share-based compensation in Fiscal 2026, 2025 and 2024 in selling and administrative expenses in the accompanying Consolidated Statements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Restricted Stock Awards and Units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2020 Plan, we issued 142,258 shares, 300,157 shares and 256,866 shares of RSAs in Fiscal 2026, 2025 and 2024, respectively. Shares of RSAs issued in Fiscal 2026, 2025 and 2024 primarily vest 33% per year over three years, provided that on such date the grantee has remained continuously employed by the Company since the date of grant. Under the original 2020 Plan, restricted share grants depleted the shares available for future grants at a ratio of 1.72 shares per restricted share granted. Under the 2020 Plan, as amended and restated, restricted share grants made (i) after March 24, 2023 and on or before March 31, 2024, deplete the shares available for future grants at a ratio of 1.52 shares per restricted share granted, (ii) after March 31, 2024 and on or before April 15, 2025, deplete shares available for future grants at a ratio of 1.35 shares per restricted share granted and (iii) after April 15, 2025 deplete the shares available for future grants at a ratio of 1.51 shares per restricted share granted.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issued 920, 1,065 and 878 RSUs in Fiscal 2026, 2025 and 2024, respectively, to certain employees at no cost that vest over three years. The fair value of RSAs and RSUs is charged against income as compensation expense over the vesting period. Compensation expense recognized in selling and administrative expenses in the accompanying Consolidated Statements of Operations for these shares was $8.7 million, $10.7 million and $12.6 million for Fiscal 2026, 2025 and 2024,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status of our nonvested shares of our RSAs as of January 31, 2026 is presented below:</w:t>
            </w: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16"/>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Nonvested Restricted Stock Awards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Grant-Date</w:t>
            </w:r>
          </w:p>
        </w:tc>
        <w:tc>
          <w:tcPr>
            <w:tcW w:w="0" w:type="dxa"/>
            <w:vAlign w:val="bottom"/>
          </w:tcPr>
          <w:p>
            <w:pPr>
              <w:spacing w:after="0"/>
              <w:rPr>
                <w:sz w:val="1"/>
                <w:szCs w:val="1"/>
                <w:color w:val="auto"/>
              </w:rPr>
            </w:pPr>
          </w:p>
        </w:tc>
      </w:tr>
      <w:tr>
        <w:trPr>
          <w:trHeight w:val="234"/>
        </w:trPr>
        <w:tc>
          <w:tcPr>
            <w:tcW w:w="792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28, 2023</w:t>
            </w:r>
          </w:p>
        </w:tc>
        <w:tc>
          <w:tcPr>
            <w:tcW w:w="15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689,145</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256,866</w:t>
            </w:r>
          </w:p>
        </w:tc>
        <w:tc>
          <w:tcPr>
            <w:tcW w:w="3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(210,757)</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(86,179)</w:t>
            </w:r>
          </w:p>
        </w:tc>
        <w:tc>
          <w:tcPr>
            <w:tcW w:w="3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(76,633)</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Nonvested at February 3, 2024</w:t>
            </w: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572,442</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300,157</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(216,025)</w:t>
            </w:r>
          </w:p>
        </w:tc>
        <w:tc>
          <w:tcPr>
            <w:tcW w:w="3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(89,942)</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(35,408)</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February 1, 2025</w:t>
            </w:r>
          </w:p>
        </w:tc>
        <w:tc>
          <w:tcPr>
            <w:tcW w:w="15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531,224</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142,258</w:t>
            </w:r>
          </w:p>
        </w:tc>
        <w:tc>
          <w:tcPr>
            <w:tcW w:w="3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18.28</w:t>
            </w: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(151,611)</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41.35</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Withheld for federal taxes</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(64,529)</w:t>
            </w:r>
          </w:p>
        </w:tc>
        <w:tc>
          <w:tcPr>
            <w:tcW w:w="3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41.85</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(13,372)</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43.33</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Nonvested at January 31, 2026</w:t>
            </w: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443,970</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31.22</w:t>
            </w:r>
          </w:p>
        </w:tc>
        <w:tc>
          <w:tcPr>
            <w:tcW w:w="0" w:type="dxa"/>
            <w:vAlign w:val="bottom"/>
          </w:tcPr>
          <w:p>
            <w:pPr>
              <w:spacing w:after="0"/>
              <w:rPr>
                <w:sz w:val="1"/>
                <w:szCs w:val="1"/>
                <w:color w:val="auto"/>
              </w:rPr>
            </w:pP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restricted stock awards issued on the date the stock awards vest is net of shares withheld to satisfy the minimum statutory tax withholding requirements, which we pay on behalf of our employees. Although shares withheld are not issued, they are treated similar to common stock repurchases as they reduce the number of shares that would have been issued upon vesting.</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we had $7.8 million of total unrecognized compensation expense related to nonvested RSAs discussed above. That cost is expected to be recognized over a weighted average period of 1.55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Share Units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2026, 2025 and 2024, we granted 171,503 PSUs, 153,602 PSUs and 96,866 PSUs, respectively, (assuming target level achievement) to certain members of senior management. The actual number of shares that will be issued will be based on actual performance and can range from 50% to 200% or result in 0% of the shares granted. Performance conditions include both total Company and business unit performance metrics along with a requirement that a recipient's service with the Company continue through the end of the performance period. Compensation expense for PSUs, net of forfeitures, is recognized on a straight-line basis over the requisite service period and is updated for our expected performance level against performance goals at the end of each reporting period, which involves judgment as to the achievement of those goals. If performance goals are achieved, the PSUs will be issued based on the achievement level and will cliff vest in full at the end of the three-year performance period. Any portion of the PSUs that are not earned by the end of the three year period will be forfeited. Under the 2020 Plan, as amended and restated, PSUs granted in Fiscal 2026 deplete the shares available for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grants at a ratio of 1.51 shares per PSU granted, PSUs granted in Fiscal 2025 deplete the shares available for future grants at a ratio of 1.35 shares per PSU granted and PSUs granted in Fiscal 2024 deplete the shares available for future grants at a ratio of 1.52 shares per PSU granted. During the twelve months ended January 31, 2026, we estimated the probable outcome of the performance goals for each PSU grant and the corresponding expense for the year ended January 31, 2026 is reflected in PSU compensation expense. Compensation expense recognized in selling and administrative expenses in the accompanying Consolidated Statements of Operations for PSUs was $2.6 million, $1.3 million and $0.3 million for Fiscal 2026, 2025 and 2024,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nonvested shares of our PSUs as of January 31, 2026 is presented below: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16"/>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Share Units</w:t>
            </w: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Grant-Date</w:t>
            </w:r>
          </w:p>
        </w:tc>
        <w:tc>
          <w:tcPr>
            <w:tcW w:w="0" w:type="dxa"/>
            <w:vAlign w:val="bottom"/>
          </w:tcPr>
          <w:p>
            <w:pPr>
              <w:spacing w:after="0"/>
              <w:rPr>
                <w:sz w:val="1"/>
                <w:szCs w:val="1"/>
                <w:color w:val="auto"/>
              </w:rPr>
            </w:pPr>
          </w:p>
        </w:tc>
      </w:tr>
      <w:tr>
        <w:trPr>
          <w:trHeight w:val="234"/>
        </w:trPr>
        <w:tc>
          <w:tcPr>
            <w:tcW w:w="5760" w:type="dxa"/>
            <w:vAlign w:val="bottom"/>
            <w:tcBorders>
              <w:bottom w:val="single" w:sz="8" w:color="auto"/>
            </w:tcBorders>
            <w:vMerge w:val="continue"/>
          </w:tcPr>
          <w:p>
            <w:pPr>
              <w:spacing w:after="0"/>
              <w:rPr>
                <w:sz w:val="20"/>
                <w:szCs w:val="20"/>
                <w:color w:val="auto"/>
              </w:rPr>
            </w:pPr>
          </w:p>
        </w:tc>
        <w:tc>
          <w:tcPr>
            <w:tcW w:w="36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28, 2023</w:t>
            </w:r>
          </w:p>
        </w:tc>
        <w:tc>
          <w:tcPr>
            <w:tcW w:w="3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576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96,866</w:t>
            </w:r>
          </w:p>
        </w:tc>
        <w:tc>
          <w:tcPr>
            <w:tcW w:w="3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3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(7,612)</w:t>
            </w:r>
          </w:p>
        </w:tc>
        <w:tc>
          <w:tcPr>
            <w:tcW w:w="3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Nonvested at February 3, 2024</w:t>
            </w:r>
          </w:p>
        </w:tc>
        <w:tc>
          <w:tcPr>
            <w:tcW w:w="3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89,254</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3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153,602</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3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3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(5,446)</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February 1, 2025</w:t>
            </w:r>
          </w:p>
        </w:tc>
        <w:tc>
          <w:tcPr>
            <w:tcW w:w="3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237,410</w:t>
            </w:r>
          </w:p>
        </w:tc>
        <w:tc>
          <w:tcPr>
            <w:tcW w:w="3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0"/>
        </w:trPr>
        <w:tc>
          <w:tcPr>
            <w:tcW w:w="576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Granted</w:t>
            </w:r>
            <w:r>
              <w:rPr>
                <w:rFonts w:ascii="Times New Roman" w:cs="Times New Roman" w:eastAsia="Times New Roman" w:hAnsi="Times New Roman"/>
                <w:sz w:val="24"/>
                <w:szCs w:val="24"/>
                <w:b w:val="1"/>
                <w:bCs w:val="1"/>
                <w:color w:val="auto"/>
                <w:vertAlign w:val="superscript"/>
              </w:rPr>
              <w:t>(1)</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171,503</w:t>
            </w:r>
          </w:p>
        </w:tc>
        <w:tc>
          <w:tcPr>
            <w:tcW w:w="3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23.92</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Performance adjustment</w:t>
            </w:r>
            <w:r>
              <w:rPr>
                <w:rFonts w:ascii="Times New Roman" w:cs="Times New Roman" w:eastAsia="Times New Roman" w:hAnsi="Times New Roman"/>
                <w:sz w:val="24"/>
                <w:szCs w:val="24"/>
                <w:b w:val="1"/>
                <w:bCs w:val="1"/>
                <w:color w:val="auto"/>
                <w:vertAlign w:val="superscript"/>
              </w:rPr>
              <w:t>(2)</w:t>
            </w:r>
          </w:p>
        </w:tc>
        <w:tc>
          <w:tcPr>
            <w:tcW w:w="3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(97,626)</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36.14</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Withheld for federal taxes</w:t>
            </w:r>
          </w:p>
        </w:tc>
        <w:tc>
          <w:tcPr>
            <w:tcW w:w="3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3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(1,870)</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24.05</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Nonvested at January 31, 2026</w:t>
            </w:r>
          </w:p>
        </w:tc>
        <w:tc>
          <w:tcPr>
            <w:tcW w:w="3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309,417</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25.26</w:t>
            </w:r>
          </w:p>
        </w:tc>
        <w:tc>
          <w:tcPr>
            <w:tcW w:w="0" w:type="dxa"/>
            <w:vAlign w:val="bottom"/>
          </w:tcPr>
          <w:p>
            <w:pPr>
              <w:spacing w:after="0"/>
              <w:rPr>
                <w:sz w:val="1"/>
                <w:szCs w:val="1"/>
                <w:color w:val="auto"/>
              </w:rPr>
            </w:pPr>
          </w:p>
        </w:tc>
      </w:tr>
    </w:tbl>
    <w:p>
      <w:pPr>
        <w:jc w:val="both"/>
        <w:ind w:left="160" w:right="20" w:hanging="149"/>
        <w:spacing w:after="0" w:line="230" w:lineRule="auto"/>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Assumes 100% target level achievement of the relative performance goal. The actual number of shares that will be issued, which may be higher or lower than the target, will be determined by the level of achievement of the relative performance goal.</w:t>
      </w:r>
    </w:p>
    <w:p>
      <w:pPr>
        <w:ind w:left="180" w:hanging="172"/>
        <w:spacing w:after="0" w:line="217" w:lineRule="auto"/>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Shares adjusted at the end of Fiscal 2026 for PSUs that did not vest as a result of not achieving the required performance metrics as of January 31, 2026.</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we had $4.9 million of total unrecognized compensation expense related to non-vested PSUs discussed above. That cost is expected to be recognized over a weighted average period of 1.86 years. There were no modifications to PSUs in Fiscal 2026. No shares vested in the periods ended January 31, 2026, February 1, 2025 or February 3,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legacy obligations including environmental monitoring and reporting costs related to: (i) a 2016 consent judgment entered into with the United States Environmental Protection Agency involving the site of a knitting mill operated by a former subsidiary of ours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financial condition or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2025 and Fiscal 2024, we received insurance proceeds totaling $1.2 million ($0.9 million, net of tax) and $9.4 million ($7.2 million, net of tax), respectively, related to legacy environmental matters discussed above. The insurance proceeds are included in gain (loss) from discontinued operations, net of tax on the Consolidated Statements of Operations in Fiscal 2025 and Fiscal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for Environmental Contingencies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to all outstanding environmental contingencies, we had accrued $1.9 million as of January 31, 2026, $2.1 million as of February 1, 2025 and $2.0 million as of February 3, 2024.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less than $0.1 million in Fiscal 2026, approximately $0.4 million in Fiscal 2025 and $0.5 million in Fiscal 2024. These charges are included in gain (loss) from discontinued operations, net in the Consolidated Statements of Operations and represent changes in estimates.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2027, we received $13.4 million (net of legal fees) related to payment card interchange fee litigation.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Genesco Brands Group sell primarily our owned and licensed brands. Our chief operating decision maker ("CODM") is our President and Chief Executive Officer. The CODM assesses performance of and allocates resources to each business segment based on segment results without allocating corporate expenses. These corporate expenses include corporate overhead, bank fees, interest expense, interest income, goodwill impairment, asset impairment charges and other, including severance, insurance gains, a gain on the termination of the pension plan, major litigation and major lease terminations. Reconciling items between segment operating income (loss) and earnings (loss) from continuing operations consist of unallocated corporate expenses. The CODM uses segment operating income (loss) as a measure of profit or loss.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our Consolidated Balance Sheets as total assets. Corporate assets include cash, domestic prepaid rent expense, prepaid income taxes, deferred income taxes, deferred note expense on revolver debt, corporate fixed assets, corporate operating lease right of use assets and miscellaneous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Johnston</w:t>
            </w: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3"/>
        </w:trPr>
        <w:tc>
          <w:tcPr>
            <w:tcW w:w="4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30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2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&amp; Murphy</w:t>
            </w:r>
          </w:p>
        </w:tc>
        <w:tc>
          <w:tcPr>
            <w:tcW w:w="1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Genesco Brands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416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1,494,649</w:t>
            </w:r>
          </w:p>
        </w:tc>
        <w:tc>
          <w:tcPr>
            <w:tcW w:w="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500,022</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320,199</w:t>
            </w:r>
          </w:p>
        </w:tc>
        <w:tc>
          <w:tcPr>
            <w:tcW w:w="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121,226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2,436,096</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764,615</w:t>
            </w:r>
          </w:p>
        </w:tc>
        <w:tc>
          <w:tcPr>
            <w:tcW w:w="3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304,544</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148,727</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91,360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669,544</w:t>
            </w: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200,023</w:t>
            </w: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166,884</w:t>
            </w: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29,932</w:t>
            </w: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60,490</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(4,545)</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4,588</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60,467</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Unallocated selling and administrative expenses</w:t>
            </w: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35,085</w:t>
            </w:r>
          </w:p>
        </w:tc>
      </w:tr>
      <w:tr>
        <w:trPr>
          <w:trHeight w:val="203"/>
        </w:trPr>
        <w:tc>
          <w:tcPr>
            <w:tcW w:w="4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8,068</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17,314</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625</w:t>
            </w:r>
          </w:p>
        </w:tc>
      </w:tr>
      <w:tr>
        <w:trPr>
          <w:trHeight w:val="203"/>
        </w:trPr>
        <w:tc>
          <w:tcPr>
            <w:tcW w:w="4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4,098</w:t>
            </w:r>
          </w:p>
        </w:tc>
      </w:tr>
      <w:tr>
        <w:trPr>
          <w:trHeight w:val="196"/>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Earnings from continuing operations before income taxes</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12,591</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80" w:hanging="372"/>
        <w:spacing w:after="0" w:line="221" w:lineRule="auto"/>
        <w:tabs>
          <w:tab w:leader="none" w:pos="295"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Net sales in North America and in the United Kingdom, which includes the Republic of Ireland, accounted for 79% and 21%, respectively, of our net sales for Fiscal 2026.</w:t>
      </w:r>
    </w:p>
    <w:p>
      <w:pPr>
        <w:spacing w:after="0" w:line="8" w:lineRule="exact"/>
        <w:rPr>
          <w:rFonts w:ascii="Times New Roman" w:cs="Times New Roman" w:eastAsia="Times New Roman" w:hAnsi="Times New Roman"/>
          <w:sz w:val="23"/>
          <w:szCs w:val="23"/>
          <w:color w:val="auto"/>
          <w:vertAlign w:val="superscript"/>
        </w:rPr>
      </w:pPr>
    </w:p>
    <w:p>
      <w:pPr>
        <w:ind w:left="380" w:hanging="372"/>
        <w:spacing w:after="0" w:line="229" w:lineRule="auto"/>
        <w:tabs>
          <w:tab w:leader="none" w:pos="23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Asset impairments and other includes a $3.9 million charge for store restructuring, including $3.6 million in Journeys Group and $0.3 million in Schuh Group, $2.9 million for costs associated with information technology transformation, $0.7 million charge for asset impairments in Schuh Group and $0.6 million for severance.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jc w:val="center"/>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Genesco</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r>
      <w:tr>
        <w:trPr>
          <w:trHeight w:val="203"/>
        </w:trPr>
        <w:tc>
          <w:tcPr>
            <w:tcW w:w="2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2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100" w:type="dxa"/>
            <w:vAlign w:val="bottom"/>
          </w:tcPr>
          <w:p>
            <w:pPr>
              <w:spacing w:after="0"/>
              <w:rPr>
                <w:sz w:val="17"/>
                <w:szCs w:val="17"/>
                <w:color w:val="auto"/>
              </w:rPr>
            </w:pPr>
          </w:p>
        </w:tc>
        <w:tc>
          <w:tcPr>
            <w:tcW w:w="106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Reportable</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15"/>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160" w:type="dxa"/>
            <w:vAlign w:val="bottom"/>
            <w:tcBorders>
              <w:bottom w:val="single" w:sz="8" w:color="auto"/>
              <w:right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280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723,202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192,674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210,818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48,610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1,175,304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217,674</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1,392,978</w:t>
            </w: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32,857</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8,099</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7,097</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1,382</w:t>
            </w:r>
          </w:p>
        </w:tc>
        <w:tc>
          <w:tcPr>
            <w:tcW w:w="100" w:type="dxa"/>
            <w:vAlign w:val="bottom"/>
          </w:tcPr>
          <w:p>
            <w:pPr>
              <w:spacing w:after="0"/>
              <w:rPr>
                <w:sz w:val="17"/>
                <w:szCs w:val="17"/>
                <w:color w:val="auto"/>
              </w:rPr>
            </w:pPr>
          </w:p>
        </w:tc>
        <w:tc>
          <w:tcPr>
            <w:tcW w:w="10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49,435</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3,890</w:t>
            </w:r>
          </w:p>
        </w:tc>
        <w:tc>
          <w:tcPr>
            <w:tcW w:w="240" w:type="dxa"/>
            <w:vAlign w:val="bottom"/>
          </w:tcPr>
          <w:p>
            <w:pPr>
              <w:spacing w:after="0"/>
              <w:rPr>
                <w:sz w:val="17"/>
                <w:szCs w:val="17"/>
                <w:color w:val="auto"/>
              </w:rPr>
            </w:pPr>
          </w:p>
        </w:tc>
        <w:tc>
          <w:tcPr>
            <w:tcW w:w="9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53,325</w:t>
            </w:r>
          </w:p>
        </w:tc>
      </w:tr>
      <w:tr>
        <w:trPr>
          <w:trHeight w:val="242"/>
        </w:trPr>
        <w:tc>
          <w:tcPr>
            <w:tcW w:w="2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36,772</w:t>
            </w: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8,330</w:t>
            </w: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15,564</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471</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61,137</w:t>
            </w: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917</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62,054</w:t>
            </w:r>
          </w:p>
        </w:tc>
      </w:tr>
    </w:tbl>
    <w:p>
      <w:pPr>
        <w:spacing w:after="0" w:line="98"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Of our $710.5 million of long-lived assets, $85.7 million and $15.1 million relate to long-lived assets in the U.K. and Canada,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4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80" w:type="dxa"/>
            <w:vAlign w:val="bottom"/>
          </w:tcPr>
          <w:p>
            <w:pPr>
              <w:spacing w:after="0"/>
              <w:rPr>
                <w:sz w:val="17"/>
                <w:szCs w:val="17"/>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4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Genesco Brands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4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0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6"/>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1,398,922</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479,891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320,208</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2,325,062</w:t>
            </w: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715,723</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280,395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148,461</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83,670</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656,854</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189,297</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163,331</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35,565</w:t>
            </w: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r>
      <w:tr>
        <w:trPr>
          <w:trHeight w:val="196"/>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26,345</w:t>
            </w: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8,416</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51,766</w:t>
            </w:r>
          </w:p>
        </w:tc>
      </w:tr>
      <w:tr>
        <w:trPr>
          <w:trHeight w:val="19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Unallocated selling and administrative expenses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34,606</w:t>
            </w:r>
          </w:p>
        </w:tc>
      </w:tr>
      <w:tr>
        <w:trPr>
          <w:trHeight w:val="203"/>
        </w:trPr>
        <w:tc>
          <w:tcPr>
            <w:tcW w:w="4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3,235</w:t>
            </w:r>
          </w:p>
        </w:tc>
      </w:tr>
      <w:tr>
        <w:trPr>
          <w:trHeight w:val="19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13,925</w:t>
            </w: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w:t>
            </w:r>
          </w:p>
        </w:tc>
      </w:tr>
      <w:tr>
        <w:trPr>
          <w:trHeight w:val="203"/>
        </w:trPr>
        <w:tc>
          <w:tcPr>
            <w:tcW w:w="4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4,250</w:t>
            </w:r>
          </w:p>
        </w:tc>
      </w:tr>
      <w:tr>
        <w:trPr>
          <w:trHeight w:val="196"/>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Earnings from continuing operations before income taxes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9,308</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ind w:left="380" w:hanging="372"/>
        <w:spacing w:after="0" w:line="221" w:lineRule="auto"/>
        <w:tabs>
          <w:tab w:leader="none" w:pos="295"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Net sales in North America and in the United Kingdom, which includes the Republic of Ireland, accounted for 79% and 21%, respectively, of our net sales for Fiscal 2025.</w:t>
      </w:r>
    </w:p>
    <w:p>
      <w:pPr>
        <w:spacing w:after="0" w:line="8" w:lineRule="exact"/>
        <w:rPr>
          <w:rFonts w:ascii="Times New Roman" w:cs="Times New Roman" w:eastAsia="Times New Roman" w:hAnsi="Times New Roman"/>
          <w:sz w:val="23"/>
          <w:szCs w:val="23"/>
          <w:color w:val="auto"/>
          <w:vertAlign w:val="superscript"/>
        </w:rPr>
      </w:pPr>
    </w:p>
    <w:p>
      <w:pPr>
        <w:ind w:left="380" w:hanging="372"/>
        <w:spacing w:after="0" w:line="221" w:lineRule="auto"/>
        <w:tabs>
          <w:tab w:leader="none" w:pos="253"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Asset impairments and other includes $1.8 million for severance and $1.4 million charge for asset impairments, of which $0.8 million is in Journeys Group and $0.6 million is in Schuh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Genesco</w:t>
            </w: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r>
      <w:tr>
        <w:trPr>
          <w:trHeight w:val="203"/>
        </w:trPr>
        <w:tc>
          <w:tcPr>
            <w:tcW w:w="2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2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8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60" w:type="dxa"/>
            <w:vAlign w:val="bottom"/>
          </w:tcPr>
          <w:p>
            <w:pPr>
              <w:spacing w:after="0"/>
              <w:rPr>
                <w:sz w:val="17"/>
                <w:szCs w:val="17"/>
                <w:color w:val="auto"/>
              </w:rPr>
            </w:pPr>
          </w:p>
        </w:tc>
        <w:tc>
          <w:tcPr>
            <w:tcW w:w="920" w:type="dxa"/>
            <w:vAlign w:val="bottom"/>
            <w:tcBorders>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80" w:type="dxa"/>
            <w:vAlign w:val="bottom"/>
          </w:tcPr>
          <w:p>
            <w:pPr>
              <w:spacing w:after="0"/>
              <w:rPr>
                <w:sz w:val="17"/>
                <w:szCs w:val="17"/>
                <w:color w:val="auto"/>
              </w:rPr>
            </w:pPr>
          </w:p>
        </w:tc>
        <w:tc>
          <w:tcPr>
            <w:tcW w:w="106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Reportable</w:t>
            </w:r>
          </w:p>
        </w:tc>
        <w:tc>
          <w:tcPr>
            <w:tcW w:w="100" w:type="dxa"/>
            <w:vAlign w:val="bottom"/>
          </w:tcPr>
          <w:p>
            <w:pPr>
              <w:spacing w:after="0"/>
              <w:rPr>
                <w:sz w:val="17"/>
                <w:szCs w:val="17"/>
                <w:color w:val="auto"/>
              </w:rPr>
            </w:pPr>
          </w:p>
        </w:tc>
        <w:tc>
          <w:tcPr>
            <w:tcW w:w="104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r>
      <w:tr>
        <w:trPr>
          <w:trHeight w:val="215"/>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180" w:type="dxa"/>
            <w:vAlign w:val="bottom"/>
            <w:tcBorders>
              <w:bottom w:val="single" w:sz="8" w:color="auto"/>
              <w:right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272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673,560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189,103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183,118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77,154</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1,122,935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212,601</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1,335,536</w:t>
            </w: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160" w:type="dxa"/>
            <w:vAlign w:val="bottom"/>
          </w:tcPr>
          <w:p>
            <w:pPr>
              <w:spacing w:after="0"/>
              <w:rPr>
                <w:sz w:val="17"/>
                <w:szCs w:val="17"/>
                <w:color w:val="auto"/>
              </w:rPr>
            </w:pPr>
          </w:p>
        </w:tc>
        <w:tc>
          <w:tcPr>
            <w:tcW w:w="92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1,313</w:t>
            </w:r>
          </w:p>
        </w:tc>
        <w:tc>
          <w:tcPr>
            <w:tcW w:w="80" w:type="dxa"/>
            <w:vAlign w:val="bottom"/>
          </w:tcPr>
          <w:p>
            <w:pPr>
              <w:spacing w:after="0"/>
              <w:rPr>
                <w:sz w:val="17"/>
                <w:szCs w:val="17"/>
                <w:color w:val="auto"/>
              </w:rPr>
            </w:pPr>
          </w:p>
        </w:tc>
        <w:tc>
          <w:tcPr>
            <w:tcW w:w="10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48,321</w:t>
            </w:r>
          </w:p>
        </w:tc>
        <w:tc>
          <w:tcPr>
            <w:tcW w:w="100" w:type="dxa"/>
            <w:vAlign w:val="bottom"/>
          </w:tcPr>
          <w:p>
            <w:pPr>
              <w:spacing w:after="0"/>
              <w:rPr>
                <w:sz w:val="17"/>
                <w:szCs w:val="17"/>
                <w:color w:val="auto"/>
              </w:rPr>
            </w:pPr>
          </w:p>
        </w:tc>
        <w:tc>
          <w:tcPr>
            <w:tcW w:w="104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4,143</w:t>
            </w:r>
          </w:p>
        </w:tc>
        <w:tc>
          <w:tcPr>
            <w:tcW w:w="240" w:type="dxa"/>
            <w:vAlign w:val="bottom"/>
          </w:tcPr>
          <w:p>
            <w:pPr>
              <w:spacing w:after="0"/>
              <w:rPr>
                <w:sz w:val="17"/>
                <w:szCs w:val="17"/>
                <w:color w:val="auto"/>
              </w:rPr>
            </w:pPr>
          </w:p>
        </w:tc>
        <w:tc>
          <w:tcPr>
            <w:tcW w:w="9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52,464</w:t>
            </w:r>
          </w:p>
        </w:tc>
      </w:tr>
      <w:tr>
        <w:trPr>
          <w:trHeight w:val="243"/>
        </w:trPr>
        <w:tc>
          <w:tcPr>
            <w:tcW w:w="2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8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20,478</w:t>
            </w: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9,223</w:t>
            </w: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9,555</w:t>
            </w: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40,041</w:t>
            </w: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right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1,091</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41,132</w:t>
            </w:r>
          </w:p>
        </w:tc>
      </w:tr>
      <w:tr>
        <w:trPr>
          <w:trHeight w:val="492"/>
        </w:trPr>
        <w:tc>
          <w:tcPr>
            <w:tcW w:w="8920" w:type="dxa"/>
            <w:vAlign w:val="bottom"/>
            <w:gridSpan w:val="11"/>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our $666.3 million of long-lived assets, $90.3 million and $9.3 million relate to long-lived assets in the U.K. and Canada,</w:t>
            </w:r>
          </w:p>
        </w:tc>
        <w:tc>
          <w:tcPr>
            <w:tcW w:w="100" w:type="dxa"/>
            <w:vAlign w:val="bottom"/>
          </w:tcPr>
          <w:p>
            <w:pPr>
              <w:spacing w:after="0"/>
              <w:rPr>
                <w:sz w:val="24"/>
                <w:szCs w:val="24"/>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99"/>
              </w:rPr>
              <w:t>respectively.</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3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80" w:type="dxa"/>
            <w:vAlign w:val="bottom"/>
          </w:tcPr>
          <w:p>
            <w:pPr>
              <w:spacing w:after="0"/>
              <w:rPr>
                <w:sz w:val="17"/>
                <w:szCs w:val="17"/>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4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Genesco Brands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54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4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1,363,835</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480,164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339,446</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141,179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2,324,624</w:t>
            </w: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696,351</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273,588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160,461</w:t>
            </w:r>
          </w:p>
        </w:tc>
        <w:tc>
          <w:tcPr>
            <w:tcW w:w="2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95,404</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5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656,412</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185,141</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162,671</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45,783</w:t>
            </w: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r>
      <w:tr>
        <w:trPr>
          <w:trHeight w:val="19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48,813</w:t>
            </w:r>
          </w:p>
        </w:tc>
      </w:tr>
      <w:tr>
        <w:trPr>
          <w:trHeight w:val="19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Unallocated selling and administrative expenses</w:t>
            </w:r>
          </w:p>
        </w:tc>
        <w:tc>
          <w:tcPr>
            <w:tcW w:w="5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32,033</w:t>
            </w:r>
          </w:p>
        </w:tc>
      </w:tr>
      <w:tr>
        <w:trPr>
          <w:trHeight w:val="203"/>
        </w:trPr>
        <w:tc>
          <w:tcPr>
            <w:tcW w:w="39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Goodwill impairment </w:t>
            </w:r>
            <w:r>
              <w:rPr>
                <w:rFonts w:ascii="Times New Roman" w:cs="Times New Roman" w:eastAsia="Times New Roman" w:hAnsi="Times New Roman"/>
                <w:sz w:val="21"/>
                <w:szCs w:val="21"/>
                <w:color w:val="auto"/>
                <w:vertAlign w:val="superscript"/>
              </w:rPr>
              <w:t>(2)</w:t>
            </w: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28,453</w:t>
            </w:r>
          </w:p>
        </w:tc>
      </w:tr>
      <w:tr>
        <w:trPr>
          <w:trHeight w:val="203"/>
        </w:trPr>
        <w:tc>
          <w:tcPr>
            <w:tcW w:w="3980" w:type="dxa"/>
            <w:vAlign w:val="bottom"/>
            <w:tcBorders>
              <w:bottom w:val="single" w:sz="8" w:color="auto"/>
            </w:tcBorders>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(3)</w:t>
            </w:r>
          </w:p>
        </w:tc>
        <w:tc>
          <w:tcPr>
            <w:tcW w:w="5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1,787</w:t>
            </w: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(13,460)</w:t>
            </w:r>
          </w:p>
        </w:tc>
      </w:tr>
      <w:tr>
        <w:trPr>
          <w:trHeight w:val="20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5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537</w:t>
            </w:r>
          </w:p>
        </w:tc>
      </w:tr>
      <w:tr>
        <w:trPr>
          <w:trHeight w:val="20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7,777</w:t>
            </w:r>
          </w:p>
        </w:tc>
      </w:tr>
      <w:tr>
        <w:trPr>
          <w:trHeight w:val="236"/>
        </w:trPr>
        <w:tc>
          <w:tcPr>
            <w:tcW w:w="3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from continuing operations before income taxes</w:t>
            </w:r>
          </w:p>
        </w:tc>
        <w:tc>
          <w:tcPr>
            <w:tcW w:w="5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4" w:lineRule="exact"/>
        <w:rPr>
          <w:sz w:val="20"/>
          <w:szCs w:val="20"/>
          <w:color w:val="auto"/>
        </w:rPr>
      </w:pPr>
    </w:p>
    <w:p>
      <w:pPr>
        <w:ind w:left="380" w:hanging="372"/>
        <w:spacing w:after="0" w:line="220" w:lineRule="auto"/>
        <w:tabs>
          <w:tab w:leader="none" w:pos="3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Net sales in North America and in the United Kingdom, which includes the Republic of Ireland, accounted for 79% and 21%, respectively, of our net sales for Fiscal 2024.</w:t>
      </w:r>
    </w:p>
    <w:p>
      <w:pPr>
        <w:spacing w:after="0" w:line="1" w:lineRule="exact"/>
        <w:rPr>
          <w:rFonts w:ascii="Times New Roman" w:cs="Times New Roman" w:eastAsia="Times New Roman" w:hAnsi="Times New Roman"/>
          <w:sz w:val="23"/>
          <w:szCs w:val="23"/>
          <w:color w:val="auto"/>
          <w:vertAlign w:val="superscript"/>
        </w:rPr>
      </w:pPr>
    </w:p>
    <w:p>
      <w:pPr>
        <w:ind w:left="380" w:hanging="372"/>
        <w:spacing w:after="0" w:line="183" w:lineRule="auto"/>
        <w:tabs>
          <w:tab w:leader="none" w:pos="3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Goodwill impairment of $28.5 million is related to Genesco Brands Group.</w:t>
      </w:r>
    </w:p>
    <w:p>
      <w:pPr>
        <w:ind w:left="380" w:hanging="372"/>
        <w:spacing w:after="0" w:line="212" w:lineRule="auto"/>
        <w:tabs>
          <w:tab w:leader="none" w:pos="3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Asset impairments and other includes $1.1 million for severance and $1.0 million charge for asset impairments in Journeys Group, partially offset by a $0.3 million insurance gain.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ind w:right="219"/>
              <w:spacing w:after="0" w:line="181" w:lineRule="exact"/>
              <w:rPr>
                <w:sz w:val="20"/>
                <w:szCs w:val="20"/>
                <w:color w:val="auto"/>
              </w:rPr>
            </w:pPr>
            <w:r>
              <w:rPr>
                <w:rFonts w:ascii="Times New Roman" w:cs="Times New Roman" w:eastAsia="Times New Roman" w:hAnsi="Times New Roman"/>
                <w:sz w:val="16"/>
                <w:szCs w:val="16"/>
                <w:b w:val="1"/>
                <w:bCs w:val="1"/>
                <w:color w:val="auto"/>
              </w:rPr>
              <w:t>Genesco</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spacing w:after="0"/>
              <w:rPr>
                <w:sz w:val="15"/>
                <w:szCs w:val="15"/>
                <w:color w:val="auto"/>
              </w:rPr>
            </w:pPr>
          </w:p>
        </w:tc>
      </w:tr>
      <w:tr>
        <w:trPr>
          <w:trHeight w:val="203"/>
        </w:trPr>
        <w:tc>
          <w:tcPr>
            <w:tcW w:w="2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4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80" w:type="dxa"/>
            <w:vAlign w:val="bottom"/>
          </w:tcPr>
          <w:p>
            <w:pPr>
              <w:spacing w:after="0"/>
              <w:rPr>
                <w:sz w:val="17"/>
                <w:szCs w:val="17"/>
                <w:color w:val="auto"/>
              </w:rPr>
            </w:pPr>
          </w:p>
        </w:tc>
        <w:tc>
          <w:tcPr>
            <w:tcW w:w="920" w:type="dxa"/>
            <w:vAlign w:val="bottom"/>
            <w:tcBorders>
              <w:right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100" w:type="dxa"/>
            <w:vAlign w:val="bottom"/>
          </w:tcPr>
          <w:p>
            <w:pPr>
              <w:spacing w:after="0"/>
              <w:rPr>
                <w:sz w:val="17"/>
                <w:szCs w:val="17"/>
                <w:color w:val="auto"/>
              </w:rPr>
            </w:pPr>
          </w:p>
        </w:tc>
        <w:tc>
          <w:tcPr>
            <w:tcW w:w="106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Reportable</w:t>
            </w:r>
          </w:p>
        </w:tc>
        <w:tc>
          <w:tcPr>
            <w:tcW w:w="12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1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199"/>
        </w:trPr>
        <w:tc>
          <w:tcPr>
            <w:tcW w:w="2740" w:type="dxa"/>
            <w:vAlign w:val="bottom"/>
          </w:tcPr>
          <w:p>
            <w:pPr>
              <w:spacing w:after="0" w:line="199"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659,150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200,482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165,217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59,630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1,084,479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245,411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1,329,890</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32,419</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80" w:type="dxa"/>
            <w:vAlign w:val="bottom"/>
            <w:shd w:val="clear" w:color="auto" w:fill="CFF0FC"/>
          </w:tcPr>
          <w:p>
            <w:pPr>
              <w:spacing w:after="0"/>
              <w:rPr>
                <w:sz w:val="17"/>
                <w:szCs w:val="17"/>
                <w:color w:val="auto"/>
              </w:rPr>
            </w:pPr>
          </w:p>
        </w:tc>
        <w:tc>
          <w:tcPr>
            <w:tcW w:w="92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FF0FC"/>
          </w:tcPr>
          <w:p>
            <w:pPr>
              <w:spacing w:after="0"/>
              <w:rPr>
                <w:sz w:val="17"/>
                <w:szCs w:val="17"/>
                <w:color w:val="auto"/>
              </w:rPr>
            </w:pPr>
          </w:p>
        </w:tc>
        <w:tc>
          <w:tcPr>
            <w:tcW w:w="106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45,152</w:t>
            </w:r>
          </w:p>
        </w:tc>
        <w:tc>
          <w:tcPr>
            <w:tcW w:w="120" w:type="dxa"/>
            <w:vAlign w:val="bottom"/>
            <w:shd w:val="clear" w:color="auto" w:fill="CFF0FC"/>
          </w:tcPr>
          <w:p>
            <w:pPr>
              <w:spacing w:after="0"/>
              <w:rPr>
                <w:sz w:val="17"/>
                <w:szCs w:val="17"/>
                <w:color w:val="auto"/>
              </w:rPr>
            </w:pPr>
          </w:p>
        </w:tc>
        <w:tc>
          <w:tcPr>
            <w:tcW w:w="104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4,289</w:t>
            </w:r>
          </w:p>
        </w:tc>
        <w:tc>
          <w:tcPr>
            <w:tcW w:w="80" w:type="dxa"/>
            <w:vAlign w:val="bottom"/>
            <w:shd w:val="clear" w:color="auto" w:fill="CFF0FC"/>
          </w:tcPr>
          <w:p>
            <w:pPr>
              <w:spacing w:after="0"/>
              <w:rPr>
                <w:sz w:val="17"/>
                <w:szCs w:val="17"/>
                <w:color w:val="auto"/>
              </w:rPr>
            </w:pPr>
          </w:p>
        </w:tc>
        <w:tc>
          <w:tcPr>
            <w:tcW w:w="1120" w:type="dxa"/>
            <w:vAlign w:val="bottom"/>
            <w:tcBorders>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49,441</w:t>
            </w:r>
          </w:p>
        </w:tc>
      </w:tr>
      <w:tr>
        <w:trPr>
          <w:trHeight w:val="20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12,183</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59,275</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60,303</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540" w:right="1500" w:hanging="5532"/>
        <w:spacing w:after="0" w:line="746" w:lineRule="auto"/>
        <w:tabs>
          <w:tab w:leader="none" w:pos="233"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Of our $677.2 million of long-lived assets, $89.4 million and $12.3 million relate to long-lived assets in the U.K. and Canada, respectively.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4" w:name="page85"/>
    <w:bookmarkEnd w:id="84"/>
    <w:p>
      <w:pPr>
        <w:ind w:right="1020"/>
        <w:spacing w:after="0" w:line="46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their evaluation as of January 31, 2026,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January 31, 2026. In making this assessment, management used the criteria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drafted by the Committee of Sponsoring Organizations of the Treadway Commission (COSO). Based on this assessment, management believes that, as of January 31, 2026, our internal control over financial reporting was effective based on those criteria.</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who also audited our Consolidated Financial Statements, has issued an attestation report on the Company’s effectiveness of internal control over financial reporting which is included herein. The report by Deloitte &amp; Touche LLP is included in Item 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2026, no director or Section 16 officer of the Company adopted or terminated any "Rule 10b5-1 trading arrangements" or "non-Rule 10b5-1 trading arrangements" (in each case, as defined in Item 408 (a) and (c) of Regulation S-K).</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sections entitled “Election of Directors,” “Corporate Governance” and “Delinquent Section 16(a) Reports” in our definitive proxy statement for our annual meeting of shareholders to be held June 25, 2026, to be filed with the Securities and Exchange Commission. Pursuant to General Instruction G(3), certain information concerning our executive officers appears under Part I, Item 1, “Information about Our Executive Officers” in this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code of ethics (the “Code of Ethics”) that applies to all of our directors, officers (including our chief executive officer and chief financial officer) and employees. We have made the Code of Ethics available and intend to post any legally required amendments to, or waivers of, such Code of Ethics on our website at </w:t>
      </w:r>
      <w:r>
        <w:rPr>
          <w:rFonts w:ascii="Times New Roman" w:cs="Times New Roman" w:eastAsia="Times New Roman" w:hAnsi="Times New Roman"/>
          <w:sz w:val="18"/>
          <w:szCs w:val="18"/>
          <w:u w:val="single" w:color="auto"/>
          <w:color w:val="auto"/>
        </w:rPr>
        <w:t>http://www.genesco.com</w:t>
      </w:r>
      <w:r>
        <w:rPr>
          <w:rFonts w:ascii="Times New Roman" w:cs="Times New Roman" w:eastAsia="Times New Roman" w:hAnsi="Times New Roman"/>
          <w:sz w:val="18"/>
          <w:szCs w:val="18"/>
          <w:color w:val="auto"/>
        </w:rPr>
        <w:t>. Our website address is provided as an inactive textual reference only. The information provided on our website is not a part of this report, and therefore is not incorporated herein by reference.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insider trading policies and procedures that govern the purchase, sale and other dispositions of its securities by directors, officers, employees and the Company (the "Insider Trading Policy"). We believe the Insider Trading Policy is reasonably designed to promote compliance with insider trading laws, rules and regulations and applicable listing standards. The foregoing is a summary of our insider trading policies and procedures, does not purport to be complete and is qualified by reference to our Insider Trading Policy filed as Exhibit 19 to our Annual Report on Form 10-K for the fiscal year ended February 1, 2025.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“Compensation Committee Report” and “Executive Compensation” in our definitive proxy statement for our annual meeting of shareholders to be held June 25, 2026, to be filed with the Securities and Exchange Commission.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6" w:name="page87"/>
    <w:bookmarkEnd w:id="86"/>
    <w:p>
      <w:pPr>
        <w:ind w:right="5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 entitled “Security Ownership of Officers, Directors and Principal Shareholders” in our definitive proxy statement for our annual meeting of shareholders to be held June 25, 2026, to be filed with the Securities and Exchange Commission.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as of January 31, 2026 with respect to our equity compensation plans: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3"/>
        </w:trPr>
        <w:tc>
          <w:tcPr>
            <w:tcW w:w="5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(a)</w:t>
            </w: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remaining available</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securities to</w:t>
            </w:r>
          </w:p>
        </w:tc>
        <w:tc>
          <w:tcPr>
            <w:tcW w:w="42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(b)</w:t>
            </w: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for future issuance</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be issued</w:t>
            </w:r>
          </w:p>
        </w:tc>
        <w:tc>
          <w:tcPr>
            <w:tcW w:w="42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upon exercise of</w:t>
            </w:r>
          </w:p>
        </w:tc>
        <w:tc>
          <w:tcPr>
            <w:tcW w:w="42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42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420" w:type="dxa"/>
            <w:vAlign w:val="bottom"/>
          </w:tcPr>
          <w:p>
            <w:pPr>
              <w:spacing w:after="0"/>
              <w:rPr>
                <w:sz w:val="17"/>
                <w:szCs w:val="17"/>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securities reflected</w:t>
            </w:r>
          </w:p>
        </w:tc>
      </w:tr>
      <w:tr>
        <w:trPr>
          <w:trHeight w:val="215"/>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 Category</w:t>
            </w:r>
          </w:p>
        </w:tc>
        <w:tc>
          <w:tcPr>
            <w:tcW w:w="2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rights(1)</w:t>
            </w: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in column (a)) (2)</w:t>
            </w:r>
          </w:p>
        </w:tc>
      </w:tr>
      <w:tr>
        <w:trPr>
          <w:trHeight w:val="21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766,794</w:t>
            </w:r>
          </w:p>
        </w:tc>
      </w:tr>
      <w:tr>
        <w:trPr>
          <w:trHeight w:val="216"/>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766,794</w:t>
            </w:r>
          </w:p>
        </w:tc>
      </w:tr>
    </w:tbl>
    <w:p>
      <w:pPr>
        <w:spacing w:after="0" w:line="173"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Restricted stock units issued to certain employees at no cost.</w:t>
      </w:r>
    </w:p>
    <w:p>
      <w:pPr>
        <w:spacing w:after="0" w:line="194" w:lineRule="exact"/>
        <w:rPr>
          <w:rFonts w:ascii="Times New Roman" w:cs="Times New Roman" w:eastAsia="Times New Roman" w:hAnsi="Times New Roman"/>
          <w:sz w:val="22"/>
          <w:szCs w:val="22"/>
          <w:color w:val="auto"/>
          <w:vertAlign w:val="superscript"/>
        </w:rPr>
      </w:pPr>
    </w:p>
    <w:p>
      <w:pPr>
        <w:ind w:left="160" w:hanging="152"/>
        <w:spacing w:after="0"/>
        <w:tabs>
          <w:tab w:leader="none" w:pos="16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Such shares may be issued as restricted shares or other forms of stock-based compensation pursuant to our stock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For additional information concerning our equity compensation plans, see the discussion in Note 14, "Share-Based Compensation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“Election of Directors” in our definitive proxy statement for our annual meeting of shareholders to be held June 25, 2026, to be filed with the Securities and Exchange Commission.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“Audit Matters” in our definitive proxy statement for our annual meeting of shareholders to be held June 25, 2026, to be filed with the Securities and Exchange Commission.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7" w:name="page88"/>
    <w:bookmarkEnd w:id="8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20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Genesco Inc. and Subsidiaries are filed as part of this report under Item 8, Financial Statements and Supplementary Data</w:t>
      </w:r>
    </w:p>
    <w:p>
      <w:pPr>
        <w:spacing w:after="0" w:line="121" w:lineRule="exact"/>
        <w:rPr>
          <w:sz w:val="20"/>
          <w:szCs w:val="20"/>
          <w:color w:val="auto"/>
        </w:rPr>
      </w:pPr>
    </w:p>
    <w:p>
      <w:pPr>
        <w:ind w:right="3700"/>
        <w:spacing w:after="0" w:line="461"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Reports of Independent Registered Public Accounting Firms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January 31, 2026 and February 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each of the three fiscal years ended 2026,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each of the three fiscal years ended 2026, 2025 and 2024</w:t>
      </w:r>
    </w:p>
    <w:p>
      <w:pPr>
        <w:spacing w:after="0" w:line="198" w:lineRule="exact"/>
        <w:rPr>
          <w:sz w:val="20"/>
          <w:szCs w:val="20"/>
          <w:color w:val="auto"/>
        </w:rPr>
      </w:pPr>
    </w:p>
    <w:p>
      <w:pPr>
        <w:ind w:right="4140"/>
        <w:spacing w:after="0" w:line="457" w:lineRule="auto"/>
        <w:rPr>
          <w:sz w:val="20"/>
          <w:szCs w:val="20"/>
          <w:color w:val="auto"/>
        </w:rPr>
      </w:pPr>
      <w:r>
        <w:rPr>
          <w:rFonts w:ascii="Times New Roman" w:cs="Times New Roman" w:eastAsia="Times New Roman" w:hAnsi="Times New Roman"/>
          <w:sz w:val="18"/>
          <w:szCs w:val="18"/>
          <w:color w:val="auto"/>
        </w:rPr>
        <w:t>Consolidated Statements of Cash Flows, each of the three fiscal years ended 2026, 2025 and 2024 Consolidated Statements of Equity, each of the three fiscal years ended 2026, 2025 and 2024 Notes to Consolidated Financial Statements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Valuation and Qualifying Accounts, each of the three fiscal years ended 2026,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 required information is either not applicable or is presented in the financial statements or related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schedules begin on page 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ind w:left="2340" w:right="280" w:hanging="1643"/>
        <w:spacing w:after="0" w:line="255" w:lineRule="auto"/>
        <w:tabs>
          <w:tab w:leader="none" w:pos="1760"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20">
        <w:r>
          <w:rPr>
            <w:rFonts w:ascii="Times New Roman" w:cs="Times New Roman" w:eastAsia="Times New Roman" w:hAnsi="Times New Roman"/>
            <w:sz w:val="18"/>
            <w:szCs w:val="18"/>
            <w:u w:val="single" w:color="auto"/>
            <w:color w:val="0000FF"/>
          </w:rPr>
          <w:t>Purchase Agreement dated December 14, 2018, among Hat World, Inc., GCO Canada Inc., Flagg Bros. of Puerto Rico,</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Inc., Hat World Corporation, Hat World Services Co., Inc., LSG Guam, Inc., Genesco Inc., Fanzzlids Holding, LLC,</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Fanatics, Inc. and Fanzz Holding, Inc. Incorporated by reference to Exhibit 2.1 to the current report on Form 8-K file</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December 14, 2018 (File No. 1-3083).*</w:t>
        </w:r>
      </w:hyperlink>
    </w:p>
    <w:p>
      <w:pPr>
        <w:spacing w:after="0" w:line="2" w:lineRule="exact"/>
        <w:rPr>
          <w:rFonts w:ascii="Times New Roman" w:cs="Times New Roman" w:eastAsia="Times New Roman" w:hAnsi="Times New Roman"/>
          <w:sz w:val="18"/>
          <w:szCs w:val="18"/>
          <w:u w:val="single" w:color="auto"/>
          <w:color w:val="0000FF"/>
        </w:rPr>
      </w:pPr>
    </w:p>
    <w:p>
      <w:pPr>
        <w:ind w:left="2340" w:right="220" w:hanging="590"/>
        <w:spacing w:after="0" w:line="250" w:lineRule="auto"/>
        <w:tabs>
          <w:tab w:leader="none" w:pos="2340" w:val="left"/>
        </w:tabs>
        <w:numPr>
          <w:ilvl w:val="1"/>
          <w:numId w:val="26"/>
        </w:numPr>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Asset Purchase Agreement dated December 18, 2019, by and among Genesco Brands NY, LLC, Togast LLC, Togast</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Direct, LLC, TGB Design, LLC, Quanzhou TGB Footwear Co. Ltd and Anthony LoConte. Incorporated by reference to</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Exhibit 2.1 to the current report on Form 8-K filed December 18, 2019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40" w:hanging="590"/>
        <w:spacing w:after="0" w:line="250" w:lineRule="auto"/>
        <w:tabs>
          <w:tab w:leader="none" w:pos="2340" w:val="left"/>
        </w:tabs>
        <w:numPr>
          <w:ilvl w:val="1"/>
          <w:numId w:val="26"/>
        </w:numPr>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Amendment to Asset Purchase Agreement dated September 30, 2020, by and among Genesco Brands NY, LLC, Togast</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LLC, Togast Direct, LLC, TGB Design, LLC, Quanzhou TGB Footwear Co. Ltd and Anthony LoConte. Incorporated by</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reference to Exhibit (2)c to the Company's Annual Report on Form 10-K for the fiscal year ended January 30, 2021 (File</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220" w:hanging="1643"/>
        <w:spacing w:after="0" w:line="250" w:lineRule="auto"/>
        <w:tabs>
          <w:tab w:leader="none" w:pos="1760"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23">
        <w:r>
          <w:rPr>
            <w:rFonts w:ascii="Times New Roman" w:cs="Times New Roman" w:eastAsia="Times New Roman" w:hAnsi="Times New Roman"/>
            <w:sz w:val="18"/>
            <w:szCs w:val="18"/>
            <w:u w:val="single" w:color="auto"/>
            <w:color w:val="0000FF"/>
          </w:rPr>
          <w:t>Second Amended and Restated Bylaws of Genesco Inc. Incorporated by reference to Exhibit 3.1 to the current report on</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Form 8-K filed November 1, 2022 (File No. 1-3083).</w:t>
        </w:r>
      </w:hyperlink>
    </w:p>
    <w:p>
      <w:pPr>
        <w:ind w:left="2340" w:hanging="590"/>
        <w:spacing w:after="0" w:line="250" w:lineRule="auto"/>
        <w:tabs>
          <w:tab w:leader="none" w:pos="2340" w:val="left"/>
        </w:tabs>
        <w:numPr>
          <w:ilvl w:val="1"/>
          <w:numId w:val="26"/>
        </w:numPr>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Restated Charter of Genesco Inc., as amended. Incorporated by reference to Exhibit 3.3 to the Company's Quarterly Report</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on Form 10-Q filed on December 8, 2022 (File No. 1-3083).</w:t>
        </w:r>
      </w:hyperlink>
    </w:p>
    <w:p>
      <w:pPr>
        <w:ind w:left="2340" w:right="600" w:hanging="1643"/>
        <w:spacing w:after="0" w:line="250" w:lineRule="auto"/>
        <w:tabs>
          <w:tab w:leader="none" w:pos="1760"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25">
        <w:r>
          <w:rPr>
            <w:rFonts w:ascii="Times New Roman" w:cs="Times New Roman" w:eastAsia="Times New Roman" w:hAnsi="Times New Roman"/>
            <w:sz w:val="18"/>
            <w:szCs w:val="18"/>
            <w:u w:val="single" w:color="auto"/>
            <w:color w:val="0000FF"/>
          </w:rPr>
          <w:t>Form of Certificate for the Common Stock. Incorporated by reference to Exhibit 3 to the Genesco Inc. Registration</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Statement on Form 8-A/A filed with the SEC on May 1, 2003 (File No.1-3083).</w:t>
        </w:r>
      </w:hyperlink>
    </w:p>
    <w:p>
      <w:pPr>
        <w:ind w:left="2340" w:right="20" w:hanging="590"/>
        <w:spacing w:after="0" w:line="260" w:lineRule="auto"/>
        <w:tabs>
          <w:tab w:leader="none" w:pos="2340" w:val="left"/>
        </w:tabs>
        <w:numPr>
          <w:ilvl w:val="1"/>
          <w:numId w:val="26"/>
        </w:numPr>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Description of Securities. Incorporated by reference to Exhibit (4)b to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fiscal year ended February 3, 2024. (File No. 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1479550</wp:posOffset>
            </wp:positionH>
            <wp:positionV relativeFrom="paragraph">
              <wp:posOffset>-2504440</wp:posOffset>
            </wp:positionV>
            <wp:extent cx="54794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547941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-2367280</wp:posOffset>
            </wp:positionV>
            <wp:extent cx="53714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537146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-2230120</wp:posOffset>
            </wp:positionV>
            <wp:extent cx="54063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54063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-2092960</wp:posOffset>
            </wp:positionV>
            <wp:extent cx="18148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181483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-1955800</wp:posOffset>
            </wp:positionV>
            <wp:extent cx="53873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53873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-1818640</wp:posOffset>
            </wp:positionV>
            <wp:extent cx="55238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552386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-1681480</wp:posOffset>
            </wp:positionV>
            <wp:extent cx="40963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409638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-1544320</wp:posOffset>
            </wp:positionV>
            <wp:extent cx="5505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50545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-1407160</wp:posOffset>
            </wp:positionV>
            <wp:extent cx="55657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-1270000</wp:posOffset>
            </wp:positionV>
            <wp:extent cx="55473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554736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-1132840</wp:posOffset>
            </wp:positionV>
            <wp:extent cx="5867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58674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-995680</wp:posOffset>
            </wp:positionV>
            <wp:extent cx="55175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551751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-858520</wp:posOffset>
            </wp:positionV>
            <wp:extent cx="24339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243395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-721360</wp:posOffset>
            </wp:positionV>
            <wp:extent cx="56343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-584200</wp:posOffset>
            </wp:positionV>
            <wp:extent cx="27635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276352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-447040</wp:posOffset>
            </wp:positionV>
            <wp:extent cx="52857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52857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-309880</wp:posOffset>
            </wp:positionV>
            <wp:extent cx="36556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365569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-172720</wp:posOffset>
            </wp:positionV>
            <wp:extent cx="56343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-35560</wp:posOffset>
            </wp:positionV>
            <wp:extent cx="24745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2474595" cy="8890"/>
                    </a:xfrm>
                    <a:prstGeom prst="rect">
                      <a:avLst/>
                    </a:prstGeom>
                    <a:noFill/>
                  </pic:spPr>
                </pic:pic>
              </a:graphicData>
            </a:graphic>
          </wp:anchor>
        </w:drawing>
      </w:r>
    </w:p>
    <w:p>
      <w:pPr>
        <w:spacing w:after="0" w:line="161"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8" w:name="page89"/>
    <w:bookmarkEnd w:id="88"/>
    <w:p>
      <w:pPr>
        <w:ind w:left="1643" w:right="220" w:hanging="1643"/>
        <w:spacing w:after="0" w:line="255" w:lineRule="auto"/>
        <w:tabs>
          <w:tab w:leader="none" w:pos="1063"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47">
        <w:r>
          <w:rPr>
            <w:rFonts w:ascii="Times New Roman" w:cs="Times New Roman" w:eastAsia="Times New Roman" w:hAnsi="Times New Roman"/>
            <w:sz w:val="18"/>
            <w:szCs w:val="18"/>
            <w:u w:val="single" w:color="auto"/>
            <w:color w:val="0000FF"/>
          </w:rPr>
          <w:t>Fourth Amended and Restated Credit Agreement, dated as of January 31, 2018, by and among Genesco Inc., certain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subsidiaries of Genesco Inc. party thereto, as Other Domestic Borrowers, GCO Canada Inc., Genesco (UK) Limited,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Lenders party thereto and Bank of America, N.A., as Agent.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report on Form 8-K filed February 3, 2018. (File No. 1-3083).</w:t>
        </w:r>
      </w:hyperlink>
    </w:p>
    <w:p>
      <w:pPr>
        <w:spacing w:after="0" w:line="2" w:lineRule="exact"/>
        <w:rPr>
          <w:rFonts w:ascii="Times New Roman" w:cs="Times New Roman" w:eastAsia="Times New Roman" w:hAnsi="Times New Roman"/>
          <w:sz w:val="18"/>
          <w:szCs w:val="18"/>
          <w:u w:val="single" w:color="auto"/>
          <w:color w:val="0000FF"/>
        </w:rPr>
      </w:pPr>
    </w:p>
    <w:p>
      <w:pPr>
        <w:ind w:left="1643"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First Amendment to Fourth Amended and Restated Credit Agreement, dated as of February 1, 2019, by and among</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Genesco Inc., certain subsidiaries of Genesco Inc. party thereto, as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the current report on Form 8-K filed February 5, 2019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right="4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Second Amendment to Fourth Amended and Restated Credit Agreement, dated as of June 5, 2020, by and among Genesco</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Inc., certain subsidiaries of Genesco Inc. party thereto, as Other Domestic Borrowers, GCO Canada Inc., Genesco (UK)</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Limited, the Lender party thereto and Bank of America, N.A., as Agent.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current report on Form 8-K filed June 9,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Third Amendment to Fourth Amended and Restated Credit Agreement, dated as of January 28, 2022 by and among</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Genesco Inc., certain subsidiaries of Genesco Inc. party thereto, as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the current report on Form 8-K filed February 3, 2022.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right="20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Fourth Amendment to Fourth Amended and Restated Credit Agreement, dated January 16, 2026 by and among Genesco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 certain subsidiaries of Genesco Inc. party thereto, GCO Canada ULC, Genesco (UK) Limited, Other Domestic</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Borrowers, the Lenders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the current report on Form 8-K filed January 21, 2026.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right="44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Form of Split-Dollar Insurance Agreement with Executive Officers. Incorporated by reference to Exhibit (10)a to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Company’s Annual Report on Form 10-K for the fiscal year ended February 1, 1997 (File No.1-3083).</w:t>
        </w:r>
      </w:hyperlink>
    </w:p>
    <w:p>
      <w:pPr>
        <w:ind w:left="1643" w:right="12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Genesco Inc. Second Amended and Restated 2009 Equity Incentive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Company’s current report on Form 8-K, filed June 28, 2016 (File No. 1-3083).</w:t>
        </w:r>
      </w:hyperlink>
    </w:p>
    <w:p>
      <w:pPr>
        <w:ind w:left="1643" w:right="6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Genesco Inc. Third Amended and Restated EVA Incentive Compensation Plan. Incorporated by reference to Exhibit (10)h</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to the Company’s Annual Report on Form 10-K for the fiscal year ended February 1, 2020. (File No. 1-3083).</w:t>
        </w:r>
      </w:hyperlink>
    </w:p>
    <w:p>
      <w:pPr>
        <w:ind w:left="1643" w:right="60" w:hanging="590"/>
        <w:spacing w:after="0" w:line="265" w:lineRule="auto"/>
        <w:tabs>
          <w:tab w:leader="none" w:pos="1643" w:val="left"/>
        </w:tabs>
        <w:numPr>
          <w:ilvl w:val="1"/>
          <w:numId w:val="27"/>
        </w:numPr>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First Amendment to the Third Amended and Restated EVA Incentive Compensation Plan of Genesco Inc. Incorporated by</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reference to Exhibit (10)a to the Company's Quarterly Report on Form 10-Q for the quarter ended May 1, 2021. (File No.</w:t>
        </w:r>
      </w:hyperlink>
    </w:p>
    <w:p>
      <w:pPr>
        <w:ind w:left="1643"/>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1-3083).</w:t>
        </w:r>
      </w:hyperlink>
    </w:p>
    <w:p>
      <w:pPr>
        <w:spacing w:after="0" w:line="9" w:lineRule="exact"/>
        <w:rPr>
          <w:rFonts w:ascii="Times New Roman" w:cs="Times New Roman" w:eastAsia="Times New Roman" w:hAnsi="Times New Roman"/>
          <w:sz w:val="18"/>
          <w:szCs w:val="18"/>
          <w:u w:val="single" w:color="auto"/>
          <w:color w:val="0000FF"/>
        </w:rPr>
      </w:pPr>
    </w:p>
    <w:p>
      <w:pPr>
        <w:ind w:left="1643" w:right="8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Second Amendment to the Third Amended and Restated EVA Incentive Compensation Plan of Genesco Inc. Incorporated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by reference to Exhibit (10)a to the Company's Quarterly Report on Form 10-Q for the quarter ended October 30, 2021.</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right="58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Fourth Amended and Restated EVA Incentive Compensation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Company's Current Report on Form 8-K filed March 31, 2023. (File No. 1-3083).</w:t>
        </w:r>
      </w:hyperlink>
    </w:p>
    <w:p>
      <w:pPr>
        <w:ind w:left="1643" w:right="32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Genesco Inc. 2020 Equity Incentive Plan. Incorporated by reference to Appendix A to Genesco Inc.’s Definitive Proxy</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Statement on Schedule 14A, filed May 15, 2020. (File No. 1-3083).</w:t>
        </w:r>
      </w:hyperlink>
    </w:p>
    <w:p>
      <w:pPr>
        <w:ind w:left="1643" w:right="30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Genesco Inc. Amended and Restated 2020 Equity Incentive Plan. Incorporated by reference to Appendix A to Genesco</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Inc.'s Definitive Proxy Statement on Schedule 14A, filed May 12, 2023. (File No. 1-3083).</w:t>
        </w:r>
      </w:hyperlink>
    </w:p>
    <w:p>
      <w:pPr>
        <w:ind w:left="1643" w:right="38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Genesco Inc. Second Amended and Restated 2020 Equity Incentive Plan. Incorporated by reference to Appendix A to</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Genesco Inc.'s Definitive Proxy Statement on Schedule 14A, filed May 17, 2024. (File No. 1-3083).</w:t>
        </w:r>
      </w:hyperlink>
    </w:p>
    <w:p>
      <w:pPr>
        <w:ind w:left="1643" w:right="520"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Genesco Inc. Third Amended and Restated 2020 Equity Incentive Plan. Incorporated by reference to Appendix A to</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Genesco Inc.'s Definitive Proxy Statement on Schedule 14A, filed May 16, 2025. (File No. 1-3083).</w:t>
        </w:r>
      </w:hyperlink>
    </w:p>
    <w:p>
      <w:pPr>
        <w:ind w:left="1643" w:hanging="590"/>
        <w:spacing w:after="0" w:line="25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Form of Incentive Stock Option Agreement. Incorporated by reference to Exhibit (10)c to the Company’s Quarterly Report</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on Form 10-Q for the quarter ended October 29, 2005 (File No.1-3083).</w:t>
        </w:r>
      </w:hyperlink>
    </w:p>
    <w:p>
      <w:pPr>
        <w:ind w:left="1643" w:right="140" w:hanging="590"/>
        <w:spacing w:after="0" w:line="260" w:lineRule="auto"/>
        <w:tabs>
          <w:tab w:leader="none" w:pos="1643" w:val="left"/>
        </w:tabs>
        <w:numPr>
          <w:ilvl w:val="1"/>
          <w:numId w:val="27"/>
        </w:numPr>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Form of Non-Qualified Stock Option Agreement. Incorporated by reference to Exhibit (10)d to the Company’s Quarterly</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Report on Form 10-Q for the quarter ended October 29, 2005 (File No.1-3083).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1036955</wp:posOffset>
            </wp:positionH>
            <wp:positionV relativeFrom="paragraph">
              <wp:posOffset>-6207760</wp:posOffset>
            </wp:positionV>
            <wp:extent cx="5333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3333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-6070600</wp:posOffset>
            </wp:positionV>
            <wp:extent cx="5523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552386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-5933440</wp:posOffset>
            </wp:positionV>
            <wp:extent cx="5368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536829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-5796280</wp:posOffset>
            </wp:positionV>
            <wp:extent cx="2836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-5659120</wp:posOffset>
            </wp:positionV>
            <wp:extent cx="52895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528955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-5521960</wp:posOffset>
            </wp:positionV>
            <wp:extent cx="56343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-5384800</wp:posOffset>
            </wp:positionV>
            <wp:extent cx="56343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-5247640</wp:posOffset>
            </wp:positionV>
            <wp:extent cx="33286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332867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-5110480</wp:posOffset>
            </wp:positionV>
            <wp:extent cx="56343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-4973320</wp:posOffset>
            </wp:positionV>
            <wp:extent cx="55079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550799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-4836160</wp:posOffset>
            </wp:positionV>
            <wp:extent cx="5558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55581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-4699000</wp:posOffset>
            </wp:positionV>
            <wp:extent cx="29857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298577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-4561840</wp:posOffset>
            </wp:positionV>
            <wp:extent cx="53054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530542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-4424680</wp:posOffset>
            </wp:positionV>
            <wp:extent cx="56343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-4287520</wp:posOffset>
            </wp:positionV>
            <wp:extent cx="5631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563118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-4150360</wp:posOffset>
            </wp:positionV>
            <wp:extent cx="33572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33572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-4013200</wp:posOffset>
            </wp:positionV>
            <wp:extent cx="55302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55302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-3876040</wp:posOffset>
            </wp:positionV>
            <wp:extent cx="53174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531749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-3738880</wp:posOffset>
            </wp:positionV>
            <wp:extent cx="55264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552640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-3601720</wp:posOffset>
            </wp:positionV>
            <wp:extent cx="33572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33572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-3464560</wp:posOffset>
            </wp:positionV>
            <wp:extent cx="53778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53778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-3327400</wp:posOffset>
            </wp:positionV>
            <wp:extent cx="46901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469011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-3190240</wp:posOffset>
            </wp:positionV>
            <wp:extent cx="5587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55873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-3053080</wp:posOffset>
            </wp:positionV>
            <wp:extent cx="35985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359854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-2915920</wp:posOffset>
            </wp:positionV>
            <wp:extent cx="56286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5628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-2778760</wp:posOffset>
            </wp:positionV>
            <wp:extent cx="50323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503237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-2641600</wp:posOffset>
            </wp:positionV>
            <wp:extent cx="56286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5628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-2504440</wp:posOffset>
            </wp:positionV>
            <wp:extent cx="55797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557974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-2367280</wp:posOffset>
            </wp:positionV>
            <wp:extent cx="389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38989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-2230120</wp:posOffset>
            </wp:positionV>
            <wp:extent cx="56127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-2092960</wp:posOffset>
            </wp:positionV>
            <wp:extent cx="54965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549656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-1955800</wp:posOffset>
            </wp:positionV>
            <wp:extent cx="8312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-1818640</wp:posOffset>
            </wp:positionV>
            <wp:extent cx="52920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529209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-1681480</wp:posOffset>
            </wp:positionV>
            <wp:extent cx="37331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373316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-1544320</wp:posOffset>
            </wp:positionV>
            <wp:extent cx="5463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54635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-1407160</wp:posOffset>
            </wp:positionV>
            <wp:extent cx="30937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309372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-1270000</wp:posOffset>
            </wp:positionV>
            <wp:extent cx="54724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547243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-1132840</wp:posOffset>
            </wp:positionV>
            <wp:extent cx="41554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41554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-995680</wp:posOffset>
            </wp:positionV>
            <wp:extent cx="54159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541591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-858520</wp:posOffset>
            </wp:positionV>
            <wp:extent cx="45770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457708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-721360</wp:posOffset>
            </wp:positionV>
            <wp:extent cx="53333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53333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-584200</wp:posOffset>
            </wp:positionV>
            <wp:extent cx="4577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457708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-447040</wp:posOffset>
            </wp:positionV>
            <wp:extent cx="56343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-309880</wp:posOffset>
            </wp:positionV>
            <wp:extent cx="32937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32937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-172720</wp:posOffset>
            </wp:positionV>
            <wp:extent cx="55683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556831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-35560</wp:posOffset>
            </wp:positionV>
            <wp:extent cx="3632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3632835" cy="8255"/>
                    </a:xfrm>
                    <a:prstGeom prst="rect">
                      <a:avLst/>
                    </a:prstGeom>
                    <a:noFill/>
                  </pic:spPr>
                </pic:pic>
              </a:graphicData>
            </a:graphic>
          </wp:anchor>
        </w:drawing>
      </w:r>
    </w:p>
    <w:p>
      <w:pPr>
        <w:spacing w:after="0" w:line="161" w:lineRule="exact"/>
        <w:rPr>
          <w:rFonts w:ascii="Times New Roman" w:cs="Times New Roman" w:eastAsia="Times New Roman" w:hAnsi="Times New Roman"/>
          <w:sz w:val="18"/>
          <w:szCs w:val="18"/>
          <w:color w:val="auto"/>
        </w:rPr>
      </w:pPr>
    </w:p>
    <w:p>
      <w:pPr>
        <w:ind w:left="4843"/>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-449580</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1017" w:top="1201" w:right="379" w:bottom="1440" w:gutter="0" w:footer="0" w:header="0"/>
        </w:sectPr>
      </w:pPr>
    </w:p>
    <w:bookmarkStart w:id="89" w:name="page90"/>
    <w:bookmarkEnd w:id="89"/>
    <w:p>
      <w:pPr>
        <w:ind w:left="1220" w:right="420" w:hanging="590"/>
        <w:spacing w:after="0" w:line="261"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Form of Restricted Share Award Agreement for Executive Officers. Incorporated by reference to Exhibit (10)e to the</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ind w:left="1220" w:right="60" w:hanging="590"/>
        <w:spacing w:after="0" w:line="250"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Form of Restricted Share Award Agreement for Officers and Employees. Incorporated by reference to Exhibit (10)f to the</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ind w:left="1220" w:right="460" w:hanging="590"/>
        <w:spacing w:after="0" w:line="250"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Form of Restricted Share Award Agreement. Incorporated by reference to Exhibit (10)a to the Company’s Quarterly</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Report on Form 10-Q for the quarter ended August 1, 2009 (File No. 1-3083).</w:t>
        </w:r>
      </w:hyperlink>
    </w:p>
    <w:p>
      <w:pPr>
        <w:ind w:left="1220" w:right="280" w:hanging="590"/>
        <w:spacing w:after="0" w:line="250"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Form of Genesco Inc. Performance Share Unit Agreement.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Quarterly Report on Form 10-Q for the quarter ended April 29, 2023 (File No. 1-3083).</w:t>
        </w:r>
      </w:hyperlink>
    </w:p>
    <w:p>
      <w:pPr>
        <w:ind w:left="1220" w:right="280" w:hanging="590"/>
        <w:spacing w:after="0" w:line="250"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Form of Genesco Inc. Performance Share Unit Agreement.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Quarterly Report on Form 10-Q for the quarter ended May 4, 2024 (File No. 1-3083).</w:t>
        </w:r>
      </w:hyperlink>
    </w:p>
    <w:p>
      <w:pPr>
        <w:ind w:left="1220" w:right="280" w:hanging="590"/>
        <w:spacing w:after="0" w:line="250"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Form of Genesco Inc. Performance Share Unit Agreement.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Quarterly Report on Form 10-Q for the quarter ended August 2, 2025 (File No. 1-3083).</w:t>
        </w:r>
      </w:hyperlink>
    </w:p>
    <w:p>
      <w:pPr>
        <w:ind w:left="1220" w:right="300" w:hanging="590"/>
        <w:spacing w:after="0" w:line="250"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Form of Genesco Inc. Restricted Share Award Agreement.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Quarterly Report on Form 10-Q for the quarter ended April 29, 2023 (File No. 1-3083).</w:t>
        </w:r>
      </w:hyperlink>
    </w:p>
    <w:p>
      <w:pPr>
        <w:ind w:left="1220" w:right="120" w:hanging="590"/>
        <w:spacing w:after="0" w:line="250" w:lineRule="auto"/>
        <w:tabs>
          <w:tab w:leader="none" w:pos="1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Directors. Incorporated by reference to Exhibit (10)m to the Company’s Annual Report on Form 10-K for the fiscal year ended January 31, 1993 (File No.1-3083). (P)</w:t>
      </w:r>
    </w:p>
    <w:p>
      <w:pPr>
        <w:ind w:left="1220" w:right="260" w:hanging="590"/>
        <w:spacing w:after="0" w:line="250" w:lineRule="auto"/>
        <w:tabs>
          <w:tab w:leader="none" w:pos="1220" w:val="left"/>
        </w:tabs>
        <w:numPr>
          <w:ilvl w:val="0"/>
          <w:numId w:val="28"/>
        </w:numPr>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Form of Non-Executive Director Indemnification Agreement.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report on Form 8-K filed November 3, 2008 (File No. 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768350</wp:posOffset>
            </wp:positionH>
            <wp:positionV relativeFrom="paragraph">
              <wp:posOffset>-2356485</wp:posOffset>
            </wp:positionV>
            <wp:extent cx="53803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538035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-2219325</wp:posOffset>
            </wp:positionV>
            <wp:extent cx="46545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-2082165</wp:posOffset>
            </wp:positionV>
            <wp:extent cx="56121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561213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-1945005</wp:posOffset>
            </wp:positionV>
            <wp:extent cx="46545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-1807845</wp:posOffset>
            </wp:positionV>
            <wp:extent cx="53524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535241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-1670685</wp:posOffset>
            </wp:positionV>
            <wp:extent cx="35667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356679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-1533525</wp:posOffset>
            </wp:positionV>
            <wp:extent cx="54648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546481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-1396365</wp:posOffset>
            </wp:positionV>
            <wp:extent cx="40011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400113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-1259205</wp:posOffset>
            </wp:positionV>
            <wp:extent cx="54648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546481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-1122045</wp:posOffset>
            </wp:positionV>
            <wp:extent cx="39122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391223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-984885</wp:posOffset>
            </wp:positionV>
            <wp:extent cx="54648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546481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-847725</wp:posOffset>
            </wp:positionV>
            <wp:extent cx="40328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403288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-710565</wp:posOffset>
            </wp:positionV>
            <wp:extent cx="54521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545211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-573405</wp:posOffset>
            </wp:positionV>
            <wp:extent cx="40011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400113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-161925</wp:posOffset>
            </wp:positionV>
            <wp:extent cx="54851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548513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-24765</wp:posOffset>
            </wp:positionV>
            <wp:extent cx="28778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2877820" cy="8890"/>
                    </a:xfrm>
                    <a:prstGeom prst="rect">
                      <a:avLst/>
                    </a:prstGeom>
                    <a:noFill/>
                  </pic:spPr>
                </pic:pic>
              </a:graphicData>
            </a:graphic>
          </wp:anchor>
        </w:drawing>
      </w:r>
    </w:p>
    <w:p>
      <w:pPr>
        <w:ind w:left="1220" w:right="42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Form of Officer Indemnification Agreement.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Report on Form 10-Q for the quarter ended November 1, 2008 (File No.1-3083).</w:t>
        </w:r>
      </w:hyperlink>
    </w:p>
    <w:p>
      <w:pPr>
        <w:jc w:val="both"/>
        <w:ind w:left="1220" w:right="6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February 26,</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1997. Incorporated by reference to Exhibit (10)p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February 1, 1997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220" w:right="60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First Amendment to Form of Employment Protection Agreement. Incorporated by reference to Exhibit (10)s to the</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Company’s Annual Report on Form 10-K for the fiscal year ended January 30, 2010 (File No.1-3083).</w:t>
        </w:r>
      </w:hyperlink>
    </w:p>
    <w:p>
      <w:pPr>
        <w:ind w:left="1220" w:right="12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October 30,</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2019. Incorporated by reference to Exhibit 10.1 to the current report on Form 8-K filed October 31, 2019 (File No. 1-</w:t>
        </w:r>
      </w:hyperlink>
      <w:hyperlink r:id="rId237">
        <w:r>
          <w:rPr>
            <w:rFonts w:ascii="Times New Roman" w:cs="Times New Roman" w:eastAsia="Times New Roman" w:hAnsi="Times New Roman"/>
            <w:sz w:val="18"/>
            <w:szCs w:val="18"/>
            <w:u w:val="single" w:color="auto"/>
            <w:color w:val="0000FF"/>
          </w:rPr>
          <w:t>3083).</w:t>
        </w:r>
      </w:hyperlink>
    </w:p>
    <w:p>
      <w:pPr>
        <w:spacing w:after="0" w:line="1" w:lineRule="exact"/>
        <w:rPr>
          <w:rFonts w:ascii="Times New Roman" w:cs="Times New Roman" w:eastAsia="Times New Roman" w:hAnsi="Times New Roman"/>
          <w:sz w:val="18"/>
          <w:szCs w:val="18"/>
          <w:u w:val="single" w:color="auto"/>
          <w:color w:val="0000FF"/>
        </w:rPr>
      </w:pPr>
    </w:p>
    <w:p>
      <w:pPr>
        <w:ind w:left="1220" w:right="4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Form of Employment Protection Agreement. Incorporated by reference to Exhibit 10.1 to the Current Report on Form 8-K</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filed February 7, 2025 (File No. 1-3083).</w:t>
        </w:r>
      </w:hyperlink>
    </w:p>
    <w:p>
      <w:pPr>
        <w:ind w:left="1220" w:right="24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Genesco Inc. Executive Severance Plan. Incorporated by reference to Exhibit (10.1) to the Current Report on Form 8-K</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filed on May 3, 2024 (File No. 1-3083).</w:t>
        </w:r>
      </w:hyperlink>
    </w:p>
    <w:p>
      <w:pPr>
        <w:ind w:left="1220" w:right="6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Genesco Inc. Deferred Income Plan dated as of July 1, 2000. Incorporated by reference to Exhibit (10)p to the Company’s</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Annual Report on Form 10-K for the fiscal year ended January 29, 2005. Amended and Restated Deferred Income Plan</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dated August 22, 2007. Incorporated by reference to Exhibit (10)r to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fiscal year ended February 2, 2008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22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The Schuh Group Limited 2015 Management Bonus Scheme. Incorporated by reference to Exhibit (10)a to the Company’s</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Quarterly Report on Form 10-Q for the quarter ended July 30, 2011 (File No.1-3083).</w:t>
        </w:r>
      </w:hyperlink>
    </w:p>
    <w:p>
      <w:pPr>
        <w:ind w:left="1220" w:right="8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Letter Agreement dated August 30, 2023, by and between the Company and Mario Gallione. Incorporated by reference to</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Exhibit 10.1 to the current report on Form 8-K filed August 31, 2023. (File No. 1-3083).</w:t>
        </w:r>
      </w:hyperlink>
    </w:p>
    <w:p>
      <w:pPr>
        <w:ind w:left="1220" w:right="160" w:hanging="590"/>
        <w:spacing w:after="0" w:line="25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Form of Genesco Inc. Restricted Share Award Agreement. Incorporated by reference to Exhibit (10)cc to the Company's</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Annual Report on Form 10-K for the fiscal year ended February 3, 2024. (File No. 1-3083).</w:t>
        </w:r>
      </w:hyperlink>
    </w:p>
    <w:p>
      <w:pPr>
        <w:ind w:left="1220" w:right="100" w:hanging="590"/>
        <w:spacing w:after="0" w:line="260" w:lineRule="auto"/>
        <w:tabs>
          <w:tab w:leader="none" w:pos="1220" w:val="left"/>
        </w:tabs>
        <w:numPr>
          <w:ilvl w:val="0"/>
          <w:numId w:val="29"/>
        </w:numPr>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Basic Form of Exchange Agreement (Restricted Stock).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Form 8-K filed April 29, 2009 (File No. 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768350</wp:posOffset>
            </wp:positionH>
            <wp:positionV relativeFrom="paragraph">
              <wp:posOffset>-3464560</wp:posOffset>
            </wp:positionV>
            <wp:extent cx="53841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538416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-3327400</wp:posOffset>
            </wp:positionV>
            <wp:extent cx="36899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368998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-3190240</wp:posOffset>
            </wp:positionV>
            <wp:extent cx="56159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561594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-3053080</wp:posOffset>
            </wp:positionV>
            <wp:extent cx="56127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-2915920</wp:posOffset>
            </wp:positionV>
            <wp:extent cx="16148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16148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-2778760</wp:posOffset>
            </wp:positionV>
            <wp:extent cx="5270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527050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-2641600</wp:posOffset>
            </wp:positionV>
            <wp:extent cx="46901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469011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-2504440</wp:posOffset>
            </wp:positionV>
            <wp:extent cx="55714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55714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-2367280</wp:posOffset>
            </wp:positionV>
            <wp:extent cx="5368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53682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-2230120</wp:posOffset>
            </wp:positionV>
            <wp:extent cx="2952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29527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-2092960</wp:posOffset>
            </wp:positionV>
            <wp:extent cx="56286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562864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-1955800</wp:posOffset>
            </wp:positionV>
            <wp:extent cx="18815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-1818640</wp:posOffset>
            </wp:positionV>
            <wp:extent cx="54914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54914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-1681480</wp:posOffset>
            </wp:positionV>
            <wp:extent cx="1821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182118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-1544320</wp:posOffset>
            </wp:positionV>
            <wp:extent cx="56121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561213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-1407160</wp:posOffset>
            </wp:positionV>
            <wp:extent cx="54857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548576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-1270000</wp:posOffset>
            </wp:positionV>
            <wp:extent cx="5596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5596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-1132840</wp:posOffset>
            </wp:positionV>
            <wp:extent cx="24174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241744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-995680</wp:posOffset>
            </wp:positionV>
            <wp:extent cx="56343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-858520</wp:posOffset>
            </wp:positionV>
            <wp:extent cx="39217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392176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-721360</wp:posOffset>
            </wp:positionV>
            <wp:extent cx="55930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55930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-584200</wp:posOffset>
            </wp:positionV>
            <wp:extent cx="40430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404304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-447040</wp:posOffset>
            </wp:positionV>
            <wp:extent cx="5544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554418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-309880</wp:posOffset>
            </wp:positionV>
            <wp:extent cx="41916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-172720</wp:posOffset>
            </wp:positionV>
            <wp:extent cx="55835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55835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-35560</wp:posOffset>
            </wp:positionV>
            <wp:extent cx="22498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2249805" cy="8890"/>
                    </a:xfrm>
                    <a:prstGeom prst="rect">
                      <a:avLst/>
                    </a:prstGeom>
                    <a:noFill/>
                  </pic:spPr>
                </pic:pic>
              </a:graphicData>
            </a:graphic>
          </wp:anchor>
        </w:drawing>
      </w:r>
    </w:p>
    <w:p>
      <w:pPr>
        <w:spacing w:after="0" w:line="161" w:lineRule="exact"/>
        <w:rPr>
          <w:rFonts w:ascii="Times New Roman" w:cs="Times New Roman" w:eastAsia="Times New Roman" w:hAnsi="Times New Roman"/>
          <w:sz w:val="18"/>
          <w:szCs w:val="18"/>
          <w:color w:val="auto"/>
        </w:rPr>
      </w:pPr>
    </w:p>
    <w:p>
      <w:pPr>
        <w:ind w:left="44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201" w:right="399" w:bottom="1440" w:gutter="0" w:footer="0" w:header="0"/>
        </w:sectPr>
      </w:pPr>
    </w:p>
    <w:bookmarkStart w:id="90" w:name="page91"/>
    <w:bookmarkEnd w:id="90"/>
    <w:p>
      <w:pPr>
        <w:ind w:left="2340" w:right="180" w:hanging="590"/>
        <w:spacing w:after="0" w:line="261" w:lineRule="auto"/>
        <w:tabs>
          <w:tab w:leader="none" w:pos="2340" w:val="left"/>
        </w:tabs>
        <w:numPr>
          <w:ilvl w:val="0"/>
          <w:numId w:val="30"/>
        </w:numPr>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Basic Form of Exchange Agreement (Unrestricted Stock). Incorporated by reference to Exhibit 10.2 to the current report</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on Form 8-K filed April 29, 2009 (File No. 1-3083).</w:t>
        </w:r>
      </w:hyperlink>
    </w:p>
    <w:p>
      <w:pPr>
        <w:ind w:left="2340" w:right="660" w:hanging="590"/>
        <w:spacing w:after="0" w:line="250" w:lineRule="auto"/>
        <w:tabs>
          <w:tab w:leader="none" w:pos="2340" w:val="left"/>
        </w:tabs>
        <w:numPr>
          <w:ilvl w:val="0"/>
          <w:numId w:val="30"/>
        </w:numPr>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November 2, 2009 (File No. 1-3083).</w:t>
        </w:r>
      </w:hyperlink>
    </w:p>
    <w:p>
      <w:pPr>
        <w:ind w:left="2340" w:right="660" w:hanging="590"/>
        <w:spacing w:after="0" w:line="250" w:lineRule="auto"/>
        <w:tabs>
          <w:tab w:leader="none" w:pos="2340" w:val="left"/>
        </w:tabs>
        <w:numPr>
          <w:ilvl w:val="0"/>
          <w:numId w:val="30"/>
        </w:numPr>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November 6, 2009 (File No. 1-3083).</w:t>
        </w:r>
      </w:hyperlink>
    </w:p>
    <w:p>
      <w:pPr>
        <w:ind w:left="2340" w:right="200" w:hanging="590"/>
        <w:spacing w:after="0" w:line="250" w:lineRule="auto"/>
        <w:tabs>
          <w:tab w:leader="none" w:pos="2340" w:val="left"/>
        </w:tabs>
        <w:numPr>
          <w:ilvl w:val="0"/>
          <w:numId w:val="30"/>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Terms and Conditions to Trademark License Agreement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Genesco Inc.* Incorporated by reference to Exhibit (10)bb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180" w:hanging="590"/>
        <w:spacing w:after="0" w:line="250" w:lineRule="auto"/>
        <w:tabs>
          <w:tab w:leader="none" w:pos="2340" w:val="left"/>
        </w:tabs>
        <w:numPr>
          <w:ilvl w:val="0"/>
          <w:numId w:val="30"/>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Schedule to Trademark License Agreement (Levi’s®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Genesco Inc.* Incorporated by reference to Exhibit (10)cc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40" w:hanging="590"/>
        <w:spacing w:after="0" w:line="250" w:lineRule="auto"/>
        <w:tabs>
          <w:tab w:leader="none" w:pos="2340" w:val="left"/>
        </w:tabs>
        <w:numPr>
          <w:ilvl w:val="0"/>
          <w:numId w:val="30"/>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Schedule to Trademark License Agreement (Dockers®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Genesco Inc.* Incorporated by reference to Exhibit (10)dd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40" w:hanging="590"/>
        <w:spacing w:after="0" w:line="250" w:lineRule="auto"/>
        <w:tabs>
          <w:tab w:leader="none" w:pos="2340" w:val="left"/>
        </w:tabs>
        <w:numPr>
          <w:ilvl w:val="0"/>
          <w:numId w:val="30"/>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Amendment No. 1 to Trademark License Agreement, dated December 17, 2019, between Levi Strauss &amp; Co. and Genesco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 Incorporated by reference to Exhibit (10)ee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hanging="590"/>
        <w:spacing w:after="0"/>
        <w:tabs>
          <w:tab w:leader="none" w:pos="2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Consulting Agreement, dated January 29, 2026, by and between Genesco Inc. and Cassandra E. Harris.</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1479550</wp:posOffset>
            </wp:positionH>
            <wp:positionV relativeFrom="paragraph">
              <wp:posOffset>-2487930</wp:posOffset>
            </wp:positionV>
            <wp:extent cx="55422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55422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-2350770</wp:posOffset>
            </wp:positionV>
            <wp:extent cx="23926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23926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-2213610</wp:posOffset>
            </wp:positionV>
            <wp:extent cx="5241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52412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-2076450</wp:posOffset>
            </wp:positionV>
            <wp:extent cx="17132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171323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-1939290</wp:posOffset>
            </wp:positionV>
            <wp:extent cx="5241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52412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-1802130</wp:posOffset>
            </wp:positionV>
            <wp:extent cx="17132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171323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-1664970</wp:posOffset>
            </wp:positionV>
            <wp:extent cx="53492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-1527810</wp:posOffset>
            </wp:positionV>
            <wp:extent cx="55397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553974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-1390650</wp:posOffset>
            </wp:positionV>
            <wp:extent cx="21990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219900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-1253490</wp:posOffset>
            </wp:positionV>
            <wp:extent cx="55435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554355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-1116330</wp:posOffset>
            </wp:positionV>
            <wp:extent cx="55270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-979170</wp:posOffset>
            </wp:positionV>
            <wp:extent cx="21990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219900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-842010</wp:posOffset>
            </wp:positionV>
            <wp:extent cx="56324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563245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-704850</wp:posOffset>
            </wp:positionV>
            <wp:extent cx="55397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553974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-567690</wp:posOffset>
            </wp:positionV>
            <wp:extent cx="21990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219900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-430530</wp:posOffset>
            </wp:positionV>
            <wp:extent cx="56318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-293370</wp:posOffset>
            </wp:positionV>
            <wp:extent cx="56311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56311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-156210</wp:posOffset>
            </wp:positionV>
            <wp:extent cx="16725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-19050</wp:posOffset>
            </wp:positionV>
            <wp:extent cx="47148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85"/>
        </w:trPr>
        <w:tc>
          <w:tcPr>
            <w:tcW w:w="16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(16)</w:t>
            </w:r>
          </w:p>
        </w:tc>
        <w:tc>
          <w:tcPr>
            <w:tcW w:w="8840" w:type="dxa"/>
            <w:vAlign w:val="bottom"/>
            <w:gridSpan w:val="12"/>
          </w:tcPr>
          <w:p>
            <w:pPr>
              <w:spacing w:after="0" w:line="184"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Letter from Ernst &amp; Young to the Securities and Exchange Commission, dated May 6, 2025. Incorporated by reference to</w:t>
              </w:r>
            </w:hyperlink>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Exhibit (16.1) to the Company's Current Report on Form 8-K filed May 6, 2025. (File No. 1-3083).</w:t>
              </w:r>
            </w:hyperlink>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8840" w:type="dxa"/>
            <w:vAlign w:val="bottom"/>
            <w:gridSpan w:val="12"/>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Insider Trading Policy. Incorporated by reference to Exhibit (19) to the Company's Annual Report on Form 10-K for the</w:t>
              </w:r>
            </w:hyperlink>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fiscal year ended February 1, 2025. (File No. 1-3083).</w:t>
              </w:r>
            </w:hyperlink>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 Independent Register Public Accounting Firm on page 92.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on page 93.</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Executive Officer and Interim Chief Financial Officer Pursuant to Section 302 of the Sarbanes-</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gridSpan w:val="3"/>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Executive Officer and Interim Chief Financial Officer Pursuant to 18 U.S.C. Section 1350, as</w:t>
            </w:r>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FF"/>
            </w:tcBorders>
            <w:gridSpan w:val="4"/>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EE"/>
            </w:tcBorders>
            <w:gridSpan w:val="4"/>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8840" w:type="dxa"/>
            <w:vAlign w:val="bottom"/>
            <w:gridSpan w:val="12"/>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Genesco Inc. Amended and Restated Compensation Recoupment Policy, dated as of October 26, 2023. Incorporated by</w:t>
              </w:r>
            </w:hyperlink>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700" w:type="dxa"/>
            <w:vAlign w:val="bottom"/>
            <w:gridSpan w:val="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reference to Exhibit (97) to the Company's Annual Report on Form 10-K for the fiscal year ended February 3, 2024. (File</w:t>
              </w:r>
            </w:hyperlink>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84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No. 1-3083).</w:t>
              </w:r>
            </w:hyperlink>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materials from Genesco Inc.'s Annual Form on Form 10-K for the year ended January 31, 2026, formatted</w:t>
            </w:r>
          </w:p>
        </w:tc>
      </w:tr>
      <w:tr>
        <w:trPr>
          <w:trHeight w:val="216"/>
        </w:trPr>
        <w:tc>
          <w:tcPr>
            <w:tcW w:w="166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Inline XBRL (eXtensible Business Reporting Language): (i) Consolidated Balance Sheets at January 31, 2026 and</w:t>
            </w:r>
          </w:p>
        </w:tc>
      </w:tr>
      <w:tr>
        <w:trPr>
          <w:trHeight w:val="216"/>
        </w:trPr>
        <w:tc>
          <w:tcPr>
            <w:tcW w:w="166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February 1, 2025, (ii) Consolidated Statements of Operations for each of the three fiscal years ended 2026, 2025 and 2024,</w:t>
            </w:r>
          </w:p>
        </w:tc>
      </w:tr>
      <w:tr>
        <w:trPr>
          <w:trHeight w:val="216"/>
        </w:trPr>
        <w:tc>
          <w:tcPr>
            <w:tcW w:w="166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(iii) Consolidated Statements of Comprehensive Income (Loss) for each of the three fiscal years ended 2026, 2025 and</w:t>
            </w:r>
          </w:p>
        </w:tc>
      </w:tr>
      <w:tr>
        <w:trPr>
          <w:trHeight w:val="216"/>
        </w:trPr>
        <w:tc>
          <w:tcPr>
            <w:tcW w:w="166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2024, (iv) Consolidated Statements of Cash Flows for each of the three fiscal years ended 2026, 2025 and 2024, (v)</w:t>
            </w:r>
          </w:p>
        </w:tc>
      </w:tr>
      <w:tr>
        <w:trPr>
          <w:trHeight w:val="216"/>
        </w:trPr>
        <w:tc>
          <w:tcPr>
            <w:tcW w:w="166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Consolidated Statements of Equity for each of the three fiscal years ended 2026, 2025 and 2024, and (vi) Notes to</w:t>
            </w:r>
          </w:p>
        </w:tc>
      </w:tr>
      <w:tr>
        <w:trPr>
          <w:trHeight w:val="216"/>
        </w:trPr>
        <w:tc>
          <w:tcPr>
            <w:tcW w:w="166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Exhibits (10)f through (10)x, (10)aa through (10)ii and (10)ss are Management Contracts or Compensatory Plans or Arrangements required to be filed as Exhibits to this Annual Report on Form 10-K.</w:t>
      </w:r>
    </w:p>
    <w:p>
      <w:pPr>
        <w:spacing w:after="0"/>
        <w:rPr>
          <w:sz w:val="20"/>
          <w:szCs w:val="20"/>
          <w:color w:val="auto"/>
        </w:rPr>
      </w:pPr>
      <w:r>
        <w:rPr>
          <w:rFonts w:ascii="Times New Roman" w:cs="Times New Roman" w:eastAsia="Times New Roman" w:hAnsi="Times New Roman"/>
          <w:sz w:val="16"/>
          <w:szCs w:val="16"/>
          <w:color w:val="auto"/>
        </w:rPr>
        <w:t>* Certain portions of this exhibit have been omitted pursuant to a request for confidential treatment.</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 copy of any of the above described exhibits will be furnished to the shareholders upon written request, addressed to Director, Corporate Relations, Genesco Inc., 535 Marriott Drive, 12th Floor, Nashville, Tennessee 37215, accompanied by a check in the amount of $15.00 payable to Genesco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333-08463, 333-104908, 333-40249, 333-128201, 333-160339, 333-180463, 333-218670, 333-248715, 333-274394, 333-282063 and 333-290298 on Form S-8 of our reports dated March 25, 2026 relating to the financial statements of Genesco Inc. and the effectiveness of Genesco Inc.'s internal control over financial reporting, appearing in this Annual Report on Form 10-K of Genesco Inc. for the year ended January 31, 2026.</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25,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ind w:right="2760" w:firstLine="3317"/>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333-08463)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333-104908)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333-40249) of Genesco Inc.,</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333-128201)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333-160339)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333-180463) of Genesco Inc.,</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333-218670)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333-248715)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333-274394) of Genesco Inc.,</w:t>
      </w:r>
    </w:p>
    <w:p>
      <w:pPr>
        <w:spacing w:after="0" w:line="19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333-282063) of Genesco Inc., and</w:t>
      </w:r>
    </w:p>
    <w:p>
      <w:pPr>
        <w:spacing w:after="0" w:line="18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333-290298) of Genesco Inc.</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 dated March 26, 2025, with respect to the consolidated financial statements of Genesco Inc. and Subsidiaries included in this Annual Report (Form 10-K) of Genesco Inc. for the year ended January 31, 2026, and the financial statement schedule of Genesco Inc. and Subsidiaries included herein.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25, 2026</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97" w:right="8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GENESCO INC.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/s/Mimi Eckel Vaughn</w:t>
            </w:r>
          </w:p>
        </w:tc>
      </w:tr>
      <w:tr>
        <w:trPr>
          <w:trHeight w:val="191"/>
        </w:trPr>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Mimi Eckel Vaughn</w:t>
            </w:r>
          </w:p>
        </w:tc>
      </w:tr>
      <w:tr>
        <w:trPr>
          <w:trHeight w:val="216"/>
        </w:trPr>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Board Chair, President, Chief Executive Officer and</w:t>
            </w:r>
          </w:p>
        </w:tc>
      </w:tr>
      <w:tr>
        <w:trPr>
          <w:trHeight w:val="234"/>
        </w:trPr>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4th day of February,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/s/Mimi Eckel Vaughn</w:t>
            </w: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Chair, President, Chief Executive Officer and</w:t>
            </w:r>
          </w:p>
        </w:tc>
      </w:tr>
      <w:tr>
        <w:trPr>
          <w:trHeight w:val="191"/>
        </w:trPr>
        <w:tc>
          <w:tcPr>
            <w:tcW w:w="3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Mimi Eckel Vaughn</w:t>
            </w: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&amp; Principal Financial Officer)</w:t>
            </w:r>
          </w:p>
        </w:tc>
      </w:tr>
      <w:tr>
        <w:trPr>
          <w:trHeight w:val="432"/>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/s/Cassandra E. Harris</w:t>
            </w: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Cassandra E. Harris</w:t>
            </w: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611"/>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Joanna Barsh*</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Angel R. Martinez *</w:t>
            </w:r>
          </w:p>
        </w:tc>
      </w:tr>
      <w:tr>
        <w:trPr>
          <w:trHeight w:val="43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Bilunas*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Mary Meixelsperger*</w:t>
            </w:r>
          </w:p>
        </w:tc>
      </w:tr>
      <w:tr>
        <w:trPr>
          <w:trHeight w:val="43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Carolyn Bojanowski *</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Gregory A. Sandfort*</w:t>
            </w:r>
          </w:p>
        </w:tc>
      </w:tr>
      <w:tr>
        <w:trPr>
          <w:trHeight w:val="43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 Lambros.*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Mimi E. Vaughn*</w:t>
            </w:r>
          </w:p>
        </w:tc>
      </w:tr>
      <w:tr>
        <w:trPr>
          <w:trHeight w:val="43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Thurgood Marshall, Jr.*</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/s/Scott E. Becker</w:t>
            </w: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91"/>
        </w:trPr>
        <w:tc>
          <w:tcPr>
            <w:tcW w:w="680" w:type="dxa"/>
            <w:vAlign w:val="bottom"/>
          </w:tcPr>
          <w:p>
            <w:pPr>
              <w:spacing w:after="0"/>
              <w:rPr>
                <w:sz w:val="16"/>
                <w:szCs w:val="16"/>
                <w:color w:val="auto"/>
              </w:rPr>
            </w:pPr>
          </w:p>
        </w:tc>
        <w:tc>
          <w:tcPr>
            <w:tcW w:w="3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E. Becker</w:t>
            </w: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864"/>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80" w:type="dxa"/>
            <w:vAlign w:val="bottom"/>
            <w:gridSpan w:val="3"/>
          </w:tcPr>
          <w:p>
            <w:pPr>
              <w:jc w:val="right"/>
              <w:ind w:right="5430"/>
              <w:spacing w:after="0"/>
              <w:rPr>
                <w:sz w:val="20"/>
                <w:szCs w:val="20"/>
                <w:color w:val="auto"/>
              </w:rPr>
            </w:pPr>
            <w:r>
              <w:rPr>
                <w:rFonts w:ascii="Times New Roman" w:cs="Times New Roman" w:eastAsia="Times New Roman" w:hAnsi="Times New Roman"/>
                <w:sz w:val="18"/>
                <w:szCs w:val="18"/>
                <w:color w:val="auto"/>
              </w:rPr>
              <w:t>94</w:t>
            </w:r>
          </w:p>
        </w:tc>
      </w:tr>
      <w:tr>
        <w:trPr>
          <w:trHeight w:val="763"/>
        </w:trPr>
        <w:tc>
          <w:tcPr>
            <w:tcW w:w="6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Financial Statement Schedule</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January 31,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2</w:t>
            </w:r>
          </w:p>
        </w:tc>
      </w:tr>
      <w:tr>
        <w:trPr>
          <w:trHeight w:val="369"/>
        </w:trPr>
        <w:tc>
          <w:tcPr>
            <w:tcW w:w="2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Genesco Inc.</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2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Valuation and Qualifying Accounts</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5"/>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January 31, 2026</w:t>
            </w: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0"/>
        </w:trPr>
        <w:tc>
          <w:tcPr>
            <w:tcW w:w="23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4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tc>
        <w:tc>
          <w:tcPr>
            <w:tcW w:w="2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2,522</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2,377</w:t>
            </w:r>
          </w:p>
        </w:tc>
      </w:tr>
      <w:tr>
        <w:trPr>
          <w:trHeight w:val="237"/>
        </w:trPr>
        <w:tc>
          <w:tcPr>
            <w:tcW w:w="4140" w:type="dxa"/>
            <w:vAlign w:val="bottom"/>
            <w:tcBorders>
              <w:bottom w:val="single" w:sz="8" w:color="auto"/>
            </w:tcBorders>
            <w:gridSpan w:val="2"/>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Markdown Allowance </w:t>
            </w:r>
            <w:r>
              <w:rPr>
                <w:rFonts w:ascii="Times New Roman" w:cs="Times New Roman" w:eastAsia="Times New Roman" w:hAnsi="Times New Roman"/>
                <w:sz w:val="24"/>
                <w:szCs w:val="24"/>
                <w:b w:val="1"/>
                <w:bCs w:val="1"/>
                <w:color w:val="auto"/>
                <w:vertAlign w:val="superscript"/>
              </w:rPr>
              <w:t>(1)</w:t>
            </w:r>
          </w:p>
        </w:tc>
        <w:tc>
          <w:tcPr>
            <w:tcW w:w="2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7,678</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1,500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7,750</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February 1, 2025</w:t>
            </w: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0"/>
        </w:trPr>
        <w:tc>
          <w:tcPr>
            <w:tcW w:w="23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2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4,266</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2,522</w:t>
            </w:r>
          </w:p>
        </w:tc>
      </w:tr>
      <w:tr>
        <w:trPr>
          <w:trHeight w:val="236"/>
        </w:trPr>
        <w:tc>
          <w:tcPr>
            <w:tcW w:w="4140" w:type="dxa"/>
            <w:vAlign w:val="bottom"/>
            <w:tcBorders>
              <w:bottom w:val="single" w:sz="8" w:color="auto"/>
            </w:tcBorders>
            <w:gridSpan w:val="2"/>
          </w:tcPr>
          <w:p>
            <w:pPr>
              <w:spacing w:after="0" w:line="236"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2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6,229</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7,678</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February 3, 2024</w:t>
            </w: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0"/>
        </w:trPr>
        <w:tc>
          <w:tcPr>
            <w:tcW w:w="23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10"/>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2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3,710</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4,266</w:t>
            </w:r>
          </w:p>
        </w:tc>
      </w:tr>
      <w:tr>
        <w:trPr>
          <w:trHeight w:val="237"/>
        </w:trPr>
        <w:tc>
          <w:tcPr>
            <w:tcW w:w="4140" w:type="dxa"/>
            <w:vAlign w:val="bottom"/>
            <w:tcBorders>
              <w:bottom w:val="single" w:sz="8" w:color="auto"/>
            </w:tcBorders>
            <w:gridSpan w:val="2"/>
          </w:tcPr>
          <w:p>
            <w:pPr>
              <w:spacing w:after="0" w:line="236"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2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6,018</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6,229</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380" w:right="20" w:hanging="372"/>
        <w:spacing w:after="0" w:line="223" w:lineRule="auto"/>
        <w:tabs>
          <w:tab w:leader="none" w:pos="38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6" w:name="page97"/>
    <w:bookmarkEnd w:id="96"/>
    <w:p>
      <w:pPr>
        <w:ind w:left="7200"/>
        <w:spacing w:after="0"/>
        <w:rPr>
          <w:sz w:val="20"/>
          <w:szCs w:val="20"/>
          <w:color w:val="auto"/>
        </w:rPr>
      </w:pPr>
      <w:r>
        <w:rPr>
          <w:rFonts w:ascii="Times New Roman" w:cs="Times New Roman" w:eastAsia="Times New Roman" w:hAnsi="Times New Roman"/>
          <w:sz w:val="22"/>
          <w:szCs w:val="22"/>
          <w:color w:val="auto"/>
        </w:rPr>
        <w:t>Exhibit 10.1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This Consulting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January 29, 2026, by and between Genesco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Cassandra E. Harris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This Agreement will become effective on the date 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4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is currently employed as Senior Vice President – Finance and Chief Financial Officer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is the Company’s principal accounting officer and principal financial officer;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will resign her employment with the Company as of the close of business on March 6, 2026;</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has agreed to provide temporary services to the Company beginning on March 7, 2026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following the resignation of her employment as set forth herein;</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exchange for the consideration set forth below, Consultant agrees to be bound by certain 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set forth herein; and</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Consultant desire to enter into this Agreement to set forth the terms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engagement with the Company effective as of the Effective Date.</w:t>
      </w:r>
    </w:p>
    <w:p>
      <w:pPr>
        <w:spacing w:after="0" w:line="150"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foregoing, of the mutual promises contained herein and of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are hereby acknowledged, the parties hereto hereby agree as follows:</w:t>
      </w:r>
    </w:p>
    <w:p>
      <w:pPr>
        <w:spacing w:after="0" w:line="126" w:lineRule="exact"/>
        <w:rPr>
          <w:sz w:val="20"/>
          <w:szCs w:val="20"/>
          <w:color w:val="auto"/>
        </w:rPr>
      </w:pPr>
    </w:p>
    <w:p>
      <w:pPr>
        <w:jc w:val="both"/>
        <w:ind w:firstLine="757"/>
        <w:spacing w:after="0" w:line="246" w:lineRule="auto"/>
        <w:tabs>
          <w:tab w:leader="none" w:pos="1018"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Engagement</w:t>
      </w:r>
      <w:r>
        <w:rPr>
          <w:rFonts w:ascii="Times New Roman" w:cs="Times New Roman" w:eastAsia="Times New Roman" w:hAnsi="Times New Roman"/>
          <w:sz w:val="22"/>
          <w:szCs w:val="22"/>
          <w:color w:val="auto"/>
        </w:rPr>
        <w:t>. Consultant’s engagement under this Agreement shall commence as of the Effective Date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terminate on the later of March 25, 2026 and the filing of the Annual Report on Form 10-K for Fiscal 2026 (the “</w:t>
      </w:r>
      <w:r>
        <w:rPr>
          <w:rFonts w:ascii="Times New Roman" w:cs="Times New Roman" w:eastAsia="Times New Roman" w:hAnsi="Times New Roman"/>
          <w:sz w:val="22"/>
          <w:szCs w:val="22"/>
          <w:b w:val="1"/>
          <w:bCs w:val="1"/>
          <w:color w:val="auto"/>
        </w:rPr>
        <w:t>Form 10-K</w:t>
      </w:r>
      <w:r>
        <w:rPr>
          <w:rFonts w:ascii="Times New Roman" w:cs="Times New Roman" w:eastAsia="Times New Roman" w:hAnsi="Times New Roman"/>
          <w:sz w:val="22"/>
          <w:szCs w:val="22"/>
          <w:color w:val="auto"/>
        </w:rPr>
        <w:t>”), unless terminated earlier per the terms of Section 4 hereof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Duties</w:t>
      </w:r>
      <w:r>
        <w:rPr>
          <w:rFonts w:ascii="Times New Roman" w:cs="Times New Roman" w:eastAsia="Times New Roman" w:hAnsi="Times New Roman"/>
          <w:sz w:val="22"/>
          <w:szCs w:val="22"/>
          <w:color w:val="auto"/>
        </w:rPr>
        <w:t>. The Company shall engage Consultant as principal accounting officer during the Term to perform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and duties customary and commensurate with the Consultant’s position as a principal accounting officer, including, without limitation, assisting with the preparation of and review of the financial statements and Form 10-K and execution of the Form 10-K and all related certifications. Consultant shall have the right to perform her services remotely. Consultant shall use commercially reasonable efforts to promote the interests of the Company in her role hereunder. Nothing contained in the foregoing will prevent Consultant from providing services to any future employer, provided the same does not constitute a breach of Section 6 herein. Consultant shall at all times comply with all applicable laws, rules and regulations of any and all governmental authorities and the applicable standards, bylaws, rules, compliance programs, policies and procedures of the Company. Consultant acknowledges and agrees that she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7" w:name="page98"/>
    <w:bookmarkEnd w:id="97"/>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continue to be an “executive officer” and “officer” under the Securities Exchange Act of 1934, as amended, throughout the Term of this Agreement.</w:t>
      </w:r>
    </w:p>
    <w:p>
      <w:pPr>
        <w:spacing w:after="0" w:line="154" w:lineRule="exact"/>
        <w:rPr>
          <w:sz w:val="20"/>
          <w:szCs w:val="20"/>
          <w:color w:val="auto"/>
        </w:rPr>
      </w:pPr>
    </w:p>
    <w:p>
      <w:pPr>
        <w:jc w:val="both"/>
        <w:ind w:firstLine="757"/>
        <w:spacing w:after="0" w:line="236" w:lineRule="auto"/>
        <w:tabs>
          <w:tab w:leader="none" w:pos="101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 The Company shall pay Consultant a total fee of $12,000 (the “</w:t>
      </w:r>
      <w:r>
        <w:rPr>
          <w:rFonts w:ascii="Times New Roman" w:cs="Times New Roman" w:eastAsia="Times New Roman" w:hAnsi="Times New Roman"/>
          <w:sz w:val="22"/>
          <w:szCs w:val="22"/>
          <w:b w:val="1"/>
          <w:bCs w:val="1"/>
          <w:color w:val="auto"/>
        </w:rPr>
        <w:t>Fee</w:t>
      </w:r>
      <w:r>
        <w:rPr>
          <w:rFonts w:ascii="Times New Roman" w:cs="Times New Roman" w:eastAsia="Times New Roman" w:hAnsi="Times New Roman"/>
          <w:sz w:val="22"/>
          <w:szCs w:val="22"/>
          <w:color w:val="auto"/>
        </w:rPr>
        <w:t>”) for all services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which shall not be subject to any tax withholdings or deductions. Notwithstanding the foregoing, in the event that more than 40 hours of work are performed by Consultant, Consultant and the Company shall mutually agree on a fee for such additional services. Consultant will be solely responsible for any tax liability arising from her receipt of the Fee and shall fully indemnify the Company from any tax liability arising from any Fee payments made to Consultant under the terms of this Agreement. Consultant acknowledges that, except as expressly provided in this Agreement, Consultant will not receive nor is she entitled to any additional compensation, severance or benefits.</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Event</w:t>
      </w:r>
      <w:r>
        <w:rPr>
          <w:rFonts w:ascii="Times New Roman" w:cs="Times New Roman" w:eastAsia="Times New Roman" w:hAnsi="Times New Roman"/>
          <w:sz w:val="22"/>
          <w:szCs w:val="22"/>
          <w:color w:val="auto"/>
        </w:rPr>
        <w:t>. This Agreement may be terminated by the Company upon seven (7) days’ prior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 termination for any reason, the Company shall have no obligation to Consultant other than the payment of Consultant’s earned and unpaid Fee from the Effective Date through the effective date of termination.</w:t>
      </w:r>
    </w:p>
    <w:p>
      <w:pPr>
        <w:spacing w:after="0" w:line="16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The following Sections shall survive any expiration or termination of this Agreement: Sections 6 – 17.</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and Non-Disclosure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55" w:lineRule="auto"/>
        <w:tabs>
          <w:tab w:leader="none" w:pos="203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Consultant understands and acknowledges that, during the course of her engagement with the Company and as a result of having executed this Agreement, Consultant may be granted access to valuable information relating to the Company’s business. Consultant agrees to continue to be bound by the Company’s Code of Business Conduct and Ethics, including the confidentiality provisions thereof, as a Senior Executive and Financial Officer thereunder.</w:t>
      </w:r>
    </w:p>
    <w:p>
      <w:pPr>
        <w:spacing w:after="0" w:line="161"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Duty of Confidentiality. Consultant agrees at all times, both during and after her engagement with the Company, to hold all of the Company’s Confidential Information for the benefit of the Company and to use commercially reasonable efforts to safeguard all such Confidential Information. Consultant will not directly or indirectly disclose to or use on behalf of any third person or entity outside the Company any such Confidential Information, except as may be necessary in the good faith performance of Consultant’s duties for the Company. This provision is not intended to, nor shall it (or any other provision herein), prohibit Consultant from cooperating with any government investigation or court order or from making a good-faith, truthful report to any government agency with oversight responsibility for the Company. All data, memoranda, notes, lists, drawings, records, files, and other documentation (and all copies thereof) made or compiled by Consultant or made available to Consultant concerning the Confidential Information are the property of the Company, and will be delivered by Consultant to the Company immediately upon the termination of Consultant’s engagement with the Company or within three (3) days of any request by Company.</w:t>
      </w:r>
    </w:p>
    <w:p>
      <w:pPr>
        <w:spacing w:after="0" w:line="187"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 Trade Secrets Act. Pursuant to the Defend Trade Secrets Act of 2016, Consultant acknowledges that she shall have no criminal or civil liability under any federal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Consultant files a lawsuit for retaliation by Company for reporting a suspected violation of law, Consultant may disclose the trade secret to Consultant’s attorney and may use the trade secret information in the court proceeding, if Consultant (y) uses reasonable efforts to submit any document containing the trade secret under seal; and (z) does not disclose the trade secret, except pursuant to court order.</w:t>
      </w:r>
    </w:p>
    <w:p>
      <w:pPr>
        <w:spacing w:after="0" w:line="183" w:lineRule="exact"/>
        <w:rPr>
          <w:sz w:val="20"/>
          <w:szCs w:val="20"/>
          <w:color w:val="auto"/>
        </w:rPr>
      </w:pPr>
    </w:p>
    <w:p>
      <w:pPr>
        <w:jc w:val="both"/>
        <w:ind w:firstLine="1505"/>
        <w:spacing w:after="0" w:line="244" w:lineRule="auto"/>
        <w:tabs>
          <w:tab w:leader="none" w:pos="203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Unfair Competition. Consultant acknowledges that the Company has a compelling business interest in preventing unfair competition stemming from the intentional or inadvertent use or disclosure of the Company’s Confidential Information.</w:t>
      </w:r>
    </w:p>
    <w:p>
      <w:pPr>
        <w:spacing w:after="0" w:line="169"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color w:val="auto"/>
        </w:rPr>
        <w:t>. It is agreed that if Consultant violates Section 6 of this Agreement, irreparable harm could occur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money damages may be insufficient to compensate the Company. Therefore, the Company will be entitled to seek injunctive relief (including, without limitation, temporary and permanent injunctions, a decree for specific performance, and an equitable accounting of earnings, profits, and other benefits arising from such violation), in any court having jurisdiction over such claim, to enforce the terms of Section 6, without posting bond or any other security. Consultant further agrees that any request for such injunctive relief by the Company shall be in addition to, and without prejudice to, any claim for monetary damages that the Company may elect to assert. The foregoing will not operate to restrict Consultant from contesting any facts alleged by Company in support of Company’s application for such injunctive relief.</w:t>
      </w:r>
    </w:p>
    <w:p>
      <w:pPr>
        <w:spacing w:after="0" w:line="178"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is personal to Consultant and, without the written consent of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assignable by Consultant.</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Except to the extent the terms and provisions of this Agreement are governed by federal law,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construed in accordance with the laws of the State of Tennessee, without giving effect to any choice or conflict of laws provision or rule that would cause the application of the domestic substantive laws of any other jurisdiction. Furthermore, the Parties expressly agree that the sole and exclusive venue for any dispute between the Parties arising from this Agreement shall be the federal or state courts located in Davidson County, Tennessee.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portion or provision of this Agreement shall to any extent be declared illegal or unenforceable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court of competent jurisdiction, the remainder of such covenants shall not thereby be affected and shall be given full effect, without regard to the invalid portions. If a court finds that any provision of this Agreement is invalid or unenforceable, but that by limiting such provision it would become valid and enforceable, then such court shall have the authority under this Agreement to rewrite or reform the restriction(s) at issue to achieve this intent, and such provision(s) shall be deemed to be written, construed, and enforced as so limited, and each portion and provision of this Agreement shall be valid and enforceable to the fullest extent permitted by law.</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and all notices, requests, demands and other communications provided for by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writing and shall be effective when delivered in person, deposited in the United States mail, postage prepaid, registered or certified, or sent by a nationally recognized overnight carrier, and addressed to Consultant at her address on record with the Company or, in the case of the Company, at its principal place of business, or to such other address as either Party may specify by written notice to the other.</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with respect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of Consultant’s engagement and supersedes all prior communications, agreements and understandings, written or oral, with respect to the terms and conditions of Consultant’s engagement. This Agreement may be amended or modified only by a written instrument signed by Consultant and the Company. The Parties specifically acknowledge and agree that nothing in this Agreement shall modify, alter or abridge any obligation that Consultant has to the Company under the terms of any other agreement between or among the Parties. The Parties agree that the Employment Protection Agreement dated as of February 6, 2025, by and between the Company and Consultant is hereby terminated and of no further force and effect.</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headings and captions in this Agreement are for convenience only and in no way define or describe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scope or content of any provision of this Agreement.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an original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which together shall constitute one and the same instrument. Any electronic signature provided by either Party shall be deemed the legally binding original signature of the respective Party.</w:t>
      </w:r>
    </w:p>
    <w:p>
      <w:pPr>
        <w:spacing w:after="0" w:line="16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16.</w:t>
      </w:r>
      <w:r>
        <w:rPr>
          <w:rFonts w:ascii="Times New Roman" w:cs="Times New Roman" w:eastAsia="Times New Roman" w:hAnsi="Times New Roman"/>
          <w:sz w:val="21"/>
          <w:szCs w:val="21"/>
          <w:b w:val="1"/>
          <w:bCs w:val="1"/>
          <w:u w:val="single" w:color="auto"/>
          <w:color w:val="auto"/>
        </w:rPr>
        <w:t>Independent Contractor</w:t>
      </w:r>
      <w:r>
        <w:rPr>
          <w:rFonts w:ascii="Times New Roman" w:cs="Times New Roman" w:eastAsia="Times New Roman" w:hAnsi="Times New Roman"/>
          <w:sz w:val="21"/>
          <w:szCs w:val="21"/>
          <w:color w:val="auto"/>
        </w:rPr>
        <w:t>. In performing the services contemplated hereunder, Consultant shall be an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contractor of Company. Nothing in this Agreement shall be construed to constitute either party as the agent, employee or joint venturer of the other, nor shall either party have the right to bind the other party or make any promises or representations on behalf of the other party. Consultant shall be solely responsible for the payment of taxes, withholding payments, penalties, fees, fringe benefits, vacation pay, sick leave, retirement benefits, social security, worker’s compensation, disability or unemployment insurance benefits or other employee benefits of any kind and shall have no claim against the Company for such expenses. The engagement between the Parties set forth herein is non-exclusive, and Consultant may engage in outside business engagements, provided that such engagements do not result in a breach of Consultant’s obligations under Section 6 of this Agreement.</w:t>
      </w:r>
    </w:p>
    <w:p>
      <w:pPr>
        <w:spacing w:after="0" w:line="172"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Consultant shall indemnify the Company from any and all claims, liabilities and damages,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resulting to Company as a result of (a) Consultant’s breach of any provisions of this Agreement; or (b) Consultant’s gross negligence, willful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misconduct or violation of law in the performance of her services hereunder; provided, that in no event shall Consultant be liable for incidental, consequential, special or punitive damages.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executed by the Company, by its duly authorized representative, and by Consultant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ompany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onsultant</w:t>
            </w:r>
          </w:p>
        </w:tc>
        <w:tc>
          <w:tcPr>
            <w:tcW w:w="0" w:type="dxa"/>
            <w:vAlign w:val="bottom"/>
          </w:tcPr>
          <w:p>
            <w:pPr>
              <w:spacing w:after="0"/>
              <w:rPr>
                <w:sz w:val="1"/>
                <w:szCs w:val="1"/>
                <w:color w:val="auto"/>
              </w:rPr>
            </w:pPr>
          </w:p>
        </w:tc>
      </w:tr>
      <w:tr>
        <w:trPr>
          <w:trHeight w:val="409"/>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By:/s/ Scott E. Becker</w:t>
            </w:r>
          </w:p>
        </w:tc>
        <w:tc>
          <w:tcPr>
            <w:tcW w:w="1300" w:type="dxa"/>
            <w:vAlign w:val="bottom"/>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/s/ Cassandra E. Harris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Name:   Scott E. Becker</w:t>
            </w: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SVP, General Counsel and Secretary</w:t>
            </w:r>
          </w:p>
        </w:tc>
        <w:tc>
          <w:tcPr>
            <w:tcW w:w="1300" w:type="dxa"/>
            <w:vAlign w:val="bottom"/>
          </w:tcPr>
          <w:p>
            <w:pPr>
              <w:spacing w:after="0"/>
              <w:rPr>
                <w:sz w:val="23"/>
                <w:szCs w:val="23"/>
                <w:color w:val="auto"/>
              </w:rPr>
            </w:pPr>
          </w:p>
        </w:tc>
        <w:tc>
          <w:tcPr>
            <w:tcW w:w="3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Cassandra E. Harris</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4"/>
        </w:trPr>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6</w:t>
            </w:r>
          </w:p>
        </w:tc>
        <w:tc>
          <w:tcPr>
            <w:tcW w:w="3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82"/>
        </w:trPr>
        <w:tc>
          <w:tcPr>
            <w:tcW w:w="2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21</w:t>
            </w:r>
          </w:p>
        </w:tc>
      </w:tr>
      <w:tr>
        <w:trPr>
          <w:trHeight w:val="486"/>
        </w:trPr>
        <w:tc>
          <w:tcPr>
            <w:tcW w:w="7620" w:type="dxa"/>
            <w:vAlign w:val="bottom"/>
            <w:gridSpan w:val="2"/>
          </w:tcPr>
          <w:p>
            <w:pPr>
              <w:ind w:left="2500"/>
              <w:spacing w:after="0"/>
              <w:rPr>
                <w:sz w:val="20"/>
                <w:szCs w:val="20"/>
                <w:color w:val="auto"/>
              </w:rPr>
            </w:pPr>
            <w:r>
              <w:rPr>
                <w:rFonts w:ascii="Times New Roman" w:cs="Times New Roman" w:eastAsia="Times New Roman" w:hAnsi="Times New Roman"/>
                <w:sz w:val="22"/>
                <w:szCs w:val="22"/>
                <w:color w:val="auto"/>
              </w:rPr>
              <w:t>SUBSIDIARIES OF THE REGISTRANT</w:t>
            </w:r>
          </w:p>
        </w:tc>
        <w:tc>
          <w:tcPr>
            <w:tcW w:w="3620" w:type="dxa"/>
            <w:vAlign w:val="bottom"/>
          </w:tcPr>
          <w:p>
            <w:pPr>
              <w:spacing w:after="0"/>
              <w:rPr>
                <w:sz w:val="24"/>
                <w:szCs w:val="24"/>
                <w:color w:val="auto"/>
              </w:rPr>
            </w:pPr>
          </w:p>
        </w:tc>
      </w:tr>
      <w:tr>
        <w:trPr>
          <w:trHeight w:val="677"/>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Subsidiaries of the Company:</w:t>
            </w:r>
          </w:p>
        </w:tc>
        <w:tc>
          <w:tcPr>
            <w:tcW w:w="48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07"/>
        </w:trPr>
        <w:tc>
          <w:tcPr>
            <w:tcW w:w="7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Names of Subsidiary</w:t>
            </w:r>
            <w:r>
              <w:rPr>
                <w:rFonts w:ascii="Times New Roman" w:cs="Times New Roman" w:eastAsia="Times New Roman" w:hAnsi="Times New Roman"/>
                <w:sz w:val="9"/>
                <w:szCs w:val="9"/>
                <w:b w:val="1"/>
                <w:bCs w:val="1"/>
                <w:color w:val="auto"/>
              </w:rPr>
              <w:t>(1)</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Place of Incorporation</w:t>
            </w:r>
          </w:p>
        </w:tc>
      </w:tr>
      <w:tr>
        <w:trPr>
          <w:trHeight w:val="371"/>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Flagg Bros. of Puerto Rico, Inc.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Brands,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Brands NY,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GVI, Inc.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Hat World Corporation</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GCO Canada ULC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Canada</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Footwear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Services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(Quanzhou) Footwear Co., Ltd.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(UK)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Schuh Group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Schuh (Holdings)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Schuh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82"/>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Schuh (ROI) Limited</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Republic of Ireland</w:t>
            </w: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100% of the equity of each listed subsidiary is owned either by the registrant or by a wholly-owned subsidiary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1934845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undersigned directors of Genesco Inc., a Tennessee corporation (“Genesco”), do hereby constitute and appoint Scott E. Becker and Cassandra Harris, and any one of them, to act severally as attorneys-in-fact for and in their respective names, places and steads, with full power of substitution, to execute, sign and file with the Securities and Exchange Commission the Annual Report on Form 10-K of Genesco for the fiscal year ended January 31, 2026,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this 4th day of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/s/Joanna Barsh</w:t>
            </w:r>
          </w:p>
        </w:tc>
        <w:tc>
          <w:tcPr>
            <w:tcW w:w="13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2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/s/Angel R. Martinez</w:t>
            </w:r>
          </w:p>
        </w:tc>
      </w:tr>
      <w:tr>
        <w:trPr>
          <w:trHeight w:val="20"/>
        </w:trPr>
        <w:tc>
          <w:tcPr>
            <w:tcW w:w="1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Joanna Barsh, Director</w:t>
            </w:r>
          </w:p>
        </w:tc>
        <w:tc>
          <w:tcPr>
            <w:tcW w:w="200" w:type="dxa"/>
            <w:vAlign w:val="bottom"/>
          </w:tcPr>
          <w:p>
            <w:pPr>
              <w:spacing w:after="0"/>
              <w:rPr>
                <w:sz w:val="22"/>
                <w:szCs w:val="22"/>
                <w:color w:val="auto"/>
              </w:rPr>
            </w:pPr>
          </w:p>
        </w:tc>
        <w:tc>
          <w:tcPr>
            <w:tcW w:w="82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Angel R. Martinez, Director</w:t>
            </w:r>
          </w:p>
        </w:tc>
      </w:tr>
      <w:tr>
        <w:trPr>
          <w:trHeight w:val="412"/>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/s/Matthew M. Bilunas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/s/Mary Meixelsperger</w:t>
            </w:r>
          </w:p>
        </w:tc>
      </w:tr>
      <w:tr>
        <w:trPr>
          <w:trHeight w:val="20"/>
        </w:trPr>
        <w:tc>
          <w:tcPr>
            <w:tcW w:w="204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Matthew M. Bilunas, Director</w:t>
            </w:r>
          </w:p>
        </w:tc>
        <w:tc>
          <w:tcPr>
            <w:tcW w:w="200" w:type="dxa"/>
            <w:vAlign w:val="bottom"/>
          </w:tcPr>
          <w:p>
            <w:pPr>
              <w:spacing w:after="0"/>
              <w:rPr>
                <w:sz w:val="22"/>
                <w:szCs w:val="22"/>
                <w:color w:val="auto"/>
              </w:rPr>
            </w:pPr>
          </w:p>
        </w:tc>
        <w:tc>
          <w:tcPr>
            <w:tcW w:w="82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Mary Meixelsperger, Director</w:t>
            </w:r>
          </w:p>
        </w:tc>
      </w:tr>
      <w:tr>
        <w:trPr>
          <w:trHeight w:val="413"/>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/s/Carolyn Bojanowski</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/s/Gregory A. Sandfort</w:t>
            </w:r>
          </w:p>
        </w:tc>
      </w:tr>
      <w:tr>
        <w:trPr>
          <w:trHeight w:val="20"/>
        </w:trPr>
        <w:tc>
          <w:tcPr>
            <w:tcW w:w="204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Carolyn Bojanowski, Director</w:t>
            </w:r>
          </w:p>
        </w:tc>
        <w:tc>
          <w:tcPr>
            <w:tcW w:w="200" w:type="dxa"/>
            <w:vAlign w:val="bottom"/>
          </w:tcPr>
          <w:p>
            <w:pPr>
              <w:spacing w:after="0"/>
              <w:rPr>
                <w:sz w:val="22"/>
                <w:szCs w:val="22"/>
                <w:color w:val="auto"/>
              </w:rPr>
            </w:pPr>
          </w:p>
        </w:tc>
        <w:tc>
          <w:tcPr>
            <w:tcW w:w="82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Gregory A. Sandfort, Director</w:t>
            </w:r>
          </w:p>
        </w:tc>
      </w:tr>
      <w:tr>
        <w:trPr>
          <w:trHeight w:val="413"/>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/s/John F. Lambros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/s/Mimi E. Vaughn</w:t>
            </w:r>
          </w:p>
        </w:tc>
      </w:tr>
      <w:tr>
        <w:trPr>
          <w:trHeight w:val="20"/>
        </w:trPr>
        <w:tc>
          <w:tcPr>
            <w:tcW w:w="204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John F. Lambros, Director</w:t>
            </w:r>
          </w:p>
        </w:tc>
        <w:tc>
          <w:tcPr>
            <w:tcW w:w="848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Mimi E. Vaughn, Director</w:t>
            </w:r>
          </w:p>
        </w:tc>
      </w:tr>
      <w:tr>
        <w:trPr>
          <w:trHeight w:val="413"/>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/s/Thurgood Marshall, Jr.</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Thurgood Marshall, Jr., Director</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2539"/>
        </w:trPr>
        <w:tc>
          <w:tcPr>
            <w:tcW w:w="1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ind w:right="1520" w:firstLine="1527"/>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CERTIFICATION OF PRINCIPAL EXECUTIVE OFFICER AND PRINCIPAL FINANCIAL OFFICER </w:t>
      </w:r>
      <w:r>
        <w:rPr>
          <w:rFonts w:ascii="Times New Roman" w:cs="Times New Roman" w:eastAsia="Times New Roman" w:hAnsi="Times New Roman"/>
          <w:sz w:val="18"/>
          <w:szCs w:val="18"/>
          <w:color w:val="auto"/>
        </w:rPr>
        <w:t>I, Mimi E. Vaughn, certify that:</w:t>
      </w: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8"/>
          <w:szCs w:val="18"/>
          <w:color w:val="auto"/>
        </w:rPr>
      </w:pPr>
    </w:p>
    <w:p>
      <w:pPr>
        <w:ind w:right="340" w:firstLine="507"/>
        <w:spacing w:after="0" w:line="266" w:lineRule="auto"/>
        <w:tabs>
          <w:tab w:leader="none" w:pos="6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60" w:firstLine="507"/>
        <w:spacing w:after="0" w:line="282" w:lineRule="auto"/>
        <w:tabs>
          <w:tab w:leader="none" w:pos="6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40" w:firstLine="507"/>
        <w:spacing w:after="0" w:line="266" w:lineRule="auto"/>
        <w:tabs>
          <w:tab w:leader="none" w:pos="6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40" w:firstLine="507"/>
        <w:spacing w:after="0" w:line="282" w:lineRule="auto"/>
        <w:tabs>
          <w:tab w:leader="none" w:pos="6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00" w:firstLine="507"/>
        <w:spacing w:after="0" w:line="282" w:lineRule="auto"/>
        <w:tabs>
          <w:tab w:leader="none" w:pos="6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5715</wp:posOffset>
            </wp:positionV>
            <wp:extent cx="37719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8"/>
          <w:szCs w:val="18"/>
          <w:color w:val="auto"/>
        </w:rPr>
        <w:t>Mimi E. Vaughn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January 31, 2026, as filed with the Securities and Exchange Commission on the date hereof (the “Report”), I, Mimi E. Vaughn, Chief Executive Officer and Interim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hanging="253"/>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Mimi E. Vaughn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Roman"/>
      <w:start w:val="1"/>
    </w:lvl>
  </w:abstractNum>
  <w:abstractNum w:abstractNumId="4">
    <w:nsid w:val="333AB105"/>
    <w:multiLevelType w:val="hybridMultilevel"/>
    <w:lvl w:ilvl="0">
      <w:lvlJc w:val="left"/>
      <w:lvlText w:val="(%1)"/>
      <w:numFmt w:val="lowerRoman"/>
      <w:start w:val="1"/>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lowerRoman"/>
      <w:start w:val="4"/>
    </w:lvl>
  </w:abstractNum>
  <w:abstractNum w:abstractNumId="10">
    <w:nsid w:val="8EDBDAB"/>
    <w:multiLevelType w:val="hybridMultilevel"/>
    <w:lvl w:ilvl="0">
      <w:lvlJc w:val="left"/>
      <w:lvlText w:val="•"/>
      <w:numFmt w:val="bullet"/>
      <w:start w:val="1"/>
    </w:lvl>
    <w:lvl w:ilvl="1">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lvl w:ilvl="1">
      <w:lvlJc w:val="left"/>
      <w:lvlText w:val="o"/>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lvl w:ilvl="1">
      <w:lvlJc w:val="left"/>
      <w:lvlText w:val="%2."/>
      <w:numFmt w:val="lowerLetter"/>
      <w:start w:val="2"/>
    </w:lvl>
  </w:abstractNum>
  <w:abstractNum w:abstractNumId="26">
    <w:nsid w:val="22221A70"/>
    <w:multiLevelType w:val="hybridMultilevel"/>
    <w:lvl w:ilvl="0">
      <w:lvlJc w:val="left"/>
      <w:lvlText w:val="(%1)"/>
      <w:numFmt w:val="decimal"/>
      <w:start w:val="10"/>
    </w:lvl>
    <w:lvl w:ilvl="1">
      <w:lvlJc w:val="left"/>
      <w:lvlText w:val="%2."/>
      <w:numFmt w:val="lowerLetter"/>
      <w:start w:val="2"/>
    </w:lvl>
  </w:abstractNum>
  <w:abstractNum w:abstractNumId="27">
    <w:nsid w:val="4516DDE9"/>
    <w:multiLevelType w:val="hybridMultilevel"/>
    <w:lvl w:ilvl="0">
      <w:lvlJc w:val="left"/>
      <w:lvlText w:val="%1."/>
      <w:numFmt w:val="lowerLetter"/>
      <w:start w:val="18"/>
    </w:lvl>
  </w:abstractNum>
  <w:abstractNum w:abstractNumId="28">
    <w:nsid w:val="3006C83E"/>
    <w:multiLevelType w:val="hybridMultilevel"/>
    <w:lvl w:ilvl="0">
      <w:lvlJc w:val="left"/>
      <w:lvlText w:val="%1."/>
      <w:numFmt w:val="lowerLetter"/>
      <w:start w:val="27"/>
    </w:lvl>
  </w:abstractNum>
  <w:abstractNum w:abstractNumId="29">
    <w:nsid w:val="614FD4A1"/>
    <w:multiLevelType w:val="hybridMultilevel"/>
    <w:lvl w:ilvl="0">
      <w:lvlJc w:val="left"/>
      <w:lvlText w:val="%1."/>
      <w:numFmt w:val="lowerLetter"/>
      <w:start w:val="38"/>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3"/>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4"/>
    </w:lvl>
  </w:abstractNum>
  <w:abstractNum w:abstractNumId="35">
    <w:nsid w:val="77465F01"/>
    <w:multiLevelType w:val="hybridMultilevel"/>
    <w:lvl w:ilvl="0">
      <w:lvlJc w:val="left"/>
      <w:lvlText w:val="%1."/>
      <w:numFmt w:val="decimal"/>
      <w:start w:val="7"/>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308"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120" Type="http://schemas.openxmlformats.org/officeDocument/2006/relationships/hyperlink" Target="https://www.sec.gov/Archives/edgar/data/18498/000001849818000050/ex21121418lids.htm" TargetMode="External"/><Relationship Id="rId121" Type="http://schemas.openxmlformats.org/officeDocument/2006/relationships/hyperlink" Target="https://www.sec.gov/Archives/edgar/data/18498/000001849819000058/ex21togast.htm" TargetMode="External"/><Relationship Id="rId122" Type="http://schemas.openxmlformats.org/officeDocument/2006/relationships/hyperlink" Target="https://www.sec.gov/Archives/edgar/data/18498/000156459021016951/gco-ex2c_202.htm" TargetMode="External"/><Relationship Id="rId123" Type="http://schemas.openxmlformats.org/officeDocument/2006/relationships/hyperlink" Target="https://www.sec.gov/Archives/edgar/data/18498/000095017022020877/gco-ex3_1.htm" TargetMode="External"/><Relationship Id="rId124" Type="http://schemas.openxmlformats.org/officeDocument/2006/relationships/hyperlink" Target="https://www.sec.gov/Archives/edgar/data/18498/000095017022026199/gco-ex3_3.htm" TargetMode="External"/><Relationship Id="rId125" Type="http://schemas.openxmlformats.org/officeDocument/2006/relationships/hyperlink" Target="https://www.sec.gov/Archives/edgar/data/18498/000095014403005944/g82475exv3.txt" TargetMode="External"/><Relationship Id="rId126" Type="http://schemas.openxmlformats.org/officeDocument/2006/relationships/hyperlink" Target="https://www.sec.gov/Archives/edgar/data/18498/000095017024036902/gco-ex4_b.htm" TargetMode="External"/><Relationship Id="rId147" Type="http://schemas.openxmlformats.org/officeDocument/2006/relationships/hyperlink" Target="https://www.sec.gov/Archives/edgar/data/18498/000001849818000008/genesco-bamlx2018x4tharcre.htm" TargetMode="External"/><Relationship Id="rId148" Type="http://schemas.openxmlformats.org/officeDocument/2006/relationships/hyperlink" Target="https://www.sec.gov/Archives/edgar/data/18498/000001849819000006/ex101lidssale020419.htm" TargetMode="External"/><Relationship Id="rId149" Type="http://schemas.openxmlformats.org/officeDocument/2006/relationships/hyperlink" Target="https://www.sec.gov/Archives/edgar/data/18498/000156459020028679/gco-8k_20200609.htm" TargetMode="External"/><Relationship Id="rId150" Type="http://schemas.openxmlformats.org/officeDocument/2006/relationships/hyperlink" Target="https://www.sec.gov/Archives/edgar/data/18498/000095017022000748/gco-ex10_1.htm" TargetMode="External"/><Relationship Id="rId151" Type="http://schemas.openxmlformats.org/officeDocument/2006/relationships/hyperlink" Target="https://www.sec.gov/Archives/edgar/data/18498/000119312526018112/gco-ex10_1.htm" TargetMode="External"/><Relationship Id="rId152" Type="http://schemas.openxmlformats.org/officeDocument/2006/relationships/hyperlink" Target="https://www.sec.gov/Archives/edgar/data/18498/0000950144-97-005030.txt" TargetMode="External"/><Relationship Id="rId153" Type="http://schemas.openxmlformats.org/officeDocument/2006/relationships/hyperlink" Target="https://www.sec.gov/Archives/edgar/data/18498/000001849816000083/ex101annmtg062316.htm" TargetMode="External"/><Relationship Id="rId154" Type="http://schemas.openxmlformats.org/officeDocument/2006/relationships/hyperlink" Target="https://www.sec.gov/Archives/edgar/data/0000018498/000001849820000016/gcofy202010-kq4.htm" TargetMode="External"/><Relationship Id="rId155" Type="http://schemas.openxmlformats.org/officeDocument/2006/relationships/hyperlink" Target="https://www.sec.gov/Archives/edgar/data/18498/000156459021032370/gco-ex10_114.htm" TargetMode="External"/><Relationship Id="rId156" Type="http://schemas.openxmlformats.org/officeDocument/2006/relationships/hyperlink" Target="https://www.sec.gov/Archives/edgar/data/18498/000156459021059838/gco-ex10a_29.htm" TargetMode="External"/><Relationship Id="rId157" Type="http://schemas.openxmlformats.org/officeDocument/2006/relationships/hyperlink" Target="https://www.sec.gov/Archives/edgar/data/18498/000095017023011377/gco-ex10_1.htm" TargetMode="External"/><Relationship Id="rId158" Type="http://schemas.openxmlformats.org/officeDocument/2006/relationships/hyperlink" Target="https://www.sec.gov/Archives/edgar/data/18498/000119312520143234/d896613ddef14a.htm" TargetMode="External"/><Relationship Id="rId159" Type="http://schemas.openxmlformats.org/officeDocument/2006/relationships/hyperlink" Target="https://www.sec.gov/Archives/edgar/data/18498/000119312523142978/d445507ddef14a.htm" TargetMode="External"/><Relationship Id="rId160" Type="http://schemas.openxmlformats.org/officeDocument/2006/relationships/hyperlink" Target="https://www.sec.gov/Archives/edgar/data/18498/000119312524141291/d675918ddef14a.htm" TargetMode="External"/><Relationship Id="rId161" Type="http://schemas.openxmlformats.org/officeDocument/2006/relationships/hyperlink" Target="https://www.sec.gov/Archives/edgar/data/18498/000119312525121346/d750644ddef14a.htm" TargetMode="External"/><Relationship Id="rId162" Type="http://schemas.openxmlformats.org/officeDocument/2006/relationships/hyperlink" Target="https://www.sec.gov/Archives/edgar/data/18498/000095014405012586/g98695exv10wc.txt" TargetMode="External"/><Relationship Id="rId163" Type="http://schemas.openxmlformats.org/officeDocument/2006/relationships/hyperlink" Target="https://www.sec.gov/Archives/edgar/data/18498/000095014405012586/g98695exv10wd.txt" TargetMode="External"/><Relationship Id="rId211" Type="http://schemas.openxmlformats.org/officeDocument/2006/relationships/hyperlink" Target="https://www.sec.gov/Archives/edgar/data/18498/000095014405012586/g98695exv10we.txt" TargetMode="External"/><Relationship Id="rId212" Type="http://schemas.openxmlformats.org/officeDocument/2006/relationships/hyperlink" Target="https://www.sec.gov/Archives/edgar/data/18498/000095014405012586/g98695exv10wf.txt" TargetMode="External"/><Relationship Id="rId213" Type="http://schemas.openxmlformats.org/officeDocument/2006/relationships/hyperlink" Target="https://www.sec.gov/Archives/edgar/data/18498/000095012309042323/g20467exv10wa.htm" TargetMode="External"/><Relationship Id="rId214" Type="http://schemas.openxmlformats.org/officeDocument/2006/relationships/hyperlink" Target="https://www.sec.gov/Archives/edgar/data/18498/000095017023026918/gco-ex10_2.htm" TargetMode="External"/><Relationship Id="rId215" Type="http://schemas.openxmlformats.org/officeDocument/2006/relationships/hyperlink" Target="https://www.sec.gov/Archives/edgar/data/18498/000095017024072730/gco-ex10_2.htm" TargetMode="External"/><Relationship Id="rId216" Type="http://schemas.openxmlformats.org/officeDocument/2006/relationships/hyperlink" Target="https://www.sec.gov/Archives/edgar/data/18498/000095017025114115/gco-ex10_1.htm" TargetMode="External"/><Relationship Id="rId217" Type="http://schemas.openxmlformats.org/officeDocument/2006/relationships/hyperlink" Target="https://www.sec.gov/Archives/edgar/data/18498/000095017023026918/gco-ex10_3.htm" TargetMode="External"/><Relationship Id="rId218" Type="http://schemas.openxmlformats.org/officeDocument/2006/relationships/hyperlink" Target="https://www.sec.gov/Archives/edgar/data/18498/000095014408008032/g16357exv10w1.htm" TargetMode="External"/><Relationship Id="rId235" Type="http://schemas.openxmlformats.org/officeDocument/2006/relationships/hyperlink" Target="https://www.sec.gov/Archives/edgar/data/18498/000095014408009201/g16954qexv10w2.htm" TargetMode="External"/><Relationship Id="rId236" Type="http://schemas.openxmlformats.org/officeDocument/2006/relationships/hyperlink" Target="https://www.sec.gov/Archives/edgar/data/18498/000095012310030948/g22711exv10ws.htm" TargetMode="External"/><Relationship Id="rId237" Type="http://schemas.openxmlformats.org/officeDocument/2006/relationships/hyperlink" Target="https://www.sec.gov/Archives/edgar/data/18498/000001849819000047/ex101epa.htm" TargetMode="External"/><Relationship Id="rId238" Type="http://schemas.openxmlformats.org/officeDocument/2006/relationships/hyperlink" Target="https://www.sec.gov/Archives/edgar/data/18498/000095017025015844/gco-ex10_1.htm" TargetMode="External"/><Relationship Id="rId239" Type="http://schemas.openxmlformats.org/officeDocument/2006/relationships/hyperlink" Target="https://www.sec.gov/Archives/edgar/data/18498/000095017024052957/gco-ex10_1.htm" TargetMode="External"/><Relationship Id="rId240" Type="http://schemas.openxmlformats.org/officeDocument/2006/relationships/hyperlink" Target="https://www.sec.gov/Archives/edgar/data/18498/000095014408002576/g12595exv10wr.htm" TargetMode="External"/><Relationship Id="rId241" Type="http://schemas.openxmlformats.org/officeDocument/2006/relationships/hyperlink" Target="https://www.sec.gov/Archives/edgar/data/18498/000095012311083483/g25506exv10wa.htm" TargetMode="External"/><Relationship Id="rId242" Type="http://schemas.openxmlformats.org/officeDocument/2006/relationships/hyperlink" Target="https://www.sec.gov/Archives/edgar/data/18498/000095017023045544/gco-ex10_1.htm" TargetMode="External"/><Relationship Id="rId243" Type="http://schemas.openxmlformats.org/officeDocument/2006/relationships/hyperlink" Target="https://www.sec.gov/Archives/edgar/data/18498/000095017024036902/gco-ex10_cc.htm" TargetMode="External"/><Relationship Id="rId244" Type="http://schemas.openxmlformats.org/officeDocument/2006/relationships/hyperlink" Target="https://www.sec.gov/Archives/edgar/data/18498/000095014409003670/g18837exv10w1.htm" TargetMode="External"/><Relationship Id="rId272" Type="http://schemas.openxmlformats.org/officeDocument/2006/relationships/hyperlink" Target="https://www.sec.gov/Archives/edgar/data/18498/000095014409003670/g18837exv10w2.htm" TargetMode="External"/><Relationship Id="rId273" Type="http://schemas.openxmlformats.org/officeDocument/2006/relationships/hyperlink" Target="https://www.sec.gov/Archives/edgar/data/18498/000095012309056341/g21041exv10w1.htm" TargetMode="External"/><Relationship Id="rId274" Type="http://schemas.openxmlformats.org/officeDocument/2006/relationships/hyperlink" Target="https://www.sec.gov/Archives/edgar/data/18498/000095012309059073/g21130exv10w1.htm" TargetMode="External"/><Relationship Id="rId294" Type="http://schemas.openxmlformats.org/officeDocument/2006/relationships/hyperlink" Target="https://www.sec.gov/Archives/edgar/data/18498/000095017025064430/gco-ex16_1.htm" TargetMode="External"/><Relationship Id="rId295" Type="http://schemas.openxmlformats.org/officeDocument/2006/relationships/hyperlink" Target="https://www.sec.gov/Archives/edgar/data/18498/000095017025044864/gco-ex19.htm" TargetMode="External"/><Relationship Id="rId296" Type="http://schemas.openxmlformats.org/officeDocument/2006/relationships/hyperlink" Target="https://www.sec.gov/Archives/edgar/data/18498/000095017024036902/gco-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2026-03-25T14:01:51Z</dcterms:created>
  <dcterms:modified xsi:type="dcterms:W3CDTF">2026-03-25T14:01:51Z</dcterms:modified>
</cp:coreProperties>
</file>