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90170</wp:posOffset>
            </wp:positionV>
            <wp:extent cx="2371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84" w:lineRule="exact"/>
        <w:rPr>
          <w:sz w:val="24"/>
          <w:szCs w:val="24"/>
          <w:color w:val="auto"/>
        </w:rPr>
      </w:pPr>
    </w:p>
    <w:p>
      <w:pPr>
        <w:ind w:left="740" w:hanging="678"/>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298" w:lineRule="exact"/>
        <w:rPr>
          <w:sz w:val="24"/>
          <w:szCs w:val="24"/>
          <w:color w:val="auto"/>
        </w:rPr>
      </w:pPr>
    </w:p>
    <w:p>
      <w:pPr>
        <w:ind w:left="740" w:hanging="678"/>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1083" w:right="339" w:bottom="1440" w:gutter="0" w:footer="0" w:header="0"/>
        </w:sectPr>
      </w:pPr>
    </w:p>
    <w:p>
      <w:pPr>
        <w:spacing w:after="0" w:line="202"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26" w:lineRule="exact"/>
        <w:rPr>
          <w:sz w:val="24"/>
          <w:szCs w:val="24"/>
          <w:color w:val="auto"/>
        </w:rPr>
      </w:pPr>
    </w:p>
    <w:p>
      <w:pPr>
        <w:sectPr>
          <w:pgSz w:w="11900" w:h="16838" w:orient="portrait"/>
          <w:cols w:equalWidth="0" w:num="2">
            <w:col w:w="2800" w:space="520"/>
            <w:col w:w="7920"/>
          </w:cols>
          <w:pgMar w:left="320" w:top="108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No. 1-3083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107315</wp:posOffset>
            </wp:positionV>
            <wp:extent cx="2371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type w:val="continuous"/>
        </w:sectPr>
      </w:pP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Genesco Inc.</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w w:val="98"/>
              </w:rPr>
              <w:t>Tennessee</w:t>
            </w:r>
          </w:p>
        </w:tc>
        <w:tc>
          <w:tcPr>
            <w:tcW w:w="2640" w:type="dxa"/>
            <w:vAlign w:val="bottom"/>
          </w:tcPr>
          <w:p>
            <w:pPr>
              <w:spacing w:after="0"/>
              <w:rPr>
                <w:sz w:val="16"/>
                <w:szCs w:val="16"/>
                <w:color w:val="auto"/>
              </w:rPr>
            </w:pPr>
          </w:p>
        </w:tc>
        <w:tc>
          <w:tcPr>
            <w:tcW w:w="3620" w:type="dxa"/>
            <w:vAlign w:val="bottom"/>
          </w:tcPr>
          <w:p>
            <w:pPr>
              <w:jc w:val="center"/>
              <w:ind w:left="1429"/>
              <w:spacing w:after="0"/>
              <w:rPr>
                <w:sz w:val="20"/>
                <w:szCs w:val="20"/>
                <w:color w:val="auto"/>
              </w:rPr>
            </w:pPr>
            <w:r>
              <w:rPr>
                <w:rFonts w:ascii="Times New Roman" w:cs="Times New Roman" w:eastAsia="Times New Roman" w:hAnsi="Times New Roman"/>
                <w:sz w:val="14"/>
                <w:szCs w:val="14"/>
                <w:b w:val="1"/>
                <w:bCs w:val="1"/>
                <w:color w:val="auto"/>
              </w:rPr>
              <w:t>62-0211340</w:t>
            </w:r>
          </w:p>
        </w:tc>
        <w:tc>
          <w:tcPr>
            <w:tcW w:w="0" w:type="dxa"/>
            <w:vAlign w:val="bottom"/>
          </w:tcPr>
          <w:p>
            <w:pPr>
              <w:spacing w:after="0"/>
              <w:rPr>
                <w:sz w:val="1"/>
                <w:szCs w:val="1"/>
                <w:color w:val="auto"/>
              </w:rPr>
            </w:pPr>
          </w:p>
        </w:tc>
      </w:tr>
      <w:tr>
        <w:trPr>
          <w:trHeight w:val="203"/>
        </w:trPr>
        <w:tc>
          <w:tcPr>
            <w:tcW w:w="352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40" w:type="dxa"/>
            <w:vAlign w:val="bottom"/>
          </w:tcPr>
          <w:p>
            <w:pPr>
              <w:spacing w:after="0"/>
              <w:rPr>
                <w:sz w:val="17"/>
                <w:szCs w:val="17"/>
                <w:color w:val="auto"/>
              </w:rPr>
            </w:pPr>
          </w:p>
        </w:tc>
        <w:tc>
          <w:tcPr>
            <w:tcW w:w="3620" w:type="dxa"/>
            <w:vAlign w:val="bottom"/>
          </w:tcPr>
          <w:p>
            <w:pPr>
              <w:jc w:val="center"/>
              <w:ind w:left="1429"/>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8"/>
        </w:trPr>
        <w:tc>
          <w:tcPr>
            <w:tcW w:w="352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40" w:type="dxa"/>
            <w:vAlign w:val="bottom"/>
          </w:tcPr>
          <w:p>
            <w:pPr>
              <w:spacing w:after="0"/>
              <w:rPr>
                <w:sz w:val="16"/>
                <w:szCs w:val="16"/>
                <w:color w:val="auto"/>
              </w:rPr>
            </w:pPr>
          </w:p>
        </w:tc>
        <w:tc>
          <w:tcPr>
            <w:tcW w:w="3620" w:type="dxa"/>
            <w:vAlign w:val="bottom"/>
          </w:tcPr>
          <w:p>
            <w:pPr>
              <w:jc w:val="center"/>
              <w:ind w:left="142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91"/>
        </w:trPr>
        <w:tc>
          <w:tcPr>
            <w:tcW w:w="3520" w:type="dxa"/>
            <w:vAlign w:val="bottom"/>
          </w:tcPr>
          <w:p>
            <w:pPr>
              <w:spacing w:after="0"/>
              <w:rPr>
                <w:sz w:val="24"/>
                <w:szCs w:val="24"/>
                <w:color w:val="auto"/>
              </w:rPr>
            </w:pPr>
          </w:p>
        </w:tc>
        <w:tc>
          <w:tcPr>
            <w:tcW w:w="2640" w:type="dxa"/>
            <w:vAlign w:val="bottom"/>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535 Marriott Drive</w:t>
            </w:r>
          </w:p>
        </w:tc>
        <w:tc>
          <w:tcPr>
            <w:tcW w:w="3620" w:type="dxa"/>
            <w:vAlign w:val="bottom"/>
          </w:tcPr>
          <w:p>
            <w:pPr>
              <w:jc w:val="center"/>
              <w:ind w:left="1469"/>
              <w:spacing w:after="0"/>
              <w:rPr>
                <w:sz w:val="20"/>
                <w:szCs w:val="20"/>
                <w:color w:val="auto"/>
              </w:rPr>
            </w:pPr>
            <w:r>
              <w:rPr>
                <w:rFonts w:ascii="Times New Roman" w:cs="Times New Roman" w:eastAsia="Times New Roman" w:hAnsi="Times New Roman"/>
                <w:sz w:val="14"/>
                <w:szCs w:val="14"/>
                <w:b w:val="1"/>
                <w:bCs w:val="1"/>
                <w:color w:val="auto"/>
              </w:rPr>
              <w:t>37214</w:t>
            </w:r>
          </w:p>
        </w:tc>
        <w:tc>
          <w:tcPr>
            <w:tcW w:w="0" w:type="dxa"/>
            <w:vAlign w:val="bottom"/>
          </w:tcPr>
          <w:p>
            <w:pPr>
              <w:spacing w:after="0"/>
              <w:rPr>
                <w:sz w:val="1"/>
                <w:szCs w:val="1"/>
                <w:color w:val="auto"/>
              </w:rPr>
            </w:pPr>
          </w:p>
        </w:tc>
      </w:tr>
      <w:tr>
        <w:trPr>
          <w:trHeight w:val="243"/>
        </w:trPr>
        <w:tc>
          <w:tcPr>
            <w:tcW w:w="352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Nashville,</w:t>
            </w:r>
          </w:p>
        </w:tc>
        <w:tc>
          <w:tcPr>
            <w:tcW w:w="2640" w:type="dxa"/>
            <w:vAlign w:val="bottom"/>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w w:val="98"/>
              </w:rPr>
              <w:t>Tennessee</w:t>
            </w:r>
          </w:p>
        </w:tc>
        <w:tc>
          <w:tcPr>
            <w:tcW w:w="3620" w:type="dxa"/>
            <w:vAlign w:val="bottom"/>
          </w:tcPr>
          <w:p>
            <w:pPr>
              <w:jc w:val="center"/>
              <w:ind w:left="144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43"/>
        </w:trPr>
        <w:tc>
          <w:tcPr>
            <w:tcW w:w="616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520" w:type="dxa"/>
            <w:vAlign w:val="bottom"/>
          </w:tcPr>
          <w:p>
            <w:pPr>
              <w:spacing w:after="0"/>
              <w:rPr>
                <w:sz w:val="24"/>
                <w:szCs w:val="24"/>
                <w:color w:val="auto"/>
              </w:rPr>
            </w:pPr>
          </w:p>
        </w:tc>
        <w:tc>
          <w:tcPr>
            <w:tcW w:w="6260" w:type="dxa"/>
            <w:vAlign w:val="bottom"/>
            <w:gridSpan w:val="2"/>
          </w:tcPr>
          <w:p>
            <w:pPr>
              <w:jc w:val="center"/>
              <w:ind w:right="198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(615) 367-7000</w:t>
            </w:r>
          </w:p>
        </w:tc>
        <w:tc>
          <w:tcPr>
            <w:tcW w:w="0" w:type="dxa"/>
            <w:vAlign w:val="bottom"/>
          </w:tcPr>
          <w:p>
            <w:pPr>
              <w:spacing w:after="0"/>
              <w:rPr>
                <w:sz w:val="1"/>
                <w:szCs w:val="1"/>
                <w:color w:val="auto"/>
              </w:rPr>
            </w:pPr>
          </w:p>
        </w:tc>
      </w:tr>
      <w:tr>
        <w:trPr>
          <w:trHeight w:val="256"/>
        </w:trPr>
        <w:tc>
          <w:tcPr>
            <w:tcW w:w="3520" w:type="dxa"/>
            <w:vAlign w:val="bottom"/>
          </w:tcPr>
          <w:p>
            <w:pPr>
              <w:spacing w:after="0"/>
              <w:rPr>
                <w:sz w:val="22"/>
                <w:szCs w:val="22"/>
                <w:color w:val="auto"/>
              </w:rPr>
            </w:pPr>
          </w:p>
        </w:tc>
        <w:tc>
          <w:tcPr>
            <w:tcW w:w="6260" w:type="dxa"/>
            <w:vAlign w:val="bottom"/>
            <w:gridSpan w:val="2"/>
          </w:tcPr>
          <w:p>
            <w:pPr>
              <w:jc w:val="center"/>
              <w:ind w:right="198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43"/>
        </w:trPr>
        <w:tc>
          <w:tcPr>
            <w:tcW w:w="352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40" w:type="dxa"/>
            <w:vAlign w:val="bottom"/>
            <w:vMerge w:val="restart"/>
          </w:tcPr>
          <w:p>
            <w:pPr>
              <w:jc w:val="center"/>
              <w:ind w:left="150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20" w:type="dxa"/>
            <w:vAlign w:val="bottom"/>
          </w:tcPr>
          <w:p>
            <w:pPr>
              <w:jc w:val="center"/>
              <w:ind w:left="1969"/>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8"/>
        </w:trPr>
        <w:tc>
          <w:tcPr>
            <w:tcW w:w="352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3620" w:type="dxa"/>
            <w:vAlign w:val="bottom"/>
          </w:tcPr>
          <w:p>
            <w:pPr>
              <w:jc w:val="center"/>
              <w:ind w:left="198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43"/>
        </w:trPr>
        <w:tc>
          <w:tcPr>
            <w:tcW w:w="352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2640" w:type="dxa"/>
            <w:vAlign w:val="bottom"/>
          </w:tcPr>
          <w:p>
            <w:pPr>
              <w:jc w:val="center"/>
              <w:ind w:left="1508"/>
              <w:spacing w:after="0"/>
              <w:rPr>
                <w:sz w:val="20"/>
                <w:szCs w:val="20"/>
                <w:color w:val="auto"/>
              </w:rPr>
            </w:pPr>
            <w:r>
              <w:rPr>
                <w:rFonts w:ascii="Times New Roman" w:cs="Times New Roman" w:eastAsia="Times New Roman" w:hAnsi="Times New Roman"/>
                <w:sz w:val="14"/>
                <w:szCs w:val="14"/>
                <w:b w:val="1"/>
                <w:bCs w:val="1"/>
                <w:color w:val="auto"/>
              </w:rPr>
              <w:t>GCO</w:t>
            </w:r>
          </w:p>
        </w:tc>
        <w:tc>
          <w:tcPr>
            <w:tcW w:w="3620" w:type="dxa"/>
            <w:vAlign w:val="bottom"/>
          </w:tcPr>
          <w:p>
            <w:pPr>
              <w:jc w:val="center"/>
              <w:ind w:left="1989"/>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6260" w:type="dxa"/>
            <w:vAlign w:val="bottom"/>
            <w:gridSpan w:val="2"/>
          </w:tcPr>
          <w:p>
            <w:pPr>
              <w:jc w:val="center"/>
              <w:ind w:right="198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6260" w:type="dxa"/>
            <w:vAlign w:val="bottom"/>
            <w:gridSpan w:val="2"/>
          </w:tcPr>
          <w:p>
            <w:pPr>
              <w:jc w:val="center"/>
              <w:ind w:right="1989"/>
              <w:spacing w:after="0"/>
              <w:rPr>
                <w:sz w:val="20"/>
                <w:szCs w:val="20"/>
                <w:color w:val="auto"/>
              </w:rPr>
            </w:pPr>
            <w:r>
              <w:rPr>
                <w:rFonts w:ascii="Times New Roman" w:cs="Times New Roman" w:eastAsia="Times New Roman" w:hAnsi="Times New Roman"/>
                <w:sz w:val="14"/>
                <w:szCs w:val="14"/>
                <w:b w:val="1"/>
                <w:bCs w:val="1"/>
                <w:color w:val="auto"/>
              </w:rPr>
              <w:t>Employees’ Subordinated Convertible Preferred Stock</w:t>
            </w:r>
          </w:p>
        </w:tc>
        <w:tc>
          <w:tcPr>
            <w:tcW w:w="0" w:type="dxa"/>
            <w:vAlign w:val="bottom"/>
          </w:tcPr>
          <w:p>
            <w:pPr>
              <w:spacing w:after="0"/>
              <w:rPr>
                <w:sz w:val="1"/>
                <w:szCs w:val="1"/>
                <w:color w:val="auto"/>
              </w:rPr>
            </w:pPr>
          </w:p>
        </w:tc>
      </w:tr>
      <w:tr>
        <w:trPr>
          <w:trHeight w:val="218"/>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6"/>
              </w:rPr>
              <w:t>Indicate by check mark if the registrant is a well-known seasoned issuer, as defined in Rule 405 of the Securities Act. Yes</w:t>
            </w:r>
          </w:p>
        </w:tc>
        <w:tc>
          <w:tcPr>
            <w:tcW w:w="3620" w:type="dxa"/>
            <w:vAlign w:val="bottom"/>
          </w:tcPr>
          <w:p>
            <w:pPr>
              <w:ind w:left="2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50" w:lineRule="exact"/>
        <w:tabs>
          <w:tab w:leader="none" w:pos="652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w:t>
      </w:r>
    </w:p>
    <w:p>
      <w:pPr>
        <w:sectPr>
          <w:pgSz w:w="11900" w:h="16838" w:orient="portrait"/>
          <w:cols w:equalWidth="0" w:num="1">
            <w:col w:w="11240"/>
          </w:cols>
          <w:pgMar w:left="320" w:top="1083" w:right="3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registrant was required to file such reports) and (2) has been subject to such filing requirements for the past 90 days. Yes</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3" w:lineRule="exact"/>
        <w:rPr>
          <w:sz w:val="24"/>
          <w:szCs w:val="24"/>
          <w:color w:val="auto"/>
        </w:rPr>
      </w:pPr>
    </w:p>
    <w:p>
      <w:pPr>
        <w:sectPr>
          <w:pgSz w:w="11900" w:h="16838" w:orient="portrait"/>
          <w:cols w:equalWidth="0" w:num="4">
            <w:col w:w="6060" w:space="60"/>
            <w:col w:w="120" w:space="120"/>
            <w:col w:w="160" w:space="60"/>
            <w:col w:w="4660"/>
          </w:cols>
          <w:pgMar w:left="320" w:top="108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(§232-405 of this chapter) during the preceding 12</w:t>
      </w:r>
    </w:p>
    <w:p>
      <w:pPr>
        <w:sectPr>
          <w:pgSz w:w="11900" w:h="16838" w:orient="portrait"/>
          <w:cols w:equalWidth="0" w:num="1">
            <w:col w:w="11240"/>
          </w:cols>
          <w:pgMar w:left="320" w:top="1083" w:right="3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months (or for such shorter period that the registrant was required to submit such files). Yes</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3" w:lineRule="exact"/>
        <w:rPr>
          <w:sz w:val="24"/>
          <w:szCs w:val="24"/>
          <w:color w:val="auto"/>
        </w:rPr>
      </w:pPr>
    </w:p>
    <w:p>
      <w:pPr>
        <w:sectPr>
          <w:pgSz w:w="11900" w:h="16838" w:orient="portrait"/>
          <w:cols w:equalWidth="0" w:num="4">
            <w:col w:w="4660" w:space="60"/>
            <w:col w:w="100" w:space="120"/>
            <w:col w:w="160" w:space="60"/>
            <w:col w:w="6080"/>
          </w:cols>
          <w:pgMar w:left="320" w:top="1083" w:right="339" w:bottom="1440" w:gutter="0" w:footer="0" w:header="0"/>
          <w:type w:val="continuous"/>
        </w:sectPr>
      </w:pPr>
    </w:p>
    <w:p>
      <w:pPr>
        <w:jc w:val="both"/>
        <w:spacing w:after="0" w:line="23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60" w:type="dxa"/>
        <w:tblCellMar>
          <w:top w:w="0" w:type="dxa"/>
          <w:left w:w="0" w:type="dxa"/>
          <w:bottom w:w="0" w:type="dxa"/>
          <w:right w:w="0" w:type="dxa"/>
        </w:tblCellMar>
      </w:tblPr>
      <w:tr>
        <w:trPr>
          <w:trHeight w:val="213"/>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1020"/>
              <w:spacing w:after="0" w:line="131" w:lineRule="exact"/>
              <w:rPr>
                <w:sz w:val="20"/>
                <w:szCs w:val="20"/>
                <w:color w:val="auto"/>
              </w:rPr>
            </w:pPr>
            <w:r>
              <w:rPr>
                <w:rFonts w:ascii="MS PGothic" w:cs="MS PGothic" w:eastAsia="MS PGothic" w:hAnsi="MS PGothic"/>
                <w:sz w:val="13"/>
                <w:szCs w:val="13"/>
                <w:color w:val="auto"/>
              </w:rPr>
              <w:t>☐</w:t>
            </w:r>
          </w:p>
        </w:tc>
        <w:tc>
          <w:tcPr>
            <w:tcW w:w="4520" w:type="dxa"/>
            <w:vAlign w:val="bottom"/>
          </w:tcPr>
          <w:p>
            <w:pPr>
              <w:ind w:left="2500"/>
              <w:spacing w:after="0"/>
              <w:rPr>
                <w:sz w:val="20"/>
                <w:szCs w:val="20"/>
                <w:color w:val="auto"/>
              </w:rPr>
            </w:pPr>
            <w:r>
              <w:rPr>
                <w:rFonts w:ascii="Times New Roman" w:cs="Times New Roman" w:eastAsia="Times New Roman" w:hAnsi="Times New Roman"/>
                <w:sz w:val="13"/>
                <w:szCs w:val="13"/>
                <w:color w:val="auto"/>
              </w:rPr>
              <w:t>Accelerated filer</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1020"/>
              <w:spacing w:after="0" w:line="131" w:lineRule="exact"/>
              <w:rPr>
                <w:sz w:val="20"/>
                <w:szCs w:val="20"/>
                <w:color w:val="auto"/>
              </w:rPr>
            </w:pPr>
            <w:r>
              <w:rPr>
                <w:rFonts w:ascii="MS PGothic" w:cs="MS PGothic" w:eastAsia="MS PGothic" w:hAnsi="MS PGothic"/>
                <w:sz w:val="13"/>
                <w:szCs w:val="13"/>
                <w:color w:val="auto"/>
              </w:rPr>
              <w:t>☐</w:t>
            </w:r>
          </w:p>
        </w:tc>
        <w:tc>
          <w:tcPr>
            <w:tcW w:w="4520" w:type="dxa"/>
            <w:vAlign w:val="bottom"/>
          </w:tcPr>
          <w:p>
            <w:pPr>
              <w:ind w:left="25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3"/>
        </w:trPr>
        <w:tc>
          <w:tcPr>
            <w:tcW w:w="21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4520" w:type="dxa"/>
            <w:vAlign w:val="bottom"/>
          </w:tcPr>
          <w:p>
            <w:pPr>
              <w:ind w:left="2500"/>
              <w:spacing w:after="0"/>
              <w:rPr>
                <w:sz w:val="20"/>
                <w:szCs w:val="20"/>
                <w:color w:val="auto"/>
              </w:rPr>
            </w:pPr>
            <w:r>
              <w:rPr>
                <w:rFonts w:ascii="Times New Roman" w:cs="Times New Roman" w:eastAsia="Times New Roman" w:hAnsi="Times New Roman"/>
                <w:sz w:val="13"/>
                <w:szCs w:val="13"/>
                <w:color w:val="auto"/>
              </w:rPr>
              <w:t>Emerging Growth company</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40" w:lineRule="exact"/>
        <w:rPr>
          <w:sz w:val="24"/>
          <w:szCs w:val="24"/>
          <w:color w:val="auto"/>
        </w:rPr>
      </w:pPr>
    </w:p>
    <w:p>
      <w:pPr>
        <w:jc w:val="both"/>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87" w:lineRule="exact"/>
        <w:rPr>
          <w:sz w:val="24"/>
          <w:szCs w:val="24"/>
          <w:color w:val="auto"/>
        </w:rPr>
      </w:pPr>
    </w:p>
    <w:p>
      <w:pPr>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5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5" w:lineRule="exact"/>
        <w:rPr>
          <w:sz w:val="24"/>
          <w:szCs w:val="24"/>
          <w:color w:val="auto"/>
        </w:rPr>
      </w:pPr>
    </w:p>
    <w:p>
      <w:pPr>
        <w:jc w:val="both"/>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6" w:lineRule="exact"/>
        <w:rPr>
          <w:sz w:val="24"/>
          <w:szCs w:val="24"/>
          <w:color w:val="auto"/>
        </w:rPr>
      </w:pPr>
    </w:p>
    <w:p>
      <w:pPr>
        <w:ind w:right="140"/>
        <w:spacing w:after="0" w:line="166" w:lineRule="exact"/>
        <w:rPr>
          <w:sz w:val="20"/>
          <w:szCs w:val="20"/>
          <w:color w:val="auto"/>
        </w:rPr>
      </w:pPr>
      <w:r>
        <w:rPr>
          <w:rFonts w:ascii="Times New Roman" w:cs="Times New Roman" w:eastAsia="Times New Roman" w:hAnsi="Times New Roman"/>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000000"/>
        </w:rPr>
        <w:t>☐</w:t>
      </w:r>
    </w:p>
    <w:p>
      <w:pPr>
        <w:spacing w:after="0" w:line="6" w:lineRule="exact"/>
        <w:rPr>
          <w:sz w:val="24"/>
          <w:szCs w:val="24"/>
          <w:color w:val="auto"/>
        </w:rPr>
      </w:pPr>
    </w:p>
    <w:p>
      <w:pPr>
        <w:ind w:right="260"/>
        <w:spacing w:after="0" w:line="166" w:lineRule="exact"/>
        <w:rPr>
          <w:sz w:val="20"/>
          <w:szCs w:val="20"/>
          <w:color w:val="auto"/>
        </w:rPr>
      </w:pPr>
      <w:r>
        <w:rPr>
          <w:rFonts w:ascii="Times New Roman" w:cs="Times New Roman" w:eastAsia="Times New Roman" w:hAnsi="Times New Roman"/>
          <w:sz w:val="13"/>
          <w:szCs w:val="13"/>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000000"/>
        </w:rPr>
        <w:t>☐</w:t>
      </w:r>
    </w:p>
    <w:p>
      <w:pPr>
        <w:spacing w:after="0" w:line="1" w:lineRule="exact"/>
        <w:rPr>
          <w:sz w:val="24"/>
          <w:szCs w:val="24"/>
          <w:color w:val="auto"/>
        </w:rPr>
      </w:pPr>
    </w:p>
    <w:p>
      <w:pPr>
        <w:spacing w:after="0" w:line="150" w:lineRule="exact"/>
        <w:tabs>
          <w:tab w:leader="none" w:pos="56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7" w:lineRule="exact"/>
        <w:rPr>
          <w:sz w:val="24"/>
          <w:szCs w:val="24"/>
          <w:color w:val="auto"/>
        </w:rPr>
      </w:pPr>
    </w:p>
    <w:p>
      <w:pPr>
        <w:jc w:val="both"/>
        <w:spacing w:after="0" w:line="225" w:lineRule="auto"/>
        <w:rPr>
          <w:sz w:val="20"/>
          <w:szCs w:val="20"/>
          <w:color w:val="auto"/>
        </w:rPr>
      </w:pPr>
      <w:r>
        <w:rPr>
          <w:rFonts w:ascii="Times New Roman" w:cs="Times New Roman" w:eastAsia="Times New Roman" w:hAnsi="Times New Roman"/>
          <w:sz w:val="13"/>
          <w:szCs w:val="13"/>
          <w:color w:val="auto"/>
        </w:rPr>
        <w:t>State the aggregate market value of the voting and non-voting common equity held by non-affiliates computed by reference to the price at which the common equity was sold, or the average bid and asked price of such common equity, as of the last business day of the registrant’s most recently completed second fiscal quarter - $319,000,000. The market value calculation was determined using a per share price of $27.75, the price at which the common stock was last sold on the New York Stock Exchange on July 28, 2023, the last business day of the registrant’s most recently completed second fiscal quarter. For purposes of this calculation, shares of common stock held by nonaffiliates excludes only those shares beneficially owned by officers, directors, and shareholders owning 10% or more of the outstanding common stock (and, in each case, their immediate family members and affiliates).</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2"/>
          <w:szCs w:val="12"/>
          <w:color w:val="auto"/>
        </w:rPr>
        <w:t>Indicate the number of shares outstanding of each of the registrant’s classes of common stock as of the latest practicable date: As of March 15, 2024, 11,476,381 shares of the registrant’s common stock were outstanding.</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1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Certain portions of registrant’s Definitive Proxy Statement for its 2024 Annual Meeting of Shareholders (which is expected to be filed with the Securities and Exchange Commission within 120 days after the end of the registrant’s fiscal year ended February 3, 2024)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type w:val="continuous"/>
        </w:sectPr>
      </w:pPr>
    </w:p>
    <w:bookmarkStart w:id="1" w:name="page2"/>
    <w:bookmarkEnd w:id="1"/>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80" w:type="dxa"/>
            <w:vAlign w:val="bottom"/>
            <w:gridSpan w:val="14"/>
          </w:tcPr>
          <w:p>
            <w:pPr>
              <w:jc w:val="center"/>
              <w:ind w:right="348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980" w:type="dxa"/>
            <w:vAlign w:val="bottom"/>
          </w:tcPr>
          <w:p>
            <w:pPr>
              <w:spacing w:after="0"/>
              <w:rPr>
                <w:sz w:val="20"/>
                <w:szCs w:val="20"/>
                <w:color w:val="auto"/>
              </w:rPr>
            </w:pPr>
          </w:p>
        </w:tc>
      </w:tr>
      <w:tr>
        <w:trPr>
          <w:trHeight w:val="431"/>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2"/>
        </w:trPr>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gridSpan w:val="12"/>
          </w:tcPr>
          <w:p>
            <w:pPr>
              <w:jc w:val="center"/>
              <w:ind w:right="4800"/>
              <w:spacing w:after="0" w:line="182"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980" w:type="dxa"/>
            <w:vAlign w:val="bottom"/>
          </w:tcPr>
          <w:p>
            <w:pPr>
              <w:spacing w:after="0"/>
              <w:rPr>
                <w:sz w:val="15"/>
                <w:szCs w:val="15"/>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37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Borders>
              <w:top w:val="single" w:sz="8" w:color="0000FF"/>
            </w:tcBorders>
            <w:gridSpan w:val="2"/>
          </w:tcPr>
          <w:p>
            <w:pPr>
              <w:spacing w:after="0"/>
              <w:rPr>
                <w:sz w:val="19"/>
                <w:szCs w:val="19"/>
                <w:color w:val="auto"/>
              </w:rPr>
            </w:pPr>
          </w:p>
        </w:tc>
        <w:tc>
          <w:tcPr>
            <w:tcW w:w="4840" w:type="dxa"/>
            <w:vAlign w:val="bottom"/>
            <w:gridSpan w:val="9"/>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1A.</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1B.</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1C.</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4A.</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71"/>
        </w:trPr>
        <w:tc>
          <w:tcPr>
            <w:tcW w:w="1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0" w:type="dxa"/>
            <w:vAlign w:val="bottom"/>
            <w:tcBorders>
              <w:bottom w:val="single" w:sz="8" w:color="0000EE"/>
            </w:tcBorders>
          </w:tcPr>
          <w:p>
            <w:pPr>
              <w:spacing w:after="0"/>
              <w:rPr>
                <w:sz w:val="24"/>
                <w:szCs w:val="24"/>
                <w:color w:val="auto"/>
              </w:rPr>
            </w:pPr>
          </w:p>
        </w:tc>
        <w:tc>
          <w:tcPr>
            <w:tcW w:w="4760" w:type="dxa"/>
            <w:vAlign w:val="bottom"/>
            <w:gridSpan w:val="7"/>
          </w:tcPr>
          <w:p>
            <w:pPr>
              <w:spacing w:after="0"/>
              <w:rPr>
                <w:sz w:val="24"/>
                <w:szCs w:val="24"/>
                <w:color w:val="auto"/>
              </w:rPr>
            </w:pPr>
          </w:p>
        </w:tc>
        <w:tc>
          <w:tcPr>
            <w:tcW w:w="980" w:type="dxa"/>
            <w:vAlign w:val="bottom"/>
          </w:tcPr>
          <w:p>
            <w:pPr>
              <w:spacing w:after="0"/>
              <w:rPr>
                <w:sz w:val="24"/>
                <w:szCs w:val="24"/>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5.</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6.</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Reserved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7.</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7A.</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8.</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9A.</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9B.</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9C.</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71"/>
        </w:trPr>
        <w:tc>
          <w:tcPr>
            <w:tcW w:w="1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gridSpan w:val="7"/>
          </w:tcPr>
          <w:p>
            <w:pPr>
              <w:jc w:val="center"/>
              <w:ind w:right="5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240" w:type="dxa"/>
            <w:vAlign w:val="bottom"/>
            <w:gridSpan w:val="6"/>
          </w:tcPr>
          <w:p>
            <w:pPr>
              <w:spacing w:after="0"/>
              <w:rPr>
                <w:sz w:val="24"/>
                <w:szCs w:val="24"/>
                <w:color w:val="auto"/>
              </w:rPr>
            </w:pPr>
          </w:p>
        </w:tc>
        <w:tc>
          <w:tcPr>
            <w:tcW w:w="9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10.</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11.</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12.</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6"/>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13.</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6"/>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14.</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71"/>
        </w:trPr>
        <w:tc>
          <w:tcPr>
            <w:tcW w:w="1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80" w:type="dxa"/>
            <w:vAlign w:val="bottom"/>
            <w:gridSpan w:val="13"/>
          </w:tcPr>
          <w:p>
            <w:pPr>
              <w:jc w:val="center"/>
              <w:ind w:right="478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980" w:type="dxa"/>
            <w:vAlign w:val="bottom"/>
          </w:tcPr>
          <w:p>
            <w:pPr>
              <w:spacing w:after="0"/>
              <w:rPr>
                <w:sz w:val="24"/>
                <w:szCs w:val="24"/>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15.</w:t>
            </w:r>
          </w:p>
        </w:tc>
        <w:tc>
          <w:tcPr>
            <w:tcW w:w="36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20" w:type="dxa"/>
            <w:vAlign w:val="bottom"/>
            <w:tcBorders>
              <w:top w:val="single" w:sz="8" w:color="0000FF"/>
            </w:tcBorders>
            <w:gridSpan w:val="6"/>
          </w:tcPr>
          <w:p>
            <w:pPr>
              <w:spacing w:after="0"/>
              <w:rPr>
                <w:sz w:val="19"/>
                <w:szCs w:val="19"/>
                <w:color w:val="auto"/>
              </w:rPr>
            </w:pPr>
          </w:p>
        </w:tc>
        <w:tc>
          <w:tcPr>
            <w:tcW w:w="4760" w:type="dxa"/>
            <w:vAlign w:val="bottom"/>
            <w:gridSpan w:val="7"/>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598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16.</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897"/>
        </w:trPr>
        <w:tc>
          <w:tcPr>
            <w:tcW w:w="1140" w:type="dxa"/>
            <w:vAlign w:val="bottom"/>
          </w:tcPr>
          <w:p>
            <w:pPr>
              <w:spacing w:after="0"/>
              <w:rPr>
                <w:sz w:val="24"/>
                <w:szCs w:val="24"/>
                <w:color w:val="auto"/>
              </w:rPr>
            </w:pPr>
          </w:p>
        </w:tc>
        <w:tc>
          <w:tcPr>
            <w:tcW w:w="1540" w:type="dxa"/>
            <w:vAlign w:val="bottom"/>
            <w:tcBorders>
              <w:top w:val="single" w:sz="8" w:color="0000FF"/>
            </w:tcBorders>
            <w:gridSpan w:val="6"/>
          </w:tcPr>
          <w:p>
            <w:pPr>
              <w:spacing w:after="0"/>
              <w:rPr>
                <w:sz w:val="24"/>
                <w:szCs w:val="24"/>
                <w:color w:val="auto"/>
              </w:rPr>
            </w:pPr>
          </w:p>
        </w:tc>
        <w:tc>
          <w:tcPr>
            <w:tcW w:w="3340" w:type="dxa"/>
            <w:vAlign w:val="bottom"/>
            <w:gridSpan w:val="14"/>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Notice Regarding Forward-Looking Statements</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Annual Report on Form 10-K (this "report") includes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report and a number of factors may adversely affect the forward-looking statements and our future results, liquidity, capital resources or prospects. These include, but are not limited to, adjustments to projections reflected in forward-looking statements, including those resulting from weakness in store, e-commerce and shopping mall traffic, restrictions on operations imposed by government entities and/or landlords, changes in public safety and health requirements and limitations on our ability to adequately staff and operate stores. Differences from expectations could also result from store closures and effects on the business as a result of civil disturbances; the level of consumer spending on our merchandise and interest in our brands and in general; the level and timing of promotional activity necessary to maintain inventories at appropriate levels; our ability to pass on price increases to our customers; the imposition of tariffs on products imported by us or our vendors as well as the ability and costs to move production of products in response to tariffs; our ability to obtain from suppliers products that are in-demand on a timely basis and effectively manage disruptions in product supply or distribution, including disruptions as a result of pandemics or geopolitical events, including shipping disruptions in the Red Sea; unfavorable trends in fuel costs, foreign exchange rates, foreign labor and material costs; a disruption in shipping or increase in cost of our imported products, and other factors affecting the cost of products; our dependence on third-party vendors and licensors for the products we sell; our ability to renew our license agreements; impacts of the Russia-Ukraine war and the Israel-Hamas war, and other sources of market weakness in the U.K. and the Republic of Ireland; the effectiveness of our omni-channel initiatives; costs associated with changes in minimum wage and overtime requirements; wage pressure in the U.S. and the U.K.; labor shortages; the effects of inflation; the evolving regulatory landscape related to our use of social media; the establishment and protection of our intellectual property; weakness in the consumer economy and retail industry; competition and fashion trends in our markets, including trends with respect to the popularity of casual and dress footwear; any failure to increase sales at our existing stores, given our high fixed expense cost structure, and in our e-commerce businesses; risks related to the potential for terrorist events; risks related to public health and safety events; changes in buying patterns by significant wholesale customers; changes in consumer preferences; our ability to continue to complete and integrate acquisitions; our ability to expand our business and diversify our product base; impairment of goodwill in connection with acquisitions; payment related risks that could increase our operating cost, expose us to fraud or theft, subject us to potential liability and disrupt our business; retained liabilities associated with divestitures of businesses including potential liabilities under leases as the prior tenant or as a guarantor of certain leases; and changes in the timing of holidays or in the onset of seasonal weather affecting period-to-period sales comparisons. Additional factors that could cause differences from expectations include the ability to secure allocations to refine product assortments to address consumer demand; the ability to renew leases in existing stores and control or lower occupancy costs, to open or close stores in the number and on the planned schedule, and to conduct required remodeling or refurbishment on schedule and at expected expense levels; our ability to realize anticipated cost savings, including rent savings; the timing and amount of any share repurchases by us; our ability to make our occupancy costs more variable; our ability to achieve expected digital gains and gain market share; deterioration in the performance of individual businesses or of our market value relative to our book value, resulting in impairments of fixed assets, operating lease right of use assets or intangible assets or other adverse financial consequences and the timing and amount of such impairments or other consequences; unexpected changes to the market for our shares or for the retail sector in general; our ability to meet our sustainability, stewardship, emission and diversity, equity and inclusion related ESG projections, goals and commitments; costs and reputational harm as a result of disruptions in our business or information technology systems either by security breaches and incidents or by potential problems associated with the implementation of new or upgraded systems; our ability to realize any anticipated tax benefits in both the amount and timeframe anticipated; and the cost and outcome of litigation, investigations, environmental matters and other disputes that involve us. For a full discussion of risk factors, see Item 1A, "Risk Factors".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88"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Genesco Inc., incorporated in 1934 in the State of Tennessee, is a leading retailer and wholesaler of branded footwear, apparel and accessories with net sales for Fiscal 2024 of $2.3 billion. During Fiscal 2024, we operated four reportable business segments (not including corporate): (i) Journeys Group, comprised of the Journeys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Journeys Kidz</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Little Burgundy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retail footwear chains and e-commerce operations; (ii) Schuh Group, comprised of the Schuh retail footwear chain and e-commerce operations; (iii) Johnston &amp; Murphy Group, comprised of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retail operations, e-commerce operations and wholesale distribution of products under the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(iv) Genesco Brands Group, comprised of the licensed Dockers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Levi's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G.H. Bass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brands, as well as other brands we license for footwear. We also source, design, market and distribute footwear under our Johnston &amp; Murphy brand and the licensed Levi's, Dockers and G.H. Bass brands, as well as other brands that we license for footwear to over 1,000 retail accounts in the United States, including a number of leading department, discount, and specialty stores as well as e-commerce retailers.</w:t>
      </w:r>
    </w:p>
    <w:p>
      <w:pPr>
        <w:spacing w:after="0" w:line="1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February 3, 2024, we operated 1,341 retail footwear and accessory stores located primarily throughout the United States and in Puerto Rico, including 77 footwear stores in Canada and 122 footwear stores in the United Kingdom ("U.K.") and the Republic of Ireland ("ROI"). We plan to open a total of approximately 14 new retail stores and to close approximately 52 retail stores in Fiscal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additional information concerning our retail footwear and accessory stores during the five most recent fiscal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w:t>
            </w:r>
          </w:p>
        </w:tc>
      </w:tr>
      <w:tr>
        <w:trPr>
          <w:trHeight w:val="245"/>
        </w:trPr>
        <w:tc>
          <w:tcPr>
            <w:tcW w:w="51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Stores</w:t>
            </w:r>
          </w:p>
        </w:tc>
        <w:tc>
          <w:tcPr>
            <w:tcW w:w="11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Beginning of year</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1,512</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1,480</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1,460</w:t>
            </w: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1,425</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1,410</w:t>
            </w:r>
          </w:p>
        </w:tc>
      </w:tr>
      <w:tr>
        <w:trPr>
          <w:trHeight w:val="247"/>
        </w:trPr>
        <w:tc>
          <w:tcPr>
            <w:tcW w:w="5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Opened during year</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r>
      <w:tr>
        <w:trPr>
          <w:trHeight w:val="238"/>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Closed during year</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76"/>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End of year</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-24765</wp:posOffset>
            </wp:positionV>
            <wp:extent cx="8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-7620</wp:posOffset>
            </wp:positionV>
            <wp:extent cx="85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-24765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-7620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-24765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-7620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-24765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-7620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Shorthand references to fiscal years (e.g., “Fiscal 2024”) refer to the fiscal year ended on the Saturday nearest January 31st in the named year (e.g., February 3, 2024). Fiscal 2024 is a 53-week year and Fiscal 2023 and 2022 are 52-week years. The terms "Company," "Genesco," "we," "our" or "us" as used herein and unless otherwise stated or indicated by context refer to Genesco Inc. and its subsidiaries. All information contained in Item 7, “Management’s Discussion and Analysis of Financial Condition and Results of Operations,” which is referred to in this Item 1 of this report, is incorporated by such reference in Item 1.</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Across our company, we aspire to create and curate leading footwear brands that represent style, innovation and self-expression and to be the destination for our consumers' favorite fashion footwear. Each of our businesses has a strong strategic position grounded in a deep and ever-evolving understanding of the customers it serves. We strive to build enduring relationships with our target customers, based upon unparalleled consumer and market insights. We seek to excite and constantly exceed customer expectations by delivering distinctive experiences and products, using our deep direct-to-consumer expertise across digital and physical channels. The strength of our concepts and the advantages we have built over time have established long-lasting leadership positions that make our footwear businesses outstanding on their own, but what they share through the benefit of synergies makes them even stronger together. We have aligned our footwear focused strategy around six pillars aimed 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accelerating our transformation and leveraging synergies to drive growth and sustainable profitability, 1) accelerate digital to grow direct-to-consumer, 2) maximize the relationship between physical and digital channels, 3) build deeper consumer insights to strengthen customer relationships and brand equity,</w:t>
      </w:r>
    </w:p>
    <w:p>
      <w:pPr>
        <w:spacing w:after="0" w:line="1" w:lineRule="exact"/>
        <w:rPr>
          <w:sz w:val="20"/>
          <w:szCs w:val="20"/>
          <w:color w:val="auto"/>
        </w:rPr>
      </w:pPr>
    </w:p>
    <w:p>
      <w:pPr>
        <w:jc w:val="both"/>
        <w:ind w:firstLine="8"/>
        <w:spacing w:after="0" w:line="253" w:lineRule="auto"/>
        <w:tabs>
          <w:tab w:leader="none" w:pos="2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intensify product innovation and trend insight efforts, 5) reshape the cost base to reinvest for future growth, and 6) pursue synergistic acquisitions that add growth and create shareholder value. We anticipate continuing to optimize our store footprint in the future, concentrating on locations that we believe will be most productive, as well as closing certain stores, perhaps reducing the overall square footage and store count from current levels, but improving productivity in our existing locations and investing in technology and infrastructure to support omni-channel and digital retailing.</w:t>
      </w:r>
    </w:p>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made acquisitions, including the acquisitions of the Schuh Group in June 2011, Little Burgundy in December 2015 and Togast in January 2020. We expect to concentrate our efforts on opportunities to leverage our direct-to-consumer capabilities to grow our branded platform and leverage its strategies at the appropriate time going forward.</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 generally, we attempt to develop strategies to mitigate the risks we view as material, including those discussed under the caption “Forward Looking Statements,” above, and those discussed in Item 1A, "Risk Factors". Among the most important of these factors are those related to consumer demand. Conditions in the economy can affect demand, resulting in changes in sales and, as prices are adjusted to drive sales and manage inventories, in gross margins. Because fashion trends influencing many of our target customers can change rapidly, we believe that our ability to react quickly to those changes has been important to our success. Even when we succeed in aligning our merchandise offerings with consumer preferences, those preferences may affect results by, for example, driving sales of products with lower average selling prices or products which are more widely available in the marketplace and thus more subject to competitive pressures than our typical offering. Moreover, economic factors, such as inflation, the collateral effects of the COVID-19 pandemic, supply chain disruptions and increased logistics costs, and any future economic contraction and changes in tax policies, may reduce the consumer’s disposable income or his or her willingness to purchase discretionary items, and thus may reduce demand for our merchandise, regardless of our skill in detecting and responding to fashion trends. We believe our experience and discipline in merchandising and the buying power associated with our relative size and importance in the industry segments in which we compete are important factors in our ability to mitigate risks associated with changing customer preferences and other changes in consumer demand.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Journeys Group</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Journeys Group accounted for 59% of our net sales in Fiscal 2024. Journeys retail footwear stores target customers in the 13 to 22 year age group through the use of youth-oriented decor and multi-channel media. Journeys stores carry predominately branded merchandise across a wide range of prices. The Journeys Kidz retail footwear stores sell footwear and accessories primarily for younger children, toddler age to 12 years old. Little Burgundy retail footwear stores sell footwear and accessories to fashion-oriented men and women in the 21 to 34 year age group ranging from students to young professionals.</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February 3, 2024, Journeys Group operated 1,063 stores, including 808 Journeys stores, 222 Journeys Kidz stores and 33 Little Burgundy stores averaging approximately 2,050 square feet, located primarily in malls and factory outlet centers throughout the United States, Puerto Rico and Canada, selling footwear and accessories for young men, women and children. Journeys Group's e-commerce websites include the following: journeys.com, journeyskidz.com, journeys.ca and littleburgundyshoes.com. In Fiscal 2024, the Journeys Group closed a net of 67 stores.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Schuh Group</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Schuh Group accounted for 21% of our net sales in Fiscal 2024. Schuh Group stores target teenagers and young adults in the 16 to 24 year age group, selling a broad range of branded casual and athletic footwear along with a meaningful private label offering. At February 3, 2024, Schuh Group operated 122 Schuh stores, averaging approximately 4,950 square feet, which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include both street-level and mall locations in the U.K. and the ROI. Schuh Group's e-commerce websites are schuh.co.uk, schuh.ie and schuh.eu. In Fiscal 2024, Schuh Group closed a net of zero stores.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Johnston &amp; Murphy Group</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Johnston &amp; Murphy Group accounted for 14% of our net sales in Fiscal 2024. All sales of Johnston &amp; Murphy Group's retail and wholesale businesses are of the Genesco-owned Johnston &amp; Murphy brand.</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Johnston &amp; Murphy Retail Operations. At February 3, 2024, Johnston &amp; Murphy operated 156 retail shops and factory stores primarily in the United States averaging approximately 1,950 square feet and selling footwear, apparel and accessories primarily for men in the 25 to 55 year age group. Johnston &amp; Murphy retail shops are located primarily in higher-end malls and airports nationwide and sell a broad range of men’s casual and dress footwear, apparel and accessories. Women’s footwear and accessories are sold in select Johnston &amp; Murphy locations. We also sell Johnston &amp; Murphy products directly to consumers through johnstonmurphy.com and johnstonmurphy.ca e-commerce websites. Footwear accounted for 55% of Johnston &amp; Murphy retail sales in Fiscal 2024, with the balance consisting primarily of apparel and accessories. Johnston &amp; Murphy Group closed a net of two shops and factory stores, including one factory store in Canada, in Fiscal 2024.</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Johnston &amp; Murphy Wholesale Operations. Johnston &amp; Murphy men’s and boy's footwear, apparel and accessories, along with women's footwear are sold at wholesale, primarily to better department stores, independent specialty stores and e-commerce retailers. Johnston &amp; Murphy’s wholesale customers offer the brand’s footwear for dress, dress casual, and casual occasions, with the majority of styles offered in these channels selling from $100 to $195.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Genesco Brands Group</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Genesco Brands Group segment accounted for 6% of our net sales in Fiscal 2024. Genesco Brands Group designs and sources licensed footwear under the Levi's, Dockers and G.H. Bass brand names, among others. The Levi's brand license and the G.H. Bass brand license were entered into concurrently with the Togast acquisition. We design and source Levi's branded footwear and market it to men, women and children through department and specialty stores and off-price retailers across the country as well as e-commerce retailers. Suggested retail prices for Levi's footwear generally range from $35 to $100. Dockers footwear is marketed to men aged 30 to 55 through many of the same national retail chains that carry Dockers pants and sportswear and in department and specialty stores across the country. Suggested retail prices for Dockers footwear generally range from $40 to $90. In the fourth quarter of Fiscal 2022, we signed a three-year licensing agreement with STARTER to be their exclusive U.S. and Canadian footwear licensee for athletic footwear. We design and manufacture the STARTER brand footwear for men, women and children with suggested retail prices ranging from $49 to $120. In the second quarter of Fiscal 2023, we signed a three-year licensing agreement with PONY to be their exclusive U.S. footwear licensee for athletic footwear for men, women and children with suggested retail prices ranging from $75 to $250, including a Limited Edition 50th anniversary version for $250. Genesco Brands Group e-commerce websites are nashvilleshoewarehouse.com and dockershoes.com.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 and Sourcing</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rely on independent third-party manufacturers for production of our footwear products sold at Johnston &amp; Murphy Group and Genesco Brands Group. We source footwear and accessory products from foreign manufacturers located in Brazil, Canada, China, Hong Kong, India, Italy, Mexico, Pakistan, Portugal, Peru, Spain, Turkey and Vietnam. Our Journeys Group and Schuh Group businesses sell primarily branded products from third parties who source primarily overseas.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Competition is intense in the footwear, apparel and accessory industries. Our retail footwear, apparel and accessory competitors range from small, locally owned stores to regional and national department stores, discount stores, specialty chains, our vendors with their own direct-to-consumer channels and online retailers. We also compete with hundreds of footwear wholesale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United States and throughout the world, most of which are relatively small, specialized operations, but some of which are large, more diversified companies. Some of our competitors have resources that are not available to us. Our success depends upon our ability to remain competitive with respect to the key factors of style, price, quality, comfort, brand loyalty, customer service, store location and atmosphere, technology, infrastructure and speed of delivery to support e-commerce and the ability to offer relevant products.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Licenses</w:t>
      </w:r>
    </w:p>
    <w:p>
      <w:pPr>
        <w:spacing w:after="0" w:line="19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own our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own or license the trade names of our retail concepts either directly or through wholly-owned subsidiaries. The Dockers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footwear line, introduced in Fiscal 1993, is sold under a license agreement granting us the exclusive right to sell men’s footwear under the trademark in the United States, Canada and the Caribbean. The current Dockers license agreement expires in 2024 and is currently expected to be renewed through 2027. We entered into a new license agreement with Levi Strauss &amp; Co. in January 2020 for the right to sell men's, women's and children's footwear under the Levi's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 in the United States and the Caribbean. The initial term of the license agreement with respect to Levi's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trademarks was through November 30, 2024 with one potential additional four-year renewal term. We have agreed with Levi Strauss &amp; Co. that we will not renew the license for four years, but will instead extend the license under modified terms through at least February 2026 and accept other consideration. We entered into a new license agreement for STARTER athletic footwear in September 2021. The initial term of the license is three years with a three-year renewal option, which would extend the partnership through December 31, 2027. We entered into a new license agreement for PONY athletic footwear in June 2022. The initial term of the license is three years with a three-year renewal option, which would extend the partnership through June 2028. We license certain other footwear brands, mostly in foreign markets. License royalty income was not material in Fiscal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Wholesale Backlog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orders in our wholesale divisions are for delivery within 150 days. Historically, most of our business has been at-once, and as a result, the backlog at any one time has not necessarily been indicative of future sales. As of March 2, 2024, our wholesale operations had a backlog of orders, including unconfirmed customer purchase orders, amounting to approximately $49.0 million, compared to approximately $72.7 million as of February 25, 2023. The decline is primarily due to the planned decline in value channel orders for the Genesco Brands Group business driven by the Levi's license. The backlog is somewhat seasonal, reaching a peak in the Spring.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Social and Governance ("ESG") Initiatives</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a leading retailer and wholesaler of branded footwear, apparel and accessories, we strive to make a positive impact on our industry, our communities and our planet by committing to transparent, socially conscious, and sustainable business practices. We believe that our ESG practices should serve all of our stakeholders, including shareholders, employees, customers and business partners.</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Fiscal 2024, we completed our second measurements or baselines for our greenhouse gas emissions. We issued our initial corporate sustainability report in Fiscal 2023 and have followed up with subsequent ESG infographic updates, all of which can be found at www.genesco.com. Our website address is provided as an inactive textual reference only. The information provided on our website is not a part of this report, and therefore is not incorporated herein by reference.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are committed to reducing our impact on the environment by focusing on sustainability initiatives in our operations and throughout our supply chain and product lifecycle. To this end, in Fiscal 2022, we joined the Leather Working Group ("LWG"). The LWG is a not-for-profit organization responsible for the world's leading environmental certification for the leather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manufacturing industry. As a member of the LWG, we apply holistic practices in the supply chain for leather manufacturing for our third-party manufacturers.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also monitor chemicals and substances in our supply chain for compliance with legal and regulatory requirements consistent with our Environmental Policy and expect our contracted factories and suppliers to take a proactive stance in eliminating any hazardous chemicals or substances in the manufacture of our products.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Employees</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had approximately 18,000 employees as of February 3, 2024 with approximately 14,000 employed in the United States and Canada, and approximately 4,000 in the U.K. and the ROI. The majority of our workforce consists of retail-based, customer-facing employees with approximately 70% part-time and 30% full-time as of February 3, 2024.</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consider our employees to be core to our success. Our values include treating our customers and each other with integrity, trust and respect, and creating an unrivaled home for talent to grow and succeed.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Workplace Health &amp; Safety</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conduct health and safety training with our retail and distribution employees to build knowledge and awareness of workplace conditions and hazards according to local, regional and national standards.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Benefits and Compensation</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offer a comprehensive benefits package designed to meet the diverse needs of our employees and their families. This package includes many benefits dedicated to our employees’ physical and mental health and well-being as well as benefits designed to help employees build wealth and prepare for the future.</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also provide valuable benefits and protections based on the unique needs and interests of each individual employee such as domestic partner benefits, parental leave, adoption benefits, family building benefits, paid time for community service, financial assistance with emergencies, scholarship opportunities, matching gift contributions and a generous product discount.</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compensation programs are designed to attract, retain and motivate employees. We provide short-term and long-term incentives to encourage and reward superior performance and also drive long-term shareholder value. We engage a nationally recognized outside compensation consulting firm to independently evaluate the effectiveness of our executive compensation programs and to provide benchmarking against our peers within the industry.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Diversity, Equity and Inclusion</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are committed to our diversity, equity, and inclusion ("DEI") efforts to continually strengthen our talent and to make a meaningful difference for our employees, our customers, and our communities.</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enhanced our commitment to DEI by building on our solid foundation. Through our DEI Council and defined vision, we are focusing our attention on areas where we can make the most impact – our talent, our business practices and our communities. We have identified opportunities that will advance our DEI efforts across our portfolio of brands, including expanded training and development programs, pay equity studies, the launch of Business Resource Groups and ongoing engagement through communication and events.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Engagement</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annual employee engagement surveys as well as other targeted surveys with various segments of our workforce to measure important aspects of the employee experience. The survey measures employee sentiment on a variety of topics including leadership, management, alignment, involvement, respect in the workplace, learning and development, social connection and work life balance, among others. The survey creates the opportunity to establish two-way communication and gives employees a direct voice in influencing change. Our results indicate high participation rates and strong engagement scores. We remain committed to listening to and learning from our employees.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Training and Development</w:t>
      </w:r>
    </w:p>
    <w:p>
      <w:pPr>
        <w:spacing w:after="0" w:line="18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provide employees with the opportunity to grow their careers and be rewarded for their contributions. We have a strong promote from within culture and target training and development that is relevant to an employee’s current role as well as future roles to which they aspire.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Capital</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committed to responsible sourcing practices in our supply chain. We depend on third-party vendors to produce the products we sell but strive to work only with those vendors who share our commitment to responsible practices, especially in their relationships with employees and their stewardship of the environment. Our supply chain and ethical practices policies are among the ways we seek to implement this commitment. During Fiscal 2024, we published our inaugural Vendor Code of Conduct policy.</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we published a comprehensive human rights policy with its commitment to respecting human rights and belief in fundamental standards that support our commitment to treat our employees, customers and business partners with integrity, trust and respect. Our human rights policy addresses our internal business ethics and code of conduct policies and principles embedded in our business operations, and is guided by the United Nations Guiding Principles on Business and Human Rights, the UN Universal Declaration of Human Rights, and the Organization for Economic Cooperation and Development (OECD) Guidelines for Multi National Enterprises.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Security and Cybersecurity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retail and wholesale activities, marketing campaigns, customer relationship efforts and use of some third-party partners, we may handle and process certain non-public personal information that customers provide to purchase products, enroll in promotional or marketing programs, register on websites, or otherwise communicate to us in the course of providing support. This may include phone numbers, email addresses, physical addresses, contact preferences, personal information stored on electronic devices, and certain payment related information, including credit and debit card data. We have removed the transmission, processing, and storage of credit card data from our environment in North America through the use of hardware based end-to-end encryption along with tokenization.</w:t>
      </w:r>
    </w:p>
    <w:p>
      <w:pPr>
        <w:spacing w:after="0" w:line="15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gather and retain information about our employees only as necessary to fulfill our responsibilities as an employer. We may share information about such persons with benefit and/or employee services vendors that assist with certain aspects of our human resources offering.</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maintain controls and safeguards to mitigate the risks to our systems and to protect this information and have made significant investments to improve our information security and privacy posture and keep pace with the ever changing and evolving risks to our systems and our information. For example, we have implemented hardware based end-to-end encryption with tokenization, multi-factor authentication protocols, next generation firewalls, comprehensive cloud email security and endpoint protection,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detection, and response software, conducted continuous risk assessments, and established data security breach preparedness and response plans. We also promote security awareness with our employees and require all endpoint users to successfully complete our annual security awareness training.</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information security, we must comply with increasingly complex and demanding regulatory standards enacted to protect the privacy of business and personal data in the United States, Europe and other jurisdictions. For example, the European Union adopted the General Data Protection Regulation (the “GDPR”), which went into effect on May 25, 2018; and California enacted the California Consumer Privacy Act (the "CCPA") which went into effect on January 1, 2020, and additional jurisdictions are considering proposing or adopting similar regulations. These privacy laws impose additional requirements on companies regarding the handling of personal data and provide certain individual privacy rights to persons whose data is stored or processed.</w:t>
      </w:r>
    </w:p>
    <w:p>
      <w:pPr>
        <w:spacing w:after="0" w:line="1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implemented processes and systems to allow for the expedient response and resolution of data subject access requests in accordance with existing privacy laws and regulations that are applicable to our business, including GDPR and CCPA.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Building better communities is part of our everyday values. Our community outreach initiatives support underserved communities including our unique signature community outreach programs </w:t>
      </w:r>
      <w:r>
        <w:rPr>
          <w:rFonts w:ascii="Times New Roman" w:cs="Times New Roman" w:eastAsia="Times New Roman" w:hAnsi="Times New Roman"/>
          <w:sz w:val="18"/>
          <w:szCs w:val="18"/>
          <w:i w:val="1"/>
          <w:iCs w:val="1"/>
          <w:color w:val="auto"/>
        </w:rPr>
        <w:t>Cold Feet, Warm Shoes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Make a Difference Charity Golf Tournament</w:t>
      </w:r>
      <w:r>
        <w:rPr>
          <w:rFonts w:ascii="Times New Roman" w:cs="Times New Roman" w:eastAsia="Times New Roman" w:hAnsi="Times New Roman"/>
          <w:sz w:val="18"/>
          <w:szCs w:val="18"/>
          <w:color w:val="auto"/>
        </w:rPr>
        <w:t xml:space="preserve"> benefitting United Way, Journeys' </w:t>
      </w:r>
      <w:r>
        <w:rPr>
          <w:rFonts w:ascii="Times New Roman" w:cs="Times New Roman" w:eastAsia="Times New Roman" w:hAnsi="Times New Roman"/>
          <w:sz w:val="18"/>
          <w:szCs w:val="18"/>
          <w:i w:val="1"/>
          <w:iCs w:val="1"/>
          <w:color w:val="auto"/>
        </w:rPr>
        <w:t xml:space="preserve">Attitude That Cares </w:t>
      </w:r>
      <w:r>
        <w:rPr>
          <w:rFonts w:ascii="Times New Roman" w:cs="Times New Roman" w:eastAsia="Times New Roman" w:hAnsi="Times New Roman"/>
          <w:sz w:val="18"/>
          <w:szCs w:val="18"/>
          <w:color w:val="auto"/>
        </w:rPr>
        <w:t>and Schuh’s</w:t>
      </w:r>
      <w:r>
        <w:rPr>
          <w:rFonts w:ascii="Times New Roman" w:cs="Times New Roman" w:eastAsia="Times New Roman" w:hAnsi="Times New Roman"/>
          <w:sz w:val="18"/>
          <w:szCs w:val="18"/>
          <w:i w:val="1"/>
          <w:iCs w:val="1"/>
          <w:color w:val="auto"/>
        </w:rPr>
        <w:t xml:space="preserve"> Purpose Pillar </w:t>
      </w:r>
      <w:r>
        <w:rPr>
          <w:rFonts w:ascii="Times New Roman" w:cs="Times New Roman" w:eastAsia="Times New Roman" w:hAnsi="Times New Roman"/>
          <w:sz w:val="18"/>
          <w:szCs w:val="18"/>
          <w:color w:val="auto"/>
        </w:rPr>
        <w:t>program. In addition, the Company and our employees engage through community sponsorship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leadership, including actively supporting Nashville’s </w:t>
      </w:r>
      <w:r>
        <w:rPr>
          <w:rFonts w:ascii="Times New Roman" w:cs="Times New Roman" w:eastAsia="Times New Roman" w:hAnsi="Times New Roman"/>
          <w:sz w:val="18"/>
          <w:szCs w:val="18"/>
          <w:i w:val="1"/>
          <w:iCs w:val="1"/>
          <w:color w:val="auto"/>
        </w:rPr>
        <w:t>Pride Month</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Nashville Pride Parade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 Aid</w:t>
      </w:r>
      <w:r>
        <w:rPr>
          <w:rFonts w:ascii="Times New Roman" w:cs="Times New Roman" w:eastAsia="Times New Roman" w:hAnsi="Times New Roman"/>
          <w:sz w:val="18"/>
          <w:szCs w:val="18"/>
          <w:color w:val="auto"/>
        </w:rPr>
        <w:t xml:space="preserve"> and the United Way of Greater Nashville’s annual campaign, among other initiatives.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corporate governance mechanisms in place, along with internal controls over our financial reporting framework. We also have Enterprise Risk Management and Ethics and Compliance program frameworks, with annual updates provided to committees of our board of directors ("Board of Directors" or "Board") and our Board. To drive our ESG efforts, we have established an ESG/sustainability management and oversight framework under the direction of our Senior Vice President, Corporate Secretary and General Counsel. A subcommittee of the Nominating and Governance Committee of our Board oversees our ESG efforts.</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commitment to diversity and inclusion is reflected in our Board, which is comprised of 67% of members who are diverse in either gender and/or ethnicity as of February 3, 2024. We are committed to efforts to expand our Board’s diversity.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business is seasonal with our investment in working capital normally reaching peaks in the spring and fall of each year and a significant portion of our net sales and operating income generated during the fourth quarter. The wholesale backlog is somewhat seasonal, reaching a peak in the Spring. We maintain in-stock programs for selected product lines with anticipated high-volume sales.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former manufacturing operations and the sites of those operations as well as the sites of our current operations are subject to numerous federal, state, and local laws and regulations relating to human health and safety and the environment. These laws and regulations address and regulate, among other matters, wastewater discharge, air quality and the generation, handling, storage, treatment, disposal, and transportation of solid and hazardous wastes and releases of hazardous substances into the environment. In addition, third parties and governmental agencies in some cases have the power under such laws and regulations to require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remediation of environmental conditions and, in the case of governmental agencies, to impose fines and penalties. Several of the facilities owned by us (currently or in the past) are located in industrial areas and have historically been used for extensive periods for industrial operations such as tanning, dyeing, and manufacturing. Some of these operations used materials and generated wastes that would be considered regulated substances under current environmental laws and regulations. We are currently involved in certain administrative and judicial environmental proceedings relating to our former facilities. See Note 15 to the Consolidated Financial Statements included in Item 8, "Financial Statements and Supplementary Data".</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file reports with the Securities and Exchange Commission (“SEC”), including Annual Reports on Form 10-K, Quarterly Reports on Form 10-Q and other reports from time to time. We are an electronic filer and the SEC maintains an internet site at http://www.sec.gov that contains the reports, proxy and information statements, and other information filed electronically. Our website address, which is provided as an inactive textual reference only, is http://www.genesco.com. We make available free of charge through the website Annual Reports on Form 10-K, Quarterly Reports on Form 10-Q, Current Reports on Form 8-K, and all amendments to those reports as soon as reasonably practicable after such material is electronically filed with or furnished to the SEC. Copies of the charters of each of our Audit Committee, Compensation Committee, Nominating and Governance Committee as well as our Corporate Governance Guidelines and Code of Ethics along with position descriptions for our Board of Directors and Board committees are also available free of charge through the website. The information provided on our website is not part of this Annual Report on Form 10-K and is therefore not incorporated by reference unless such information is otherwise specifically incorporated elsewhere in this Annual Report on Form 10-K.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a variety of risks which might have material impact. You should carefully consider the risks and uncertainties described below and the other information in this Annual Report on Form 10-K, including our Consolidated Financial Statements and the notes to those statements. The risks and uncertainties described below are not the only ones we face. Additional risks and uncertainties that we do not presently know about or that we currently consider immaterial may also affect our business operations and financial performance. If any of the events described below occur, our business, financial condition, cash flows or results of operations could be adversely affected in a material way. This could cause the trading price of our stock to decline, perhaps significantly, and you may lose part or all of your investment.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Competitive, Demand-Related and Reputational Risks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Consumer spending is affected by poor and/or volatile economic conditions and other factors and may significantly harm our business, affecting our financial condition, liquidity, and results of operations.</w:t>
      </w:r>
    </w:p>
    <w:p>
      <w:pPr>
        <w:spacing w:after="0" w:line="1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success of our business depends to a significant extent upon the level of consumer spending in general and on our product categories. A number of factors may affect the level of consumer spending on merchandise that we offer, including, among other things:</w:t>
      </w:r>
    </w:p>
    <w:p>
      <w:pPr>
        <w:spacing w:after="0" w:line="1" w:lineRule="exact"/>
        <w:rPr>
          <w:sz w:val="20"/>
          <w:szCs w:val="20"/>
          <w:color w:val="auto"/>
        </w:rPr>
      </w:pPr>
    </w:p>
    <w:p>
      <w:pPr>
        <w:ind w:left="760" w:hanging="378"/>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 including the risks associated with recessions or other macroeconomic conditions and pressures such as inflationary impacts and supply chain challenges;</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costs, which affect gasoline and home heating prices;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consumer debt;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of products;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refunds and policies;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terrorism and other hostilities;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future economic conditions.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Adverse economic conditions and any related decrease in consumer demand for discretionary items could have a material adverse effect on our business, results of operations and financial condition. The merchandise we sell generally consists of discretionary items. Reduced consumer confidence and spending may result in reduced demand for discretionary items and may force us to take inventory markdowns, decreasing sales and making expense leverage difficult to achieve. In addition, inflationary cost pressure on the products we sell might limit our ability to pass on cost increases resulting in gross margin impact or reduced demand. Demand can also be influenced by other factors beyond our control.</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while we believe that our operating cash flows and borrowing capacity under committed lines of credit will be adequate for our anticipated cash requirements, if the economy were to experience a downturn, if one or more of our revolving credit banks were to fail to honor its commitments under our credit lines or if we were unable to draw on our credit lines for any reason, we could be required to modify our operations for decreased cash flow or to seek alternative sources of liquidity, and such alternative sources might not be available to us. These same factors could impact our wholesale customers, limiting their ability to buy or pay for merchandise offered by us.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2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 failure to increase sales at our existing stores, given our high fixed expense cost structure, and in our e-commerce businesses or an inability to reduce costs may adversely affect our results of operations which adversely impacts our stock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factors have historically affected, and will continue to affect, our comparable sales results and gross margin, including:</w:t>
      </w:r>
    </w:p>
    <w:p>
      <w:pPr>
        <w:spacing w:after="0" w:line="27"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trends, such as less disposable income due to the impact of economic conditions, tax policies and other factors;</w:t>
      </w:r>
    </w:p>
    <w:p>
      <w:pPr>
        <w:spacing w:after="0" w:line="8"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new fashion trends to drive demand in certain of our businesses and the ability of those businesses to adjust to fashion changes on a timely basis;</w:t>
      </w: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department stores that anchor malls or a significant number of non-anchor mall formats;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mall traffic due to changing customer preferences in the way they shop;</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holidays including sales tax holidays and the timing of tax refunds;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regional and national economic conditions;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inclement weather;</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merchandise introductions and changes in our merchandise mix;</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distribute merchandise efficiently to our stores;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type of sales events, promotional activities or other advertising;</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changing customer preferences in the ways they digitally shop;</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allocated product from our vendors;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anticipated cost reductions;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strategy effectively;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external events beyond our control.</w:t>
      </w:r>
    </w:p>
    <w:p>
      <w:pPr>
        <w:spacing w:after="0" w:line="16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Our comparable sales have fluctuated in the past, including the composition of our comparable sales between store and digital, and we believe such fluctuations may continue. The unpredictability of our comparable sales may cause our revenue and results of operations to vary from quarter to quarter, and an unanticipated change in revenues or operating income may cause our stock price to fluctuate significantly.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protect our reputation could have a material adverse effect on our brand names.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in part on the value and strength of the names of our business units. These names are integral to our businesses as well as to the implementation of our strategies for expanding our businesses. Maintaining, promoting, and positioning our brands will depend largely on the success of our marketing and merchandising efforts and our ability to provide high quality merchandise and a consistent, high quality customer experience. Our brands could be adversely affected if we fail to achieve these objectives or if our public image or reputation were to be tarnished by negative publicity or if adverse information concerning us is posted on social media platforms or similar mediums. Failure to comply, or accusation of failure to comply, with ethical, social, health, product, labor, data privacy, and environmental standards could also jeopardize our reputation and potentially lead to various adverse consumer and employee actions. Any of these events could result in decreased revenue or otherwise adversely affect our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involves a degree of risk related to fashion and other extrinsic demand drivers that are beyond our control.</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majority of our businesses serve a fashion-conscious customer base and depend upon the ability of our buyers and merchandisers to react to fashion trends, to purchase inventory that reflects such trends, and to manage our inventories appropriately in view of the potential for sudden changes in fashion, consumer taste, or other drivers of demand. Failure to execute any of these activities successfully could result in adverse consequences, including lower sales, product margins, operating income and cash flows.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future success also depends on our ability to respond to changing consumer preferences, identify and interpret consumer trends, and successfully market new products.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industry in which we operate is subject to rapidly changing consumer preferences. The continued popularity of our footwear and apparel and the development and selection of new lines and styles of footwear and apparel with widespread consumer appeal, requires us to accurately identify and interpret changing consumer trends and preferences, and to effectively respond in a timely manner. Continuing demand and market acceptance for both existing and new products are uncertain and depend on substantial investment in product innovation, design and development, an ongoing commitment to product quality and significant and sustained marketing efforts and expenditures.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our response to anticipated changing consumer preferences and trends, we frequently must make decisions about product designs and marketing expenditures months in advance of the time when actual consumer acceptance can be determined. As a result, we may not be successful in responding to shifting consumer preferences and trends with new products. If we fail to identify and interpret changing consumer preferences and trends, or are not successful in responding to these changes with the timely development or sourcing of products, we could experience excess inventories and higher than normal markdowns, returns, order cancellations or an inability to profitably sell our products.</w:t>
      </w:r>
    </w:p>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appropriately address emerging environmental, social and governance matters could have a material adverse impact on our reputation and, as a result, our business.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an increased focus from investors, customers, employees, business partners and other stakeholders concerning ESG matters. The expectations related to ESG matters are rapidly evolving, and from time to time, we have announced and will announce certain ESG initiatives and goals. Our ESG efforts may not be perceived to be effective or we could be criticized for the scope of such initiatives or goals. In addition, we could fail to timely meet or accurately report our progress on such initiatives and goals. As a result, we could suffer negative publicity and our reputation could be adversely impacted, which in turn could have a negative impact on investor perception and our products' acceptance by consumers. This may also impact our ability to attract and retain talent to compete in the marketplace.</w:t>
      </w:r>
    </w:p>
    <w:p>
      <w:pPr>
        <w:spacing w:after="0" w:line="14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There is also uncertainty in the markets in which we operate regarding potential policies related to issues surrounding global environmental sustainability. Changes in the legal or regulatory environment affecting responsible sourcing, supply chain transparency, or environmental protection, among others, including regulations to limit carbon dioxide and other greenhouse gas emissions, to discourage the use of plastic or to limit or to impose additional costs on commercial water use may result in increased compliance costs for us and our business partners.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may be adversely affected by declines in consumer traffic in malls.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majority of our stores are located within shopping malls and depend to varying degrees on consumer traffic in the malls to generate sales. Declines in mall traffic, whether caused by a shift in consumer shopping preferences or by other factors, may negatively impact our ability to maintain or grow our sales in existing stores, which could have an adverse effect on our financial condition or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are subject to seasonal and quarterly fluctuations.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seasonal, with a significant portion of our net sales and operating income generated during the fourth quarter, which includes the holiday shopping season. Because of this seasonality, we have limited ability to compensate for shortfalls in fourth quarter sales or earnings by changes in our operations or strategies in other quarters. Adverse events outside of our control, such as supply chain interruptions, including shipping disruptions in the Red Sea, increased labor costs and labor availability, decreased consumer traffic or deteriorating economic conditions could result in lower than expected sales during the holiday shopping season or other periods in which we typically experience higher net sales, which could materially adversely impact our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and results of operations. Our quarterly results of operations also may fluctuate significantly based on other factors such as:</w:t>
      </w:r>
    </w:p>
    <w:p>
      <w:pPr>
        <w:spacing w:after="0" w:line="27"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new store openings and renewals;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net sales contributed by new and existing stores;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holidays and sales events;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quarter end dates due to the 53-week year;</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that affect consumer spending;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including promotional activity.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retail industry could have a material adverse effect on our business or financial condition.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 retail industry has experienced consolidation, store closures, bankruptcies and other ownership changes. In the future, retailers in the U.S. and in foreign markets may further consolidate, undergo restructurings or reorganizations, or realign their affiliations, any of which could decrease the number of stores that carry our products or our licensees’ products or increase the ownership concentration within the retail industry. Changing shopping patterns, including the rapid expansion of online retail shopping, have adversely affected customer traffic in mall and outlet centers. We expect competition in the e-commerce market will continue to intensify. Growth in e-commerce could result in financial difficulties, including store closures, bankruptcies or liquidations for our brick-and-mortar stores and those of our wholesale customers who fail to compete effectively in the e-commerce market. We cannot control the success of individual malls, and an increase in store closures by other retailers may lead to reduced foot traffic, mall vacancies and mall bankruptcies. A continuation or worsening of these trends could cause financial difficulties for one or more of our segments, which, in turn, could substantially increase our credit risk and have a material adverse effect on our results of operations, financial condition and cash flows.</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future success will be determined, in part, on our ability to manage the impact of the rapidly changing retail environment and identify and capitalize on retail trends, including technology, enhanced digital capabilities, e-commerce and other process efficiencies that will better service our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intensely competitive and increased or new competition could have a material adverse effect on us.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retail footwear and accessory markets are intensely competitive. We currently compete against a diverse group of retailers, including other regional and national specialty stores, department and discount stores, small independents and e-commerce retailers, as well as our own vendors who are increasingly selling direct-to-consumers, which sell products similar to and often identical to those we sell. Our branded businesses, selling footwear at wholesale, also face intense competition, both from other branded wholesale vendors and from private label initiatives of their retailer customers. A number of different competitive factors could have a material adverse effect on our business, including:</w:t>
      </w:r>
    </w:p>
    <w:p>
      <w:pPr>
        <w:spacing w:after="0" w:line="2"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operational efficiencies of competitors;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strategies;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by existing competitors;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direct-to-consumer selling by our vendors;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by new competitors into markets in which we currently operate;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by existing retail competitors of innovative store formats or sales methods.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 and Infrastructure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a number of risks in opening new stores and renewing leases on existing stores.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open new stores, both in regional malls, where most of the operational experience of our U.S. businesses lies, and in other venues including outlet centers, airports and other off-mall locations. We cannot offer assurances that we will be able to open as many stores as we have planned, that any new store will achieve similar operating results to those of our existing stores or that new stores opened in markets in which we operate will not have a material adverse effect on the revenues and profitability of our existing stores. In addition to the risks already discussed for existing stores, the success of any planned expansion will be dependent upon numerous factors, many of which are beyond our control, including the following:</w:t>
      </w:r>
    </w:p>
    <w:p>
      <w:pPr>
        <w:spacing w:after="0" w:line="2"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markets and individual store sites within those markets;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for suitable store sites;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favorable lease terms for new stores and renewals (including rent and other costs) with landlords;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governmental and other third-party consents, permits and licenses necessary to the operation of our stores or otherwise;</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build and remodel stores on schedule and at acceptable cost;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employees to staff new stores and our ability to hire, train, motivate and retain store personnel;</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to laws and regulations, including wage, over-time, and employee benefits laws on store expense;</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management and financial resources to manage an increased number of stores;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our distribution and other operational and management systems to an expanded network of stores;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could prevent or delay store openings and impact our liquidity needed for store openings.</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Additionally, the results we expect to achieve during each fiscal quarter are dependent upon opening new stores and renewing leases on existing stores on schedule and at expected costs. If we fall behind in our new store openings, we will lose expected sales and earnings between the planned opening date and the actual opening and may further complicate the logistics of opening stores, possibly resulting in additional delays, seasonally inappropriate product assortments, and other undesirable conditions.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acquisitions we make or new businesses we launch, as well as any dispositions of assets or businesses, involve a degree of risk.</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Acquisitions have been a component of our growth strategy in recent years, and we expect that we may continue to engage in acquisitions or launch new businesses to grow our revenues and meet our other strategic objectives. If acquisitions are not successfully integrated with our business, our ongoing operations could be adversely affected. Additionally, acquisitions or new businesses may not achieve desired profitability objectives or result in any anticipated successful expansion of the businesses or concepts, causing lower than expected earnings and cash flow and potentially requiring impairment of goodwill and other intangibles. Although we review and analyze assets or companies we acquire, such reviews are subject to uncertainties and may not reveal all potential risks. Additionally, although we attempt to obtain protective contractual provisions, such as representations, warranties and indemnities, in connection with acquisitions, we cannot offer assurance that we can obtain such provisions in our acquisitions or that they will fully protect us from unforeseen costs of, or liabilities associated with, the acquisitions. We may also incur significant costs and diversion of management time and attention in connection with pursuing possible acquisitions even if the acquisition is not ultimately consummated.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in the past and may in the future divest assets or businesses. Following any such divestitures, we may retain or incur liabilities or costs relating to our previous ownership of the assets or business that we sell. Any required payments on retained liabilities or indemnification obligations with respect to past or future asset or business divestitures could have a material adverse effect on our business or results of operations. Dispositions may also involve our continued financial involvement in the divested business, such as through transition services agreements and guarantees. Under these arrangements,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by the divested businesses or conditions outside our control could adversely affect our business and results of operations.</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Further, acquisitions and dispositions are often structured such that the purchase price paid or received by us, as applicable, is subject to post-closing adjustments, whether as a result of net working capital adjustments, contingent payments (i.e., earn-outs) or otherwise. Any such adjustments could result in a material change in the consideration paid to or received by us, as applicable, in such transactions.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recorded with acquisitions is subject to impairment which could reduce the Company's profitability.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acquisitions, we record goodwill on our Consolidated Balance Sheets. This asset is not amortized but is subject to an impairment test at least annually, where we have the option first to assess qualitative factors to determine whether events and circumstances indicate that it is more likely than not that goodwill is impaired. If after such assessment we conclude that the asset is impaired, we are required to determine the fair value of the asset using a quantitative impairment test that is based on projected future cash flows from the acquired business discounted at a rate commensurate with the risk we consider to be inherent in our current business model. We perform the impairment test annually at the beginning of our fourth quarter, or more frequently if events or circumstances indicate that the value of the asset might be impaired.</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Deterioration in our equity market value, whether related to our operating performance or to disruptions in the equity markets or deterioration in the operating performance of the business unit with which goodwill is associated could cause us to recognize the impairment of some or all of the $9.6 million of goodwill on our Consolidated Balance Sheets at February 3, 2024, resulting in the reduction of net assets and a corresponding non-cash charge to earnings in the amount of the impairment.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Data Security and Privacy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operation of our business is heavily dependent on our information systems.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depend on a variety of information technology systems for the efficient functioning of our business (including multiple e-commerce websites) and security of information. Much information essential to our business is maintained electronically, including competitively sensitive information and potentially sensitive personal information about customers and employees.</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Despite our preventative efforts, our IT systems and websites may from time to time be vulnerable to damage or interruption from events such as difficulties in replacing or integrating the systems of acquired businesses, computer viruses, security breaches and power outages.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insurance policies may not provide coverage for security breaches and similar incidents or may have coverage limits which may not be adequate to reimburse us for losses caused by security breaches. We also rely on certain hardware and software vendors, including cloud-service providers, to maintain and periodically upgrade many of these systems so that they can continue to support our business. The software programs supporting many of our systems are licensed to us by independent software companies. The inability of our employees and developers or our inability to continue to maintain and upgrade these information systems and software programs could disrupt or reduce the efficiency of our operations. In addition, costs and potential problems and interruptions associated with the implementation of new or upgraded systems and technology or with maintenance or adequate support of existing systems could also disrupt or reduce the efficiency of our operations or leave us vulnerable to security breaches.</w:t>
      </w:r>
    </w:p>
    <w:p>
      <w:pPr>
        <w:spacing w:after="0" w:line="14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also rely heavily on our information technology staff. If we cannot meet our staffing needs in this area, we may not be able to fulfill our technology initiatives or to provide maintenance on existing systems.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payment-related risks that could increase our operating costs, expose us to fraud or theft, subject us to potential liability and potentially disrupt our business.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retailer who accepts payments using a variety of methods, including installment payment methods, PayPal, and gift cards, we are subject to rules, regulations, contractual obligations and compliance requirements, including payment network rules and operating guidelines, data security standards and certification requirements, and rules governing electronic funds transfers. The regulatory environment related to information security and privacy is increasingly rigorous, with new and constantly changing requirements applicable to our business, and compliance with those requirements could result in additional costs or accelerate these costs with additional legal and financial exposure for noncompliance. For these payment methods, we pay interchange and other fees, which can increase over time and raise our operating costs. We rely on third parties to provide payment processing services. If these companies become unable to provide these services to us, or if their systems are compromised, it could disrupt our business.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payment methods that we offer also subject us to potential fraud and theft by persons who seek to obtain unauthorized access to or exploit any weaknesses that may exist in the payment systems. We completed the implementation of Europay, Mastercard and Visa ("EMV") technology and received certification in Fiscal 2018; however future upgrades to our Company's systems could expose us to the fraudulent use of credit cards and increased costs, including possible fines and restrictions on our Company's ability to accept payments by credit or debit cards, if we were not to receive recertification. Because we accept debit and credit cards for payment, we are also subject to industry data protection standards and protocols, such as the Payment Card Industry Data Security Standards (“PCI DSS”), issued by the Payment Card Industry Security Standards Council. Additionally, we have implemented technology in our stores to allow for the acceptance of EMV credit transactions and point-to-point encryption. Complying with PCI DSS standards and implementing related procedures, technology and information security measures require significant resources and ongoing attention. However, even if we comply with PCI DSS standards and offer EMV and point-to-point encryption technology in our stores, we may be vulnerable to, and unable to detect and appropriately respond to, data security breaches and data loss, including cybersecurity attacks or other breach of cardholder data.</w:t>
      </w:r>
    </w:p>
    <w:p>
      <w:pPr>
        <w:spacing w:after="0" w:line="1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the Payment Card Industry (“PCI”) is controlled by a limited number of vendors who have the ability to impose changes in the PCI’s fee structure and operational requirements on us without negotiation. Such changes in fees and operational requirements may result in our failure to comply with PCI DSS, and cause us to incur significant unanticipated expenses.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privacy breach, through a cybersecurity incident or otherwise, or failure to comply with privacy laws could materially adversely affect our business.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part of normal operations, we and our third-party vendors and partners, receive and maintain confidential and personally identifiable information (“PII”) about our customers and employees, and confidential financial, intellectual property, and other information. We regard the protection of our customer, employee, and company information as critical. The regulatory environment surrounding information security and privacy is very demanding, with the frequent imposition of new and changing requirements some of which involve significant costs to implement and significant penalties if not followed properly. Despite our efforts and technology to secure our computer network and systems, a cybersecurity breach, whether targeted, random, or inadvertent, and whether at the hands of cyber criminals, hackers, rogue employees or other persons, may occur and could go undetected for a period of time, resulting in a material disruption of our computer network, a loss of information valuable to our business, including without limitation customer or employee PII, and/or theft. A similar cybersecurity breach to the computer networks and systems of our third-party vendors and partners, including those that are cloud-based, over which we have no control, may occur, and could lead to a material disruption of our computer network and/or the areas of our business that are dependent on the support, services and other products provided by our third-party vendors and partners. Our computer networks and our business may be adversely affected by such a breach of our third-party vendors and partners, which could result in a decrease in our e-commerce sales and/or a loss of information valuable to our business, including, without limitation, PII of customers or employees. Such a cyber-incident could result in any of the following:</w:t>
      </w:r>
    </w:p>
    <w:p>
      <w:pPr>
        <w:spacing w:after="0" w:line="9" w:lineRule="exact"/>
        <w:rPr>
          <w:sz w:val="20"/>
          <w:szCs w:val="20"/>
          <w:color w:val="auto"/>
        </w:rPr>
      </w:pPr>
    </w:p>
    <w:p>
      <w:pPr>
        <w:jc w:val="both"/>
        <w:ind w:left="760" w:hanging="378"/>
        <w:spacing w:after="0" w:line="250"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destruction, loss, misappropriation, or release of confidential financial and other data, intellectual property, customer awards, or customer or employee information, including PII such as payment card information, email addresses, passwords, social security numbers, home addresses, or health information;</w:t>
      </w:r>
    </w:p>
    <w:p>
      <w:pPr>
        <w:ind w:left="760" w:hanging="378"/>
        <w:spacing w:after="0" w:line="250"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or business delays resulting from the disruption of our e-commerce sites, computer networks or the computer networks of our third-party vendors and partners and subsequent material clean-up and mitigation costs and activities;</w:t>
      </w: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resulting in material reputation or brand damage with our customers, vendors, third-party partners or industry peers;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including those generated through our e-commerce websites;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penalties, fines and/or enforcement actions, payment and industry penalties and fines and/or class action and other lawsuits.</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Any of the above risks, individually or in aggregate, could materially damage our reputation and result in lost sales, governmental and payment card industry fines, and/or class action and other lawsuits. Although we carry cybersecurity insurance, in the event of a cyber-incident, that insurance may not be extensive enough or adequate in scope of coverage or amount to reimburse us for damages we may incur. Further, a significant breach of federal, state, provincial, local or international privacy laws could have a material adverse effect on our reputation.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requirements are constantly evolving and these requirements could adversely affect our business and operating results.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access to collect or maintain information about our customers, and the protection of that data is critical to our business. The regulatory environment surrounding information security and privacy continues to evolve and new laws are increasingly giving customers the right to control how their personal data is used. One such law is the European Union's General Data Protection Regulation ("GDPR"). Our failure to comply with the obligations of GDPR and similar U.S. federal and state laws, including California privacy laws, could in the future result in significant penalties which could have a material adverse effect on our business and results of operations. Data protection compliance could also cause us to incur substantial costs, forego a substantial amount of revenue or be subject to business risk associated with system changes and new business processes.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utilization, expansion and management of machine learning and other types of artificial intelligence in our business could adversely affect our business, financial condition and results of operations.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increasing our utilization of machine learning and other types of artificial intelligence (collectively, “AI”) in our business and we anticipate that as technology advances, we may expand our application of AI, including generative AI. AI may become more important to our operations over time as we increase reliance on AI throughout our operations and administration. The rapid evolution of AI technology and potential regulation of AI may require that we expend significant resources to develop, test and maintain our implementation of AI. Our competitors may incorporate AI into their businesses faster or more successfully than us, which could impair our ability to compete effectively and adversely affect our results of operations. Additionally, if the information generated through our use of AI is or is deemed to be deficient, inaccurate or biased, our business, financial condition, and results of operations may be adversely affected.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Supply Chain and Third-Party Risks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Increased operating costs, including wage increases resulting from potential increases in the minimum wage or competitive pressures, could have an adverse effect on our results.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Increased operating costs, including wage increases resulting from potential increases in the minimum wage or wage increases reflecting competition in relevant labor markets, store occupancy costs, distribution center costs and other expense items, including healthcare costs, may reduce our operating margin, and make it more difficult to identify new store locations that we believe will meet our investment return requirements. In addition, other employment and healthcare law changes may increase the cost of provided retirement and healthcare benefits expenses. Increases in our overall employment costs could have a material adverse effect on the Company’s business, results of operations and financial and competitive position.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lose key members of management or are unable to attract and retain the talent required for our business, our operating results could suffer.</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performance depends largely on the efforts and abilities of members of our management team. Our executives have substantial experience and expertise in our business and have made significant contributions to our growth and success. The unexpected future loss of services of one or more key members of our management team could have an adverse effect on our business. In addition, future performance will depend upon our ability to attract, retain and motivate qualified employees, including store personnel and field management. If we are unable to do so, our ability to meet our operating goals may be compromised. Finally, our stores are decentralized, are managed through a network of geographically dispersed management personnel and historically experience a high degree of turnover. If we are for any reason unable to maintain appropriate controls on store operations due to turnover or other reasons, including the ability to control losses resulting from inventory and cash shrinkage, our sales and operating margins may be adversely affected. There can be no assurance that we will be able to attract and retain the personnel we need in the future.</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loss of, or disruption in, one of our distribution centers and other factors affecting the distribution of merchandise, including freight cost, could materially adversely affect our business.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our divisions uses a single distribution center to handle all or a significant amount of its merchandise. Most of our operations’ inventory is shipped directly from suppliers to our operations' distribution centers, where the inventory is then processed, sorted and shipped to our stores, to our wholesale customers or to our e-commerce customers. We depend on the orderly operation of this receiving and distribution process, which depends, in turn, on adherence to shipping schedules and effective management of the distribution centers. Although we believe that our receiving and distribution processes are efficient and well positioned to support our current business and potential expansions, we cannot offer assurance that we have anticipated all of the changing demands that our expanding operations, particularly our e-commerce operations, will impose on our receiving and distribution system, or that events beyond our control, such as disruptions in operations due to fire or other catastrophic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events, labor disagreements or shortages or shipping problems (whether in our own or in our third party vendors’ or carriers’ businesses), will not result in delays in the delivery of merchandise to our stores or to our wholesale customers or e-commerce/retail customers. In addition, to the extent we need to add capacity to distribution centers by either leasing or building new distribution centers or adding capacity at existing centers or make changes in our distribution processes to improve efficiency and maximize capacity, we cannot assure that these changes will not result in unanticipated delays or interruptions in distribution. We depend upon third-parties for shipment of a significant amount of merchandise. Interruptions in the services provided by third-parties may occasionally result from damage or destruction to our distribution centers; weather-related events; natural disasters; pandemics; trade policy changes or restrictions; tariffs or import-related taxes; third-party labor disruptions; shipping capacity constraints; third-party contract disputes; military conflicts; acts of terrorism; or other factors beyond our control. An interruption in service by third-parties for any reason could cause temporary disruptions in our business, a loss of sales and profits, and other material adverse effects.</w:t>
      </w:r>
    </w:p>
    <w:p>
      <w:pPr>
        <w:spacing w:after="0" w:line="14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freight costs are impacted by changes in fuel prices, surcharges and other factors which can affect cost both on inbound freight from vendors to our distribution centers and outbound freight from our distribution centers to our stores and customers. Increases in freight costs, including in connection with increased fuel prices, may increase our cost of goods sold and our selling and administrative expenses.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increase in the cost or a disruption in the flow of our imported products could adversely affect our business.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Merchandise originally manufactured and imported from overseas makes up a large proportion of our total inventory. A disruption in the shipping of our imported merchandise or an increase in the cost of those products may significantly decrease our sales and profits. We may be unable to meet customer demands or pass on price increases to our customers. In addition, if imported merchandise becomes more expensive or unavailable, the transition to alternative sources may not occur in time to meet demand. Products from alternative sources may also be of lesser quality or more expensive than those we currently import. Risks associated with our reliance on imported products include:</w:t>
      </w:r>
    </w:p>
    <w:p>
      <w:pPr>
        <w:spacing w:after="0" w:line="2"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shipping and importation of imported products because of factors such as: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shortages, work stoppages, strikes, political unrest and civil disturbances;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oceanic shipping, including shipping container shortages and delays in ports;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customs inspections of import shipments or other factors that could result in penalties causing delays in shipments;</w:t>
      </w:r>
    </w:p>
    <w:p>
      <w:pPr>
        <w:spacing w:after="0" w:line="8" w:lineRule="exact"/>
        <w:rPr>
          <w:rFonts w:ascii="Times New Roman" w:cs="Times New Roman" w:eastAsia="Times New Roman" w:hAnsi="Times New Roman"/>
          <w:sz w:val="18"/>
          <w:szCs w:val="18"/>
          <w:color w:val="auto"/>
        </w:rPr>
      </w:pPr>
    </w:p>
    <w:p>
      <w:pPr>
        <w:ind w:left="1140" w:right="20" w:hanging="383"/>
        <w:spacing w:after="0" w:line="250" w:lineRule="auto"/>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crises, natural disasters, pandemics, international disputes and wars, including the Russia-Ukraine war and the Israel-Hamas war; and</w:t>
      </w: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purchasing or shipping foreign merchandise resulting from:</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additional cargo or safeguard measures;</w:t>
      </w:r>
    </w:p>
    <w:p>
      <w:pPr>
        <w:spacing w:after="0" w:line="8"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by the United States of “most favored nation” trading status to or the imposition of quotas or other restriction on imports from a foreign country from which we purchase goods;</w:t>
      </w:r>
    </w:p>
    <w:p>
      <w:pPr>
        <w:ind w:left="1140" w:hanging="383"/>
        <w:spacing w:after="0"/>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import duties, import quotas and other trade sanctions; and</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shipping rates.</w:t>
      </w:r>
    </w:p>
    <w:p>
      <w:pPr>
        <w:spacing w:after="0" w:line="16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Some of the inventory we sell is imported from China, which has historically been subject to efforts to increase duty rates or to impose restrictions on imports of certain products.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we or our suppliers or licensees are unable to source raw materials or finished goods from the countries where we or they wish to purchase them, either because of a regulatory change or for any other reason, or if the cost of doing so should increase, it could have a material adverse effect on our sales and earnings.</w:t>
      </w:r>
    </w:p>
    <w:p>
      <w:pPr>
        <w:spacing w:after="0" w:line="1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 small portion of the products we buy abroad is priced in foreign currencies and, therefore, we are affected by fluctuating currency exchange rates. We may not be able to effectively protect ourselves in the future against currency rate fluctuations.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Even dollar-denominated foreign purchases may be affected by currency fluctuations to reflect appreciation in the local currency against the dollar in the price of the products that they provide. See Item 7, “Management’s Discussion and Analysis of Financial Condition and Results of Operations” for more information about our foreign currency exchange rate exposure and any hedging activities.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third-party vendors and licensors for the merchandise we sell.</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manufacture the merchandise we sell, and our Genesco Brands Group business is dependent on third-party licenses. Accordingly, our product supply is subject to our ability to renew our license agreements or identify new licenses and the ability and willingness of third-party suppliers to deliver merchandise we order on time and in the quantities and of the quality we need. In addition, a material portion of our retail footwear sales consists of products marketed under brands belonging to unaffiliated vendors, which have fashion significance to our customers. If those vendors were to decide not to sell to us or to limit the availability of their products to us, or if they become unable because of economic conditions, pandemics, work stoppages, labor shortages, strikes, political unrest and civil disturbances, raw materials supply disruptions, or any other reason to supply us with products, we could be unable to offer our customers the products they wish to buy and could lose their business. Additionally, manufacturers are required to remain in compliance with certain wage, labor and environment-related laws, regulations and policies. Delayed compliance or failure to comply with such laws, regulations and policies by our vendors could adversely affect our ability to obtain products generally or at favorable costs, affecting our overall ability to maintain and manage inventory levels.</w:t>
      </w:r>
    </w:p>
    <w:p>
      <w:pPr>
        <w:spacing w:after="0" w:line="16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manufacture of our products and our distributing operations are subject to the risks of doing business abroad, including in China, which could affect our ability to obtain products from foreign suppliers or control the costs of our products.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diversifying our sourcing base to ensure that we are not too concentrated in any single country. As we source some product in China, the possibility of adverse changes in trade or political relations with China, political instability, increases in labor costs, the occurrence of prolonged adverse weather conditions or a natural disaster such as an earthquake or typhoon, or the outbreak of COVID-19 or other infectious diseases in China could severely interfere with the manufacturing and/or shipment of our products and would have a material adverse effect on our operations. Our ability to source products from China may be adversely affected by changes in Chinese laws and regulations (or the interpretation thereof), including those relating to taxation, import and export tariffs, raw materials, environmental regulations, land use rights, property and other matters. Policy changes in China could adversely affect our interests through, among other factors: changes in laws and regulations, confiscatory taxation, restrictions on currency conversion, imports or sources of supplies, or the expropriation or nationalization of private enterprises. In addition, electrical shortages, labor shortages or work stoppages may extend the production time necessary to produce our orders. There may be circumstances in the future where we may have to incur higher freight charges to expedite the delivery of product to our customers which could negatively affect our gross profit if we are unable to pass on those charges to our customers.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Global and Other External Risks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impact of climate change, extreme weather, infectious disease outbreaks, and other unexpected events could result in an interruption to our business, as well as to the operations of our third-party partners, and have a material adverse impact on our business.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operations of our retail stores, corporate offices, distribution centers, digital operations and supply chain, as well as the operations of our third-party partners, including vendors and manufacturers, are vulnerable to disruption from climate change, natural disasters, pandemics and other infectious disease outbreaks and other unexpected events. In addition to impacts on global operations, these events could result in the potential loss of customers and revenues due to mandatory or voluntary store closures, delay or cancellation of merchandise deliveries, reduced consumer confidence or changes in consumers’ discretionary spending habits.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These events could reduce the availability or quality of the materials used to manufacture our merchandise, which could cause delays in responding to consumer demand resulting in the potential loss of customers and revenues or we may incur increased costs to meet demand and may not be able to pass all or a portion of higher costs on to our customers, which could adversely affect our gross margin and results of our operations.</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historically, our operations have been seasonal, and extreme weather conditions, including natural disasters, unseasonable weather or changes in weather patterns, may diminish demand for our seasonal merchandise and could also influence consumer preferences and fashion trends, consumer traffic and shopping habits. In addition, we may incur costs that exceed our applicable insurance coverage for any necessary repairs to property damage or business disruption resulting from climate or weather conditions.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Establishing and protecting our intellectual property is critical to our business.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ability to remain competitive is dependent upon our continued ability to secure and protect trademarks, patents and other intellectual property rights in the U.S. and internationally for all of our businesses. We rely on a combination of trade secret, patent, trademark, copyright and other laws, license agreements and other contractual provisions and technical measures to protect our intellectual property rights; however, some countries do not protect intellectual property rights to the same extent as the U.S.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could be significantly harmed if we are not able to protect our intellectual property, or if a court found us to be infringing on others’ intellectual property rights. Any future intellectual property lawsuits or threatened lawsuits in which we are involved, either as a plaintiff or as a defendant, could cost us a significant amount of time and money and distract management’s attention from operating our business. If we do not prevail on any intellectual property claims, then we may have to change our manufacturing processes, products or trade names, any of which could reduce our profitability.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results of operations are subject to a broad range of uncertainties arising out of world and domestic events.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and results of operations may experience a material adverse impact due to uncertainties arising out of world and domestic events, which may impact not only consumer demand, but also our ability to obtain the products we sell, most of which are produced outside the countries in which we operate. These uncertainties may include a global economic slowdown, inflation, changes in consumer spending or travel, increase in fuel prices, the economic consequences of widespread or severe outbreaks of COVID-19 or other infectious diseases, natural disasters, wars or other military action or terrorist activities and increased regulatory and compliance burdens related to governmental actions in response to a variety of factors, including but not limited to national security and anti-terrorism concerns and concerns about climate change.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or regulatory initiatives related to climate change could have a material adverse effect on our business.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Greenhouse gases may have an adverse effect on global temperatures, weather patterns, and the frequency and severity of extreme weather and natural disaster. Such events could have a negative effect on our business. Concern over climate change may result in new or additional legislative and regulatory requirements to reduce or mitigate the effects of climate change on the environment, which could result in future tax, transportation cost, and utility increases. These risks could have a material adverse effect on our business.</w:t>
      </w:r>
    </w:p>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scope of our non-U.S. operations exposes our performance to risks including foreign, political, legal and economic conditions and exchange rate fluctuations.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performance depends in part on general economic conditions affecting all countries in which we do business. Although the U.K. and the European Union (“E.U.”) entered into the E.U.-U.K. Trade and Cooperation Agreement on December 30, 2020, uncertainty remains about the impact on our business in the U.K. and the ROI, including impact on tariffs, shipping costs, consumer demand and currency fluctuations.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across all of our markets, we could be adversely impacted by changes in trade policies, labor, tax or other laws and regulations, intellectual property rights and supply chain logistics. We are also dependent on foreign manufacturers for the products we sell, and our inventory is subject to cost and availability of foreign materials and labor. In addition to the other risks disclosed herein, demand for our product offering in our non-U.S. operations is also subject to local market conditions.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we expand our international operations, we also increase our exposure to exchange rate fluctuations. Sales from stores outside the U.S. are denominated in the currency of the country in which these operations or stores are located and changes in foreign exchange rates affect the translation of the sales and earnings of these businesses into U.S. dollars for financial reporting purposes. Additionally, inventory purchase agreements may also be denominated in the currency of the country where the vendor resides.</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the U.S. dollar strengthens relative to foreign currencies, our revenues and profits are reduced when converted into U.S. dollars and our margins may be negatively impacted by the increase in product costs. Although we typically have sought to mitigate the negative impacts of foreign currency exchange rate fluctuations through price increases and further actions to reduce costs, we may not be able to fully offset the impact, if at all.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imposition of tariffs on our products could adversely affect our business.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Tax and trade policies, tariffs and regulations affecting trade between the United States and other countries could have a material adverse effect on our business, results of operations and liquidity. We source a significant portion of our merchandise from manufacturers located outside the U.S., including from China. Existing and potential future tariffs on certain imported products could result in an increase in prices for those products. In addition, tariffs could also increase the costs of our U.S. suppliers, causing those suppliers to also increase the costs of their products. If we are unable to pass along increased costs to our customers, our gross margins could be adversely affected. Alternatively, tariffs may cause us to shift production to other countries, resulting in significant costs and disruption to our business.</w:t>
      </w:r>
    </w:p>
    <w:p>
      <w:pPr>
        <w:spacing w:after="0" w:line="1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212121"/>
        </w:rPr>
        <w:t>Our ability to source our merchandise profitably or at all could be hurt if new trade restrictions are imposed, existing trade restrictions become more burdensome or disruptions occur at our suppliers or at the ports.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121"/>
        </w:rPr>
        <w:t xml:space="preserve">Trade restrictions, including increased tariffs, safeguards or quotas, on footwear, apparel and accessories could increase the cost or reduce the supply of merchandise available to us. </w:t>
      </w:r>
      <w:r>
        <w:rPr>
          <w:rFonts w:ascii="Times New Roman" w:cs="Times New Roman" w:eastAsia="Times New Roman" w:hAnsi="Times New Roman"/>
          <w:sz w:val="18"/>
          <w:szCs w:val="18"/>
          <w:color w:val="000000"/>
        </w:rPr>
        <w:t>We source footwear and accessory products from foreign manufacturers located in Brazil, Canada, China, Hong Kong, India,</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Italy, Mexico, Pakistan, Portugal, Peru, Spain, Turkey and Vietnam. Our retail operations, excluding Johnston &amp; Murphy, sell primarily branded products from third parties who source primarily overseas. </w:t>
      </w:r>
      <w:r>
        <w:rPr>
          <w:rFonts w:ascii="Times New Roman" w:cs="Times New Roman" w:eastAsia="Times New Roman" w:hAnsi="Times New Roman"/>
          <w:sz w:val="18"/>
          <w:szCs w:val="18"/>
          <w:color w:val="212121"/>
        </w:rPr>
        <w:t>The investments we are making to develop our sourcing capabilities may not be successful and may, 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turn, have an adverse impact on our financial position and results of operations.</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121"/>
        </w:rPr>
        <w:t xml:space="preserve">There are quotas and trade restrictions on certain categories of goods and apparel from </w:t>
      </w:r>
      <w:r>
        <w:rPr>
          <w:rFonts w:ascii="Times New Roman" w:cs="Times New Roman" w:eastAsia="Times New Roman" w:hAnsi="Times New Roman"/>
          <w:sz w:val="18"/>
          <w:szCs w:val="18"/>
          <w:color w:val="252525"/>
        </w:rPr>
        <w:t>China</w:t>
      </w:r>
      <w:r>
        <w:rPr>
          <w:rFonts w:ascii="Times New Roman" w:cs="Times New Roman" w:eastAsia="Times New Roman" w:hAnsi="Times New Roman"/>
          <w:sz w:val="18"/>
          <w:szCs w:val="18"/>
          <w:color w:val="212121"/>
        </w:rPr>
        <w:t xml:space="preserve"> and countries that are not subject to the World Trade Organization Agreement, which could have a significant impact on our sourcing patterns in the future. In addition, political uncertainty in the United States may result in significant changes to U.S. trade policies, treaties and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including trade policies and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regarding </w:t>
      </w:r>
      <w:r>
        <w:rPr>
          <w:rFonts w:ascii="Times New Roman" w:cs="Times New Roman" w:eastAsia="Times New Roman" w:hAnsi="Times New Roman"/>
          <w:sz w:val="18"/>
          <w:szCs w:val="18"/>
          <w:color w:val="252525"/>
        </w:rPr>
        <w:t>China</w:t>
      </w:r>
      <w:r>
        <w:rPr>
          <w:rFonts w:ascii="Times New Roman" w:cs="Times New Roman" w:eastAsia="Times New Roman" w:hAnsi="Times New Roman"/>
          <w:sz w:val="18"/>
          <w:szCs w:val="18"/>
          <w:color w:val="212121"/>
        </w:rPr>
        <w:t xml:space="preserve">. These developments, or the perception that any of them could occur, may have a material adverse effect on global economic conditions and the stability of global financial markets, and may significantly reduce global trade. Any of these factors could depress economic activity, restrict our sourcing from suppliers and have a material adverse effect on our business, financial condition and results of operations. We cannot predict whether any of the countries in which our merchandise is currently or may be manufactured in the future will be subject to additional trade restrictions imposed by the U.S. and foreign governments, nor can we predict the likelihood, type or effect of any such restrictions. Trade restrictions, including increased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or quotas, embargoes, safeguards and customs restrictions against items we source from foreign manufacturers could increase the cost, delay shipping or reduce the supply of products available to us or may require us to modify our current business practices, any of which could hurt our profitability.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212121"/>
        </w:rPr>
        <w:t>We rely on our suppliers to manufacture and ship the products they produce for us in a timely and cost-effective manner. We also rely on the free flow of goods through open and operational ports worldwide. Labor disputes and other disruptions at various ports or at our suppliers could increase costs for us and delay our receipt of merchandise, particularly if these disputes result in work slowdowns, lockouts, strikes or other disruptions.</w:t>
      </w:r>
    </w:p>
    <w:p>
      <w:pPr>
        <w:spacing w:after="0" w:line="1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regulatory proceedings and litigation and to regulatory changes that could have an adverse effect on our financial condition and results of operations.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party to certain lawsuits, governmental investigations, and regulatory proceedings, including the proceedings arising out of alleged environmental contamination relating to historical operations of the Company and various suits involving current operations as disclosed in Item 3, "Legal Proceedings" and Note 15 to the Consolidated Financial Statements. If these or similar matters are resolved against us, or if we incur significant costs to pursue claims against third parties, our results of operations, our cash flows, or our financial condition could be adversely affected. The costs of prosecuting or defending such lawsuits and responding to such investigations and regulatory proceedings may be substantial and their potential to distract management from day-to-day business is significant. Moreover, with retail operations in the United States, Puerto Rico, Canada, the U.K., and the ROI, we are subject to federal, state, provincial, territorial, local and foreign regulations, which impose costs and risks on our business. Numerous states and municipalities as well as the federal government of the U.S. are proposing or have implemented changes to minimum wage, overtime, employee leave, employee benefit requirements and other requirements that will increase costs. Changes in regulations could make compliance more difficult and costly, and failure to comply with these requirements, including even a seemingly minor infraction, could result in liability for damages or penalties.</w:t>
      </w:r>
    </w:p>
    <w:p>
      <w:pPr>
        <w:spacing w:after="0" w:line="16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Actions of activist shareholders have caused, and could cause us in the future to incur substantial costs, divert management’s attention and resources, and have an adverse effect on our business.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shareholders may from time to time engage in proxy solicitations, advance shareholders proposals or otherwise attempt to affect changes or acquire control over the Company. Activist shareholder activities could adversely affect our business because responding to proxy contests and reacting to other actions by activist shareholders can be costly and time-consuming, disrupt our operations and divert the attention of management and our employees. For example, we have retained, and may in the future, retain the services of various professionals to advise us on activist shareholder matters, including legal, financial and communication advisors, the costs of which may negatively impact our future financial results. In addition, perceived uncertainties as to our future direction, strategy or leadership created as a consequence of activist shareholders initiatives may result in the loss of potential business opportunities, harm our ability to attract new investors, customers, and employees, and cause our stock price to experience periods of volatility or stagnation.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indebtedness is subject to floating interest rates.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our credit facility bear interest at varying rates and expose us to interest rate risk. If interest rates were to increase, our debt service obligations on the variable rate indebtedness referred to above would increase even if the principal amount borrowed remained the same, and our net income and cash flows will correspondingly decrease. Additionally, in connection with the ICE Benchmark Administration’s announced phase-out of LIBOR, we amended our credit facility to, among other things, replace LIBOR with the Secured Overnight Financing Rate (“SOFR”), the Sterling Overnight Index Average (“SONIA”) and the Euro Interbank Offered Rate (“EURIBOR”). It is unclear, however, whether SOFR, SONIA or EURIBOR will retain market acceptance as a LIBOR replacement tool, and we may need to renegotiate our credit facility if other LIBOR alternatives are established and become more widely adopted.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our effective income tax rate could adversely affect our net earnings and liquidity.</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number of factors influence our effective income tax rate, including changes in tax law, tax treaties, interpretation of existing laws, including the Tax Cuts and Jobs Act of 2017 (the "Act"), and our ability to sustain our reporting positions on examination. Changes in any of those factors could change our effective tax rate, which could adversely affect our net earnings and liquidity. In addition, our operations outside of the United States may cause greater volatility in our effective tax rate.</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continue to expect the United States Treasury and the Internal Revenue Service to issue regulations and other guidance that could have a material impact on our effective tax rate in future periods.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1C. CYBERSECURITY</w:t>
      </w:r>
    </w:p>
    <w:p>
      <w:pPr>
        <w:spacing w:after="0" w:line="200" w:lineRule="exact"/>
        <w:rPr>
          <w:sz w:val="20"/>
          <w:szCs w:val="20"/>
          <w:color w:val="auto"/>
        </w:rPr>
      </w:pPr>
    </w:p>
    <w:p>
      <w:pPr>
        <w:spacing w:after="0" w:line="2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Cybersecurity is one of our most critical risks. For many activities important to our business, we depend on the confidentiality, integrity and availability of information systems and data, some of which are provided or managed by third parties. We have strategically integrated cybersecurity risk management into our broader enterprise risk management function to promote a company-wide culture of cybersecurity risk management.</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Management is responsible for the day-to-day handling of risks facing the Company, while the Board of Directors, as a whole and through its committees, oversees risk management, including cybersecurity risks. The Board has delegated certain risk management responsibilities with respect to cybersecurity to the Audit Committee.</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behalf of the Board, the Audit Committee provides oversight of our management of cybersecurity risk. The Audit Committee regularly reviews our cybersecurity risks, incidents, audits, assessments, crisis readiness, awareness activities and compliance with cybersecurity and privacy laws and regulations. Our Vice President, Information Security and Privacy jointly with our Senior Vice President, Chief Strategy and Digital Officer brief the Audit Committee quarterly, and more often, if necessary, on active and emerging cybersecurity threats and efforts to strengthen our defenses against these threats.</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Information Security and Privacy teams reduce first and third-party risk by maintaining a proactive security posture aligned with current threats, detecting cybersecurity events and responding quickly, and building procedures to rapidly recover. These teams are managed by the Vice President, Information Security and Privacy, who reports to the Senior Vice President, Chief Strategy and Digital Officer. Our cybersecurity leaders collectively have more than 25 years of relevant experience and multiple professional certifications.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Internal and third-party risks are reviewed, monitored, and managed by our Cybersecurity and Privacy teams, audited by an Internal Audit team and various external experts, and tracked within an Enterprise Risk Management framework. We regularly engage third-party experts to assess the effectiveness of our cybersecurity programs. Biennially, an external independent consultancy team conducts an assessment of our cybersecurity program using the inputs from accepted Cybersecurity Frameworks. Targeted assessments are conducted regularly by internal and third-party experts to ensure compliance with specific federal and state laws and regulations. We continue to participate in the VISA TIP program and AMEX STEP program around our PCI DSS compliance.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processes for identifying and managing first and third-party risks from cybersecurity threats include:</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•Continuous monitoring of our systems and network for cybersecurity events;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•Regular testing of our Security Incident Response Plan, Business Continuity plans, and Disaster Recovery plans;</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•Required annual security training for our employees with access to email, as well as tailored training for employees in  more sensitive roles.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Periodic testing to ensure the security training is effective.</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External managed security services providers and industry-leading security tools continuously monitor our systems and network for cybersecurity threats. Our cybersecurity teams evaluate the escalated threats, and if necessary, take steps to contain and recover from pervasive threats in accordance with our Security Incident Response Plan. The plan includes reporting and escalation procedures to inform the Executive Committee, Audit Committee, and full Board, as appropriate to enable them to carry out their oversight responsibilities, and to ensure timely compliance with applicable reporting rules. Our Business Continuity Management and Disaster Recovery plans include procedures for business recovery and are tested regularly.</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 risks from cybersecurity threats or previous cybersecurity incidents have materially affected our business strategy, results of operations, or financial condition. However, there can be no assurance that our controls and procedures in place to monitor and mitigate the risks of cyber threats will be sufficient and/or timely and that we will not suffer material losses or consequences in the future. Additionally, while we have in place insurance coverage designed to address certain aspects of cyber risks, such insurance coverage may be insufficient to cover all insured losses or all types of claims that may arise.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February 3, 2024, we operated 1,341 retail footwear and accessory stores throughout the United States, Puerto Rico, Canada, the U.K. and the ROI. New shopping center store leases in the United States, Puerto Rico and Canada typically have initial terms of approximately 10 years. New store leases in the U.K. and the ROI typically have initial terms of between 10 and 15 years. We have leases with fixed base rental payments, rental payments based on a percentage of retail sales over contractual amounts and others with predetermined fixed escalations of the minimum rental payments based on a defined consumer price index or percentage.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location, use and approximate size of our principal properties are set forth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4"/>
              </w:rPr>
              <w:t>Area</w:t>
            </w:r>
          </w:p>
        </w:tc>
      </w:tr>
      <w:tr>
        <w:trPr>
          <w:trHeight w:val="216"/>
        </w:trPr>
        <w:tc>
          <w:tcPr>
            <w:tcW w:w="3860" w:type="dxa"/>
            <w:vAlign w:val="bottom"/>
          </w:tcPr>
          <w:p>
            <w:pPr>
              <w:spacing w:after="0"/>
              <w:rPr>
                <w:sz w:val="18"/>
                <w:szCs w:val="18"/>
                <w:color w:val="auto"/>
              </w:rPr>
            </w:pPr>
          </w:p>
        </w:tc>
        <w:tc>
          <w:tcPr>
            <w:tcW w:w="13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Square</w:t>
            </w:r>
          </w:p>
        </w:tc>
      </w:tr>
      <w:tr>
        <w:trPr>
          <w:trHeight w:val="245"/>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Leased</w:t>
            </w:r>
          </w:p>
        </w:tc>
        <w:tc>
          <w:tcPr>
            <w:tcW w:w="18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w:t>
            </w: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Feet</w:t>
            </w:r>
          </w:p>
        </w:tc>
      </w:tr>
      <w:tr>
        <w:trPr>
          <w:trHeight w:val="211"/>
        </w:trPr>
        <w:tc>
          <w:tcPr>
            <w:tcW w:w="386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23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Distribution warehouse and</w:t>
            </w:r>
          </w:p>
        </w:tc>
        <w:tc>
          <w:tcPr>
            <w:tcW w:w="156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4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 TN</w:t>
            </w:r>
          </w:p>
        </w:tc>
        <w:tc>
          <w:tcPr>
            <w:tcW w:w="1340" w:type="dxa"/>
            <w:vAlign w:val="bottom"/>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182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Journeys Group</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administrative offices</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563,000</w:t>
            </w:r>
          </w:p>
        </w:tc>
        <w:tc>
          <w:tcPr>
            <w:tcW w:w="320" w:type="dxa"/>
            <w:vAlign w:val="bottom"/>
            <w:shd w:val="clear" w:color="auto" w:fill="CFF0FC"/>
          </w:tcPr>
          <w:p>
            <w:pPr>
              <w:spacing w:after="0"/>
              <w:rPr>
                <w:sz w:val="21"/>
                <w:szCs w:val="21"/>
                <w:color w:val="auto"/>
              </w:rPr>
            </w:pP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Bathgate, Scotland</w:t>
            </w:r>
          </w:p>
        </w:tc>
        <w:tc>
          <w:tcPr>
            <w:tcW w:w="1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1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Schuh Group</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Distribution warehouse</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244,644</w:t>
            </w:r>
          </w:p>
        </w:tc>
        <w:tc>
          <w:tcPr>
            <w:tcW w:w="320" w:type="dxa"/>
            <w:vAlign w:val="bottom"/>
          </w:tcPr>
          <w:p>
            <w:pPr>
              <w:spacing w:after="0"/>
              <w:rPr>
                <w:sz w:val="20"/>
                <w:szCs w:val="20"/>
                <w:color w:val="auto"/>
              </w:rPr>
            </w:pPr>
          </w:p>
        </w:tc>
      </w:tr>
      <w:tr>
        <w:trPr>
          <w:trHeight w:val="215"/>
        </w:trPr>
        <w:tc>
          <w:tcPr>
            <w:tcW w:w="38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2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Genesco Brands</w:t>
            </w:r>
          </w:p>
        </w:tc>
        <w:tc>
          <w:tcPr>
            <w:tcW w:w="23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4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Chapel Hill, TN</w:t>
            </w:r>
          </w:p>
        </w:tc>
        <w:tc>
          <w:tcPr>
            <w:tcW w:w="1340" w:type="dxa"/>
            <w:vAlign w:val="bottom"/>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182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Group</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Distribution warehouse</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182,000</w:t>
            </w:r>
          </w:p>
        </w:tc>
        <w:tc>
          <w:tcPr>
            <w:tcW w:w="320" w:type="dxa"/>
            <w:vAlign w:val="bottom"/>
            <w:shd w:val="clear" w:color="auto" w:fill="CFF0FC"/>
          </w:tcPr>
          <w:p>
            <w:pPr>
              <w:spacing w:after="0"/>
              <w:rPr>
                <w:sz w:val="21"/>
                <w:szCs w:val="21"/>
                <w:color w:val="auto"/>
              </w:rPr>
            </w:pPr>
          </w:p>
        </w:tc>
      </w:tr>
      <w:tr>
        <w:trPr>
          <w:trHeight w:val="211"/>
        </w:trPr>
        <w:tc>
          <w:tcPr>
            <w:tcW w:w="3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Johnston &amp; Murphy</w:t>
            </w:r>
          </w:p>
        </w:tc>
        <w:tc>
          <w:tcPr>
            <w:tcW w:w="2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Fayetteville, TN</w:t>
            </w:r>
          </w:p>
        </w:tc>
        <w:tc>
          <w:tcPr>
            <w:tcW w:w="1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1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Group</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Distribution warehouse</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178,500</w:t>
            </w:r>
          </w:p>
        </w:tc>
        <w:tc>
          <w:tcPr>
            <w:tcW w:w="320" w:type="dxa"/>
            <w:vAlign w:val="bottom"/>
          </w:tcPr>
          <w:p>
            <w:pPr>
              <w:spacing w:after="0"/>
              <w:rPr>
                <w:sz w:val="20"/>
                <w:szCs w:val="20"/>
                <w:color w:val="auto"/>
              </w:rPr>
            </w:pPr>
          </w:p>
        </w:tc>
      </w:tr>
      <w:tr>
        <w:trPr>
          <w:trHeight w:val="218"/>
        </w:trPr>
        <w:tc>
          <w:tcPr>
            <w:tcW w:w="38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2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Johnston &amp; Murphy</w:t>
            </w:r>
          </w:p>
        </w:tc>
        <w:tc>
          <w:tcPr>
            <w:tcW w:w="23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4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Fayetteville, TN</w:t>
            </w:r>
          </w:p>
        </w:tc>
        <w:tc>
          <w:tcPr>
            <w:tcW w:w="1340" w:type="dxa"/>
            <w:vAlign w:val="bottom"/>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7"/>
              </w:rPr>
              <w:t>Leased</w:t>
            </w:r>
          </w:p>
        </w:tc>
        <w:tc>
          <w:tcPr>
            <w:tcW w:w="182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Group</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Distribution warehouse</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91,580</w:t>
            </w:r>
          </w:p>
        </w:tc>
        <w:tc>
          <w:tcPr>
            <w:tcW w:w="320" w:type="dxa"/>
            <w:vAlign w:val="bottom"/>
            <w:shd w:val="clear" w:color="auto" w:fill="CFF0FC"/>
          </w:tcPr>
          <w:p>
            <w:pPr>
              <w:spacing w:after="0"/>
              <w:rPr>
                <w:sz w:val="21"/>
                <w:szCs w:val="21"/>
                <w:color w:val="auto"/>
              </w:rPr>
            </w:pPr>
          </w:p>
        </w:tc>
      </w:tr>
      <w:tr>
        <w:trPr>
          <w:trHeight w:val="211"/>
        </w:trPr>
        <w:tc>
          <w:tcPr>
            <w:tcW w:w="3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Distribution warehouse and</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Deans Industrial Estate, Livingston, Scotland</w:t>
            </w:r>
          </w:p>
        </w:tc>
        <w:tc>
          <w:tcPr>
            <w:tcW w:w="1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1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Schuh Group</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administrative offices</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106,813</w:t>
            </w:r>
          </w:p>
        </w:tc>
        <w:tc>
          <w:tcPr>
            <w:tcW w:w="320" w:type="dxa"/>
            <w:vAlign w:val="bottom"/>
          </w:tcPr>
          <w:p>
            <w:pPr>
              <w:spacing w:after="0"/>
              <w:rPr>
                <w:sz w:val="20"/>
                <w:szCs w:val="20"/>
                <w:color w:val="auto"/>
              </w:rPr>
            </w:pPr>
          </w:p>
        </w:tc>
      </w:tr>
      <w:tr>
        <w:trPr>
          <w:trHeight w:val="218"/>
        </w:trPr>
        <w:tc>
          <w:tcPr>
            <w:tcW w:w="38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Distribution warehouse and</w:t>
            </w:r>
          </w:p>
        </w:tc>
        <w:tc>
          <w:tcPr>
            <w:tcW w:w="1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4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Northwest Business Park, Ballycoolin, Dublin</w:t>
            </w:r>
          </w:p>
        </w:tc>
        <w:tc>
          <w:tcPr>
            <w:tcW w:w="1340" w:type="dxa"/>
            <w:vAlign w:val="bottom"/>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7"/>
              </w:rPr>
              <w:t>Leased</w:t>
            </w:r>
          </w:p>
        </w:tc>
        <w:tc>
          <w:tcPr>
            <w:tcW w:w="182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Schuh Group</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administrative offices</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49,460</w:t>
            </w:r>
          </w:p>
        </w:tc>
        <w:tc>
          <w:tcPr>
            <w:tcW w:w="320" w:type="dxa"/>
            <w:vAlign w:val="bottom"/>
            <w:shd w:val="clear" w:color="auto" w:fill="CFF0FC"/>
          </w:tcPr>
          <w:p>
            <w:pPr>
              <w:spacing w:after="0"/>
              <w:rPr>
                <w:sz w:val="21"/>
                <w:szCs w:val="21"/>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Nashville, TN</w:t>
            </w: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Leased</w:t>
            </w:r>
          </w:p>
        </w:tc>
        <w:tc>
          <w:tcPr>
            <w:tcW w:w="1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4"/>
              </w:rPr>
              <w:t>Various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Corporate headquarters</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182,078</w:t>
            </w:r>
          </w:p>
        </w:tc>
        <w:tc>
          <w:tcPr>
            <w:tcW w:w="320" w:type="dxa"/>
            <w:vAlign w:val="bottom"/>
          </w:tcPr>
          <w:p>
            <w:pPr>
              <w:spacing w:after="0"/>
              <w:rPr>
                <w:sz w:val="20"/>
                <w:szCs w:val="20"/>
                <w:color w:val="auto"/>
              </w:rPr>
            </w:pPr>
          </w:p>
        </w:tc>
      </w:tr>
    </w:tbl>
    <w:p>
      <w:pPr>
        <w:spacing w:after="0" w:line="20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believe that all leases of properties that are material to our operations may be renewed, or that alternative properties are available, on terms not materially less favorable to us than existing leases.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2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Further information with respect to this item may be found in Note 15 to the Consolidated Financial Statements included in Item 8, "Financial Statements and Supplementary Data," which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4A. INFORMATION ABOUT OUR EXECUTIVE OFFICERS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officers of the Company are generally elected at the first meeting of the Board of Directors following the annual meeting of shareholders and hold office until their successors have been chosen and qualified or until their earlier death, resignation or removal. The name, age and office of each of the Company’s executive officers and certain information relating to the business experience of each are set forth below:</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Mimi Eckel Vaughn, </w:t>
      </w:r>
      <w:r>
        <w:rPr>
          <w:rFonts w:ascii="Times New Roman" w:cs="Times New Roman" w:eastAsia="Times New Roman" w:hAnsi="Times New Roman"/>
          <w:sz w:val="18"/>
          <w:szCs w:val="18"/>
          <w:color w:val="auto"/>
        </w:rPr>
        <w:t>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Board Chair, President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Vaughn joined the Company in September 2003 as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strategy and business development. She was named senior vice president, strategy and business development in October 2006, senior vice president of strategy and shared services in April 2009 and senior vice president - finance and chief financial officer in February 2015. In May 2019, Ms. Vaughn was named senior vice president and chief operating officer and continued to serve as senior vice president - finance and chief financial officer until her replacement was appointed in June 2019. In October 2019, Ms. Vaughn was appointed to become president and a member of the Board of Directors. Ms. Vaughn was appointed chief executive officer of the Company on February 2, 2020. In July 2020, Ms. Vaughn was appointed Board chair of the Company. Prior to joining the Company, Ms. Vaughn was executive vice president of business development and marketing, and acting chief financial officer from 2000 to 2001, for Link2Gov Corporation in Nashville. From 1993 to 1999, she was a consultant at McKinsey and Company in Atlanta.</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Parag D. Desai, </w:t>
      </w:r>
      <w:r>
        <w:rPr>
          <w:rFonts w:ascii="Times New Roman" w:cs="Times New Roman" w:eastAsia="Times New Roman" w:hAnsi="Times New Roman"/>
          <w:sz w:val="18"/>
          <w:szCs w:val="18"/>
          <w:color w:val="auto"/>
        </w:rPr>
        <w:t>49,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 - Chief Strategy and Digital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Desai joined the Company in 2014 as senior vice president of 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shared services. He was named chief strategy and digital officer in May 2021. Prior to joining the Company, Mr. Desai spent 14 years with McKinsey and Company, including seven years as a partner. Previously, Mr. Desai also held business development and technology positions at Outpace Systems and Booz Allen &amp; Hamilton.</w:t>
      </w:r>
    </w:p>
    <w:p>
      <w:pPr>
        <w:spacing w:after="0" w:line="13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Thomas A. George, </w:t>
      </w:r>
      <w:r>
        <w:rPr>
          <w:rFonts w:ascii="Times New Roman" w:cs="Times New Roman" w:eastAsia="Times New Roman" w:hAnsi="Times New Roman"/>
          <w:sz w:val="17"/>
          <w:szCs w:val="17"/>
          <w:color w:val="auto"/>
        </w:rPr>
        <w:t>68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Senior Vice President – Finance and Chief Financial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Mr. George joined the Company in December 2020 as interim senior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vice president of finance and chief financial officer. He was named as permanent senior vice-president - finance and chief financial officer in October 2021. Mr. George has 40 years of experience, including 30 years as chief financial officer of public and private companies. Prior to joining Genesco, he was chief financial officer of Deckers Outdoor Corporation d/b/a Deckers Brands, a global footwear company, for nine years and prior to that was chief financial officer of Oakley, a global eyewear brand. He has served in this same capacity at companies in the technology and medical device industries.</w:t>
      </w:r>
    </w:p>
    <w:p>
      <w:pPr>
        <w:spacing w:after="0" w:line="1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Scott E. Becker</w:t>
      </w:r>
      <w:r>
        <w:rPr>
          <w:rFonts w:ascii="Times New Roman" w:cs="Times New Roman" w:eastAsia="Times New Roman" w:hAnsi="Times New Roman"/>
          <w:sz w:val="18"/>
          <w:szCs w:val="18"/>
          <w:color w:val="auto"/>
        </w:rPr>
        <w:t>, 56,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 - General Counsel and Corporate Secretary</w:t>
      </w:r>
      <w:r>
        <w:rPr>
          <w:rFonts w:ascii="Times New Roman" w:cs="Times New Roman" w:eastAsia="Times New Roman" w:hAnsi="Times New Roman"/>
          <w:sz w:val="18"/>
          <w:szCs w:val="18"/>
          <w:color w:val="auto"/>
        </w:rPr>
        <w:t>. In October 2019, Mr. Becker joined the Company as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general counsel, and corporate secretary. Prior to joining the Company, Mr. Becker served in a variety of roles with increasing responsibility for Nissan Group of North America and Latin America since 2006. Since 2009, he was a senior vice president with responsibilities for Nissan’s legal, government affairs, finance, strategy and administration.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2006 to 2009, he served as Nissan’s general counsel, corporate secretary and vice president, legal and government affairs. Prior to joining Nissan, Mr.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Becker served in various legal roles at Sears Holdings Corporation. Mr. Becker began his legal career with several Chicago area law firms.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Daniel E. Ewoldsen</w:t>
      </w:r>
      <w:r>
        <w:rPr>
          <w:rFonts w:ascii="Times New Roman" w:cs="Times New Roman" w:eastAsia="Times New Roman" w:hAnsi="Times New Roman"/>
          <w:sz w:val="18"/>
          <w:szCs w:val="18"/>
          <w:color w:val="auto"/>
        </w:rPr>
        <w:t>, 54,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w:t>
      </w:r>
      <w:r>
        <w:rPr>
          <w:rFonts w:ascii="Times New Roman" w:cs="Times New Roman" w:eastAsia="Times New Roman" w:hAnsi="Times New Roman"/>
          <w:sz w:val="18"/>
          <w:szCs w:val="18"/>
          <w:color w:val="auto"/>
        </w:rPr>
        <w:t>. Mr. Ewoldsen is a 20-year Johnston &amp; Murphy veteran. He joined Johnston &amp; Murphy in 2003 as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store operations and was later promoted to vice president store and consumer sales in 2006. He was named executive vice president, Johnston &amp; Murphy Retail and E-Commerce in 2013, president of Johnston &amp; Murphy Group in February 2018 and named senior vice president of Genesco in July 2019. Prior to joining Genesco, Mr. Ewoldsen was with Wilsons Leather from 1996 to 2002 serving in roles with increasing responsibilities, including vice president of stores for the El Portal division.</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Andrew I. Gray</w:t>
      </w:r>
      <w:r>
        <w:rPr>
          <w:rFonts w:ascii="Times New Roman" w:cs="Times New Roman" w:eastAsia="Times New Roman" w:hAnsi="Times New Roman"/>
          <w:sz w:val="18"/>
          <w:szCs w:val="18"/>
          <w:color w:val="auto"/>
        </w:rPr>
        <w:t>, 46,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w:t>
      </w:r>
      <w:r>
        <w:rPr>
          <w:rFonts w:ascii="Times New Roman" w:cs="Times New Roman" w:eastAsia="Times New Roman" w:hAnsi="Times New Roman"/>
          <w:sz w:val="18"/>
          <w:szCs w:val="18"/>
          <w:color w:val="auto"/>
        </w:rPr>
        <w:t>. Mr. Gray joined the Company in January 2024 as senior vice president and president of the Journeys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joining Genesco, he served over two decades in several senior leadership positions at Foot Locker. Mr. Gray most recently served as executive vice president, global president of Foot Locker, Kids Foot Locker, Champs Sports and Sidestep, a position he held from June 2022 until his departure from the company in January 2023. Previously, Mr. Gray served as executive vice president, chief commercial officer from July 2020 to June 2022, chief merchandising officer from October 2017 to July 2020, general manager of Foot Locker and Lady Foot Locker North America from February 2016 to October 2017, and as vice president and general merchandise manager of Foot Locker Europe from July 2013 to February 2016. During his time at Foot Locker, he developed a multi-dimensional skill set spanning merchandising, general management, retail and digital, consumer insight, brand building and global leadership.</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Brently G. Baxter, </w:t>
      </w:r>
      <w:r>
        <w:rPr>
          <w:rFonts w:ascii="Times New Roman" w:cs="Times New Roman" w:eastAsia="Times New Roman" w:hAnsi="Times New Roman"/>
          <w:sz w:val="18"/>
          <w:szCs w:val="18"/>
          <w:color w:val="auto"/>
        </w:rPr>
        <w:t>58,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Vice President and Chief Accounting Officer</w:t>
      </w:r>
      <w:r>
        <w:rPr>
          <w:rFonts w:ascii="Times New Roman" w:cs="Times New Roman" w:eastAsia="Times New Roman" w:hAnsi="Times New Roman"/>
          <w:sz w:val="18"/>
          <w:szCs w:val="18"/>
          <w:color w:val="auto"/>
        </w:rPr>
        <w:t>. Mr. Baxter joined the Company in September 2019 as vice president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officer. Mr. Baxter most recently served as group vice president, controller and principal accounting officer for Sally Beauty Holdings, Inc., a position he held since 2017. From 2014 and 2016, he served as senior vice president, controller and chief accounting officer for Stein Mart, Inc. From 2006 to 2014, he served as vice president, accounting, treasury and corporate controller for PetSmart, Inc. From 2003 to 2006, Mr. Baxter served as vice president and controller for Cracker Barrel Old Country Store, Inc. Prior to serving at Cracker Barrel Old Country Store, Inc., he practiced public accounting for 14 years with KPMG LLP.</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Matthew N. Johnson, </w:t>
      </w:r>
      <w:r>
        <w:rPr>
          <w:rFonts w:ascii="Times New Roman" w:cs="Times New Roman" w:eastAsia="Times New Roman" w:hAnsi="Times New Roman"/>
          <w:sz w:val="18"/>
          <w:szCs w:val="18"/>
          <w:color w:val="auto"/>
        </w:rPr>
        <w:t>59,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Vice President and Treasurer</w:t>
      </w:r>
      <w:r>
        <w:rPr>
          <w:rFonts w:ascii="Times New Roman" w:cs="Times New Roman" w:eastAsia="Times New Roman" w:hAnsi="Times New Roman"/>
          <w:sz w:val="18"/>
          <w:szCs w:val="18"/>
          <w:color w:val="auto"/>
        </w:rPr>
        <w:t>. Mr. Johnson joined the Company in 1993 as manager, corporate finance and was elected assistant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treasurer in December 1993. He was elected treasurer in June 1996. He was named vice president finance in October 2006 and renamed treasurer in April 2011 after a period of service as chief financial officer of one of the Company's divisions. Prior to joining the Company, Mr. Johnson was a vice president in the corporate and institutional banking division of The First National Bank of Chicago.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STOCKHOLDER MATTERS AND ISSUER PURCHASES OF EQUITY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is traded on the New York Stock Exchange under the symbol "GCO".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approximately 1,350 common shareholders of record on March 15, 2024.</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not paid cash dividends to our holders of our Common Stock since 1973 and we do not currently anticipate paying cash dividends in the foreseeable future. Our ability to pay cash dividends to our holders of common stock is subject to various restrictions. See Note 10 to the Consolidated Financial Statements included in Item 8, "Financial Statements and Supplementary Data" for information regarding restrictions on dividends and redemption of capital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 Maximum</w:t>
            </w:r>
          </w:p>
        </w:tc>
      </w:tr>
      <w:tr>
        <w:trPr>
          <w:trHeight w:val="216"/>
        </w:trPr>
        <w:tc>
          <w:tcPr>
            <w:tcW w:w="3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(c) Total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Number</w:t>
            </w:r>
          </w:p>
        </w:tc>
      </w:tr>
      <w:tr>
        <w:trPr>
          <w:trHeight w:val="216"/>
        </w:trPr>
        <w:tc>
          <w:tcPr>
            <w:tcW w:w="3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(or Approximate</w:t>
            </w:r>
          </w:p>
        </w:tc>
      </w:tr>
      <w:tr>
        <w:trPr>
          <w:trHeight w:val="216"/>
        </w:trPr>
        <w:tc>
          <w:tcPr>
            <w:tcW w:w="3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5"/>
              </w:rPr>
              <w:t>Shares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Dollar Value)</w:t>
            </w:r>
          </w:p>
        </w:tc>
      </w:tr>
      <w:tr>
        <w:trPr>
          <w:trHeight w:val="216"/>
        </w:trPr>
        <w:tc>
          <w:tcPr>
            <w:tcW w:w="3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Purchased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of Shares that</w:t>
            </w:r>
          </w:p>
        </w:tc>
      </w:tr>
      <w:tr>
        <w:trPr>
          <w:trHeight w:val="216"/>
        </w:trPr>
        <w:tc>
          <w:tcPr>
            <w:tcW w:w="3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as Part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May Yet Be</w:t>
            </w:r>
          </w:p>
        </w:tc>
      </w:tr>
      <w:tr>
        <w:trPr>
          <w:trHeight w:val="216"/>
        </w:trPr>
        <w:tc>
          <w:tcPr>
            <w:tcW w:w="3120" w:type="dxa"/>
            <w:vAlign w:val="bottom"/>
          </w:tcPr>
          <w:p>
            <w:pPr>
              <w:spacing w:after="0"/>
              <w:rPr>
                <w:sz w:val="18"/>
                <w:szCs w:val="18"/>
                <w:color w:val="auto"/>
              </w:rPr>
            </w:pPr>
          </w:p>
        </w:tc>
        <w:tc>
          <w:tcPr>
            <w:tcW w:w="23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5"/>
              </w:rPr>
              <w:t>(a) Total</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(b) Average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of Publicly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Purchased</w:t>
            </w:r>
          </w:p>
        </w:tc>
      </w:tr>
      <w:tr>
        <w:trPr>
          <w:trHeight w:val="216"/>
        </w:trPr>
        <w:tc>
          <w:tcPr>
            <w:tcW w:w="3120" w:type="dxa"/>
            <w:vAlign w:val="bottom"/>
          </w:tcPr>
          <w:p>
            <w:pPr>
              <w:spacing w:after="0"/>
              <w:rPr>
                <w:sz w:val="18"/>
                <w:szCs w:val="18"/>
                <w:color w:val="auto"/>
              </w:rPr>
            </w:pPr>
          </w:p>
        </w:tc>
        <w:tc>
          <w:tcPr>
            <w:tcW w:w="23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Price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Announced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Under the</w:t>
            </w:r>
          </w:p>
        </w:tc>
      </w:tr>
      <w:tr>
        <w:trPr>
          <w:trHeight w:val="196"/>
        </w:trPr>
        <w:tc>
          <w:tcPr>
            <w:tcW w:w="3120" w:type="dxa"/>
            <w:vAlign w:val="bottom"/>
          </w:tcPr>
          <w:p>
            <w:pPr>
              <w:spacing w:after="0"/>
              <w:rPr>
                <w:sz w:val="17"/>
                <w:szCs w:val="17"/>
                <w:color w:val="auto"/>
              </w:rPr>
            </w:pPr>
          </w:p>
        </w:tc>
        <w:tc>
          <w:tcPr>
            <w:tcW w:w="2340" w:type="dxa"/>
            <w:vAlign w:val="bottom"/>
          </w:tcPr>
          <w:p>
            <w:pPr>
              <w:jc w:val="center"/>
              <w:ind w:left="730"/>
              <w:spacing w:after="0" w:line="195" w:lineRule="exact"/>
              <w:rPr>
                <w:sz w:val="20"/>
                <w:szCs w:val="20"/>
                <w:color w:val="auto"/>
              </w:rPr>
            </w:pPr>
            <w:r>
              <w:rPr>
                <w:rFonts w:ascii="Times New Roman" w:cs="Times New Roman" w:eastAsia="Times New Roman" w:hAnsi="Times New Roman"/>
                <w:sz w:val="18"/>
                <w:szCs w:val="18"/>
                <w:color w:val="auto"/>
                <w:w w:val="99"/>
              </w:rPr>
              <w:t>Shares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left="150"/>
              <w:spacing w:after="0" w:line="195" w:lineRule="exact"/>
              <w:rPr>
                <w:sz w:val="20"/>
                <w:szCs w:val="20"/>
                <w:color w:val="auto"/>
              </w:rPr>
            </w:pPr>
            <w:r>
              <w:rPr>
                <w:rFonts w:ascii="Times New Roman" w:cs="Times New Roman" w:eastAsia="Times New Roman" w:hAnsi="Times New Roman"/>
                <w:sz w:val="18"/>
                <w:szCs w:val="18"/>
                <w:color w:val="auto"/>
                <w:w w:val="99"/>
              </w:rPr>
              <w:t>Paid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left="210"/>
              <w:spacing w:after="0" w:line="195" w:lineRule="exact"/>
              <w:rPr>
                <w:sz w:val="20"/>
                <w:szCs w:val="20"/>
                <w:color w:val="auto"/>
              </w:rPr>
            </w:pPr>
            <w:r>
              <w:rPr>
                <w:rFonts w:ascii="Times New Roman" w:cs="Times New Roman" w:eastAsia="Times New Roman" w:hAnsi="Times New Roman"/>
                <w:sz w:val="18"/>
                <w:szCs w:val="18"/>
                <w:color w:val="auto"/>
                <w:w w:val="99"/>
              </w:rPr>
              <w:t>Plans or</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40"/>
              <w:spacing w:after="0" w:line="195" w:lineRule="exact"/>
              <w:rPr>
                <w:sz w:val="20"/>
                <w:szCs w:val="20"/>
                <w:color w:val="auto"/>
              </w:rPr>
            </w:pPr>
            <w:r>
              <w:rPr>
                <w:rFonts w:ascii="Times New Roman" w:cs="Times New Roman" w:eastAsia="Times New Roman" w:hAnsi="Times New Roman"/>
                <w:sz w:val="18"/>
                <w:szCs w:val="18"/>
                <w:color w:val="auto"/>
                <w:w w:val="99"/>
              </w:rPr>
              <w:t>Plans or</w:t>
            </w:r>
          </w:p>
        </w:tc>
      </w:tr>
      <w:tr>
        <w:trPr>
          <w:trHeight w:val="268"/>
        </w:trPr>
        <w:tc>
          <w:tcPr>
            <w:tcW w:w="31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Period</w:t>
            </w:r>
          </w:p>
        </w:tc>
        <w:tc>
          <w:tcPr>
            <w:tcW w:w="23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7"/>
              </w:rPr>
              <w:t>Purchased</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per Share</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ind w:left="210"/>
              <w:spacing w:after="0" w:line="267" w:lineRule="exact"/>
              <w:rPr>
                <w:sz w:val="20"/>
                <w:szCs w:val="20"/>
                <w:color w:val="auto"/>
              </w:rPr>
            </w:pPr>
            <w:r>
              <w:rPr>
                <w:rFonts w:ascii="Times New Roman" w:cs="Times New Roman" w:eastAsia="Times New Roman" w:hAnsi="Times New Roman"/>
                <w:sz w:val="18"/>
                <w:szCs w:val="18"/>
                <w:color w:val="auto"/>
                <w:w w:val="93"/>
              </w:rPr>
              <w:t>Programs</w:t>
            </w:r>
            <w:r>
              <w:rPr>
                <w:rFonts w:ascii="Times New Roman" w:cs="Times New Roman" w:eastAsia="Times New Roman" w:hAnsi="Times New Roman"/>
                <w:sz w:val="24"/>
                <w:szCs w:val="24"/>
                <w:color w:val="auto"/>
                <w:w w:val="93"/>
                <w:vertAlign w:val="superscript"/>
              </w:rPr>
              <w:t>(1)</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Programs</w:t>
            </w:r>
          </w:p>
        </w:tc>
      </w:tr>
      <w:tr>
        <w:trPr>
          <w:trHeight w:val="236"/>
        </w:trPr>
        <w:tc>
          <w:tcPr>
            <w:tcW w:w="3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2023</w:t>
            </w:r>
          </w:p>
        </w:tc>
        <w:tc>
          <w:tcPr>
            <w:tcW w:w="234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10-29-23 to 11-25-23</w:t>
            </w:r>
          </w:p>
        </w:tc>
        <w:tc>
          <w:tcPr>
            <w:tcW w:w="2340" w:type="dxa"/>
            <w:vAlign w:val="bottom"/>
          </w:tcPr>
          <w:p>
            <w:pPr>
              <w:spacing w:after="0"/>
              <w:rPr>
                <w:sz w:val="20"/>
                <w:szCs w:val="20"/>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52,109</w:t>
            </w:r>
          </w:p>
        </w:tc>
        <w:tc>
          <w:tcPr>
            <w:tcW w:w="100" w:type="dxa"/>
            <w:vAlign w:val="bottom"/>
          </w:tcPr>
          <w:p>
            <w:pPr>
              <w:spacing w:after="0"/>
              <w:rPr>
                <w:sz w:val="20"/>
                <w:szCs w:val="20"/>
                <w:color w:val="auto"/>
              </w:rPr>
            </w:pPr>
          </w:p>
        </w:tc>
      </w:tr>
      <w:tr>
        <w:trPr>
          <w:trHeight w:val="247"/>
        </w:trPr>
        <w:tc>
          <w:tcPr>
            <w:tcW w:w="3120" w:type="dxa"/>
            <w:vAlign w:val="bottom"/>
            <w:shd w:val="clear" w:color="auto" w:fill="CFF0FC"/>
          </w:tcPr>
          <w:p>
            <w:pPr>
              <w:spacing w:after="0"/>
              <w:rPr>
                <w:sz w:val="21"/>
                <w:szCs w:val="21"/>
                <w:color w:val="auto"/>
              </w:rPr>
            </w:pPr>
          </w:p>
        </w:tc>
        <w:tc>
          <w:tcPr>
            <w:tcW w:w="23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2023</w:t>
            </w:r>
          </w:p>
        </w:tc>
        <w:tc>
          <w:tcPr>
            <w:tcW w:w="2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11-26-23 to 12-30-23</w:t>
            </w:r>
          </w:p>
        </w:tc>
        <w:tc>
          <w:tcPr>
            <w:tcW w:w="2340" w:type="dxa"/>
            <w:vAlign w:val="bottom"/>
            <w:shd w:val="clear" w:color="auto" w:fill="CFF0FC"/>
          </w:tcPr>
          <w:p>
            <w:pPr>
              <w:spacing w:after="0"/>
              <w:rPr>
                <w:sz w:val="21"/>
                <w:szCs w:val="21"/>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52,109</w:t>
            </w:r>
          </w:p>
        </w:tc>
        <w:tc>
          <w:tcPr>
            <w:tcW w:w="100" w:type="dxa"/>
            <w:vAlign w:val="bottom"/>
            <w:shd w:val="clear" w:color="auto" w:fill="CFF0FC"/>
          </w:tcPr>
          <w:p>
            <w:pPr>
              <w:spacing w:after="0"/>
              <w:rPr>
                <w:sz w:val="21"/>
                <w:szCs w:val="21"/>
                <w:color w:val="auto"/>
              </w:rPr>
            </w:pPr>
          </w:p>
        </w:tc>
      </w:tr>
      <w:tr>
        <w:trPr>
          <w:trHeight w:val="243"/>
        </w:trPr>
        <w:tc>
          <w:tcPr>
            <w:tcW w:w="31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2024</w:t>
            </w:r>
          </w:p>
        </w:tc>
        <w:tc>
          <w:tcPr>
            <w:tcW w:w="23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12-31-23 to 2-3-24</w:t>
            </w:r>
          </w:p>
        </w:tc>
        <w:tc>
          <w:tcPr>
            <w:tcW w:w="2340" w:type="dxa"/>
            <w:vAlign w:val="bottom"/>
          </w:tcPr>
          <w:p>
            <w:pPr>
              <w:spacing w:after="0"/>
              <w:rPr>
                <w:sz w:val="20"/>
                <w:szCs w:val="20"/>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52,109</w:t>
            </w:r>
          </w:p>
        </w:tc>
        <w:tc>
          <w:tcPr>
            <w:tcW w:w="100" w:type="dxa"/>
            <w:vAlign w:val="bottom"/>
          </w:tcPr>
          <w:p>
            <w:pPr>
              <w:spacing w:after="0"/>
              <w:rPr>
                <w:sz w:val="20"/>
                <w:szCs w:val="20"/>
                <w:color w:val="auto"/>
              </w:rPr>
            </w:pPr>
          </w:p>
        </w:tc>
      </w:tr>
      <w:tr>
        <w:trPr>
          <w:trHeight w:val="240"/>
        </w:trPr>
        <w:tc>
          <w:tcPr>
            <w:tcW w:w="3120" w:type="dxa"/>
            <w:vAlign w:val="bottom"/>
            <w:tcBorders>
              <w:top w:val="single" w:sz="8" w:color="auto"/>
            </w:tcBorders>
            <w:shd w:val="clear" w:color="auto" w:fill="CFF0FC"/>
          </w:tcPr>
          <w:p>
            <w:pPr>
              <w:spacing w:after="0"/>
              <w:rPr>
                <w:sz w:val="20"/>
                <w:szCs w:val="20"/>
                <w:color w:val="auto"/>
              </w:rPr>
            </w:pPr>
          </w:p>
        </w:tc>
        <w:tc>
          <w:tcPr>
            <w:tcW w:w="234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52,109</w:t>
            </w:r>
          </w:p>
        </w:tc>
        <w:tc>
          <w:tcPr>
            <w:tcW w:w="100" w:type="dxa"/>
            <w:vAlign w:val="bottom"/>
          </w:tcPr>
          <w:p>
            <w:pPr>
              <w:spacing w:after="0"/>
              <w:rPr>
                <w:sz w:val="20"/>
                <w:szCs w:val="20"/>
                <w:color w:val="auto"/>
              </w:rPr>
            </w:pPr>
          </w:p>
        </w:tc>
      </w:tr>
    </w:tbl>
    <w:p>
      <w:pPr>
        <w:spacing w:after="0" w:line="269" w:lineRule="exact"/>
        <w:rPr>
          <w:sz w:val="20"/>
          <w:szCs w:val="20"/>
          <w:color w:val="auto"/>
        </w:rPr>
      </w:pPr>
    </w:p>
    <w:p>
      <w:pPr>
        <w:ind w:left="20" w:right="140" w:firstLine="1"/>
        <w:spacing w:after="0" w:line="256" w:lineRule="auto"/>
        <w:tabs>
          <w:tab w:leader="none" w:pos="187"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February 2022, a $100.0 million share repurchase program was approved by the Board of Directors and announced in February 2022, and in June 2023, the Board of Directors approved an additional $50.0 million for share repurchases. We expect to implement the balance of the repurchase program through purchases made from time to time either in the open market or through private transactions, in accordance with the regulations of the SEC and other applicable legal requirements.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0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Refer to Part III, Item 12, "Security Ownership of Certain Beneficial Owners and Management and Related Stockholder Matters" included elsewhere in this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Consolidated Financial Statements and related Notes and other financial information appearing elsewhere in this Annual Report on Form 10-K, and with Part II, Item 7 (“Management’s Discussion and Analysis of Financial Condition and Results of Operations”) of our Annual Report on Form 10-K for the fiscal year ended January 28, 2023, filed with the SEC on March 22, 2023, which provides a discussion of our financial condition and results of operations for Fiscal 2023 compared to our Fiscal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Results of Operations</w:t>
      </w:r>
    </w:p>
    <w:p>
      <w:pPr>
        <w:spacing w:after="0" w:line="119"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decreased 2.5% in Fiscal 2024 compared to Fiscal 2023.</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2024 included a 53rd week. Excluding the 53rd week, net sales decreased 3.6% for Fiscal 2024.</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Journeys Group sales decreased 8% and Genesco Brands Group sales decreased 9%, partially offset by an increase of 11% at Schuh Group and 8% at Johnston &amp; Murphy Group.</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comparable sales decreased 4% for Fiscal 2024, including a 7% decrease in same store sales and an 8% increase in comparable direct sales.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decreased as a percentage of net sales from 47.6% in Fiscal 2023 to 47.3% in Fiscal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administrative expenses increased as a percentage of net sales from 43.7% in Fiscal 2023 to 46.5% in Fiscal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decreased as a percentage of net sales from 3.9% in Fiscal 2023 to (0.6%) in Fiscal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income tax rate decreased from 19.8% in Fiscal 2023 to (8.5%) in Fiscal 2024.</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loss per share from continuing operations was $2.10 per share in Fiscal 2024 compared to diluted earnings per share from continuing operations of $5.69 per share in Fiscal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assessing the performance of our business, we consider a variety of performance and financial measures. The key performance indicators we use to evaluate the financial condition and operating performance of our business are comparable sales, net sales, gross margin, operating income and operating margin. </w:t>
      </w:r>
      <w:r>
        <w:rPr>
          <w:rFonts w:ascii="Times New Roman" w:cs="Times New Roman" w:eastAsia="Times New Roman" w:hAnsi="Times New Roman"/>
          <w:sz w:val="18"/>
          <w:szCs w:val="18"/>
          <w:color w:val="2E2E2E"/>
        </w:rPr>
        <w:t>These key performance indicators should not be considered superior to, as a substitute for or as an alternative to, and should be considered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E2E2E"/>
        </w:rPr>
        <w:t>conjunction with, the U.S. GAAP financial measures presented herein. These measures may not be comparable to similarly-titled performance indicators used by other companies.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comparable sales to be an important indicator of our current performance, and investors may find it useful as such. Comparable sales results are important to achieve leveraging of our costs, including occupancy, selling salaries, depreciation, etc. Comparable sales also have a direct impact on our total net revenue, cash and working capital. We define "comparable sales" as sales from stores open longer than one year, beginning with the first day a store has comparable sales (which we refer to in this report as "same store sales"), and sales from websites operated longer than one year and direct mail catalog sales (which we refer to in this report as "comparable direct sales"). Temporarily closed stores are excluded from the comparable sales calculation if closed for more than seven days. Expanded stores are excluded from the comparable sales calculation until the first day an expanded store has comparable prior year sales. Current year foreign exchange rates are applied to both current year and prior year comparable sales to achieve a consistent basis for comparison. We have not disclosed comparable sales for Fiscal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we believe that overall sales was a more meaningful metric in Fiscal 2023 due to the impact of the COVID-19 pandemic and related extended store closures that occurred in the first quarter of Fiscal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Operations—Fiscal 2024 Compared to Fiscal 2023</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net sales for Fiscal 2024 decreased 2.5% to $2.32 billion from $2.38 billion in Fiscal 2023. Included in Fiscal 2024 was a 53rd week compared to a 52-week in Fiscal 2023. Excluding the 53rd week, net sales decreased 3.6% for Fiscal 2024. The decrease in net sales was driven by decreased store sales at Journeys Group and decreased wholesale sales, partially offset by an 8% increase in e-commerce comparable sales for the total Company, strong store performance at Schuh and Johnston &amp; Murphy and an $8.7 million favorable foreign exchange impact on sales due to changes in foreign exchange rates. Inflationary pressures and economic uncertainty continue to impact the discretionary spending behavior of our consumers. The shopping behavior of our Journeys consumer, in particular, has shifted toward shopping almost exclusively for key footwear items, putting more pressure on our core product assortment. Journeys Group sales decreased 8% and Genesco Brands Group sales decreased 9%, while Schuh Group sales increased 11% and Johnston &amp; Murphy Group sales increased 8% for Fiscal 2024 compared to Fiscal 2023. Schuh's sales increased 8% on a local currency basis for Fiscal 2024. Total comparable sales decreased 4% for Fiscal 2024, with same store sales down 7% and comparable direct sales up 8%.</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margin decreased 3.3% to $1.10 billion in Fiscal 2024 from $1.14 billion in Fiscal 2023 and decreased as a percentage of net sales from 47.6% in Fiscal 2023 to 47.3% in Fiscal 2024, reflecting decreased gross margin as a percentage of net sales in Journeys Group, partially offset by an increase in gross margin as a percentage of net sales in all of our other operating business units. The overall decrease in gross margin as a percentage of net sales reflects increased promotional activity at Journeys and Johnston &amp; Murphy and increased shipping and warehouse expense at Johnston &amp; Murphy, primarily reflecting increased warehouse costs. All of these decreases to gross margin are partially offset by a more elevated product mix at Schuh as well as reduced duties and freight from the new ROI-based distribution center, decreased air freight at Johnston &amp; Murphy and easing of freight and logistics pressures, favorable changes in product mix and increased prices at Genesco Brands.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Selling and administrative expenses increased as a percentage of net sales from 43.7% in Fiscal 2023 to 46.5% in Fiscal 2024, reflecting increased expenses as a percentage of net sales in all of our operating business units. The overall increase in expenses as a percentage of net sales in Fiscal 2024 reflects the deleverage of expenses, especially compensation expense, selling salaries, marketing and occupancy expenses as a result of decreased revenue in Fiscal 2024. Explanations of the changes in results of operations are provided by business segment in discussions following these introductory paragraphs.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loss from continuing operations before income taxes (“pretax loss") for Fiscal 2024 was $21.8 million, compared to earnings from continuing operations before income taxes ("pretax earnings") of $90.1 million for Fiscal 2023. The pretax loss for Fiscal 2024 included a non-cash goodwill impairment charge of $28.5 million and asset impairment and other charges of $1.8 million which included $1.1 million for severance and $1.0 million for asset impairments, partially offset by a $0.3 million insurance gain. Pretax earnings for Fiscal 2023 included an asset impairment and other charge of $0.9 million which included $1.6 million for asset impairments, partially offset by a $0.7 million gain on the termination of the pension plan.</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net loss for Fiscal 2024 was $16.8 million, or $1.50 diluted loss per share compared to net earnings of $71.9 million, or $5.66 diluted earnings per share for Fiscal 2023. The net loss for Fiscal 2024 includes a $9.4 million ($7.2 million, net of tax) gain from insurance proceeds related to legacy environmental matters. The effective income tax rate was (8.5%) for Fiscal 2024 compared to 19.8% for Fiscal 2023. The effective tax rate for Fiscal 2024 was lower compared to Fiscal 2023, reflecting the impact of recording a valuation allowance against certain tax attributes that we no longer believe it is more-likely-than-not we will realize the benefit, partially offset by accrued interest related to a IRS refund that is due to the Company. See Item 8, Note 11, "Income Taxes", to our Consolidated Financial Statements included in this Annual Report on Form 10-K for additional information.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Journeys Group</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8"/>
        </w:trPr>
        <w:tc>
          <w:tcPr>
            <w:tcW w:w="6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6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1,363,835</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1,482,203</w:t>
            </w:r>
          </w:p>
        </w:tc>
        <w:tc>
          <w:tcPr>
            <w:tcW w:w="12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4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11,072</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94,404</w:t>
            </w:r>
          </w:p>
        </w:tc>
        <w:tc>
          <w:tcPr>
            <w:tcW w:w="12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(88.3 )%</w:t>
            </w:r>
          </w:p>
        </w:tc>
      </w:tr>
      <w:tr>
        <w:trPr>
          <w:trHeight w:val="24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c>
          <w:tcPr>
            <w:tcW w:w="6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6.4 %</w:t>
            </w:r>
          </w:p>
        </w:tc>
        <w:tc>
          <w:tcPr>
            <w:tcW w:w="146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7"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Net sales from Journeys Group decreased 8.0% to $1.4 billion for Fiscal 2024 compared to $1.5 billion for Fiscal 2023, primarily due to a total comparable sales decrease of 9% driven by decreased store sales, partially offset by increased digital comparable sales. In addition, there was a 3% decrease in the average number of Journeys stores for Fiscal 2024. We believe the Journeys consumer continues to be pressured by inflation and has chosen to conserve discretionary spending and primarily shop when the consumer has a key footwear item to purchase and take advantage of the abundance of discounted athletic product elsewhere in the market. The shift in the consumer's shopping behavior to shop almost exclusively for key footwear items in an environment with a general lack of innovation in footwear, has put pressure on our core product assortment. Highlights for Journeys in Fiscal 2024 were the launches of its All Access loyalty program and buy-online-pick-up-in-store in North America to encouraging results.</w:t>
      </w:r>
    </w:p>
    <w:p>
      <w:pPr>
        <w:spacing w:after="0" w:line="18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The store count for Journeys Group was 1,063 stores at the end of Fiscal 2024, including 222 Journeys Kidz stores, 39 Journeys stores in Canada and 33 Little Burgundy stores in Canada, compared to 1,130 stores at the end of Fiscal 2023, including 233 Journeys Kidz stores, 45 Journeys stores in Canada and 34 Little Burgundy stores in Canada.</w:t>
      </w:r>
    </w:p>
    <w:p>
      <w:pPr>
        <w:spacing w:after="0" w:line="137"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Journeys Group operating income for Fiscal 2024 decreased 88.3% to $11.1 million, compared to $94.4 million for Fiscal 2023. The decrease in operating income was primarily due to (i) decreased net sales, (ii) decreased gross margin as a percentage of net sales, primarily reflecting increased promotional activity and (iii) increased selling and administrative expenses as a percentage of net sales reflecting the deleverage of expenses, especially occupancy expense, selling salaries, depreciation and compensation expenses as a result of decreased revenue in Fiscal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Schuh Group</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8"/>
        </w:trPr>
        <w:tc>
          <w:tcPr>
            <w:tcW w:w="66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6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480,164</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432,002</w:t>
            </w:r>
          </w:p>
        </w:tc>
        <w:tc>
          <w:tcPr>
            <w:tcW w:w="1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4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21,435</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17,601</w:t>
            </w:r>
          </w:p>
        </w:tc>
        <w:tc>
          <w:tcPr>
            <w:tcW w:w="12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21.8 %</w:t>
            </w:r>
          </w:p>
        </w:tc>
      </w:tr>
      <w:tr>
        <w:trPr>
          <w:trHeight w:val="24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c>
          <w:tcPr>
            <w:tcW w:w="7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4.1 %</w:t>
            </w:r>
          </w:p>
        </w:tc>
        <w:tc>
          <w:tcPr>
            <w:tcW w:w="146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7"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Net sales from the Schuh Group increased 11.1% to $480.2 million for Fiscal 2024 compared to $432.0 million for Fiscal 2023, primarily due to increased total comparable sales of 6% driven by increased e-commerce and store sales and a favorable impact of $11.8 million in sales due to changes in foreign exchange rates. Schuh's sales increased 8% on a local currency basis for Fiscal 2024. Our efforts to strengthen Schuh's value proposition has differentiated the business from competitors, grabbing the attention of new customers and enhancing our brand relationships. Schuh's loyalty program, Schuh Club, has been key to strengthening Schuh's market position. Schuh Group operated 122 stores at the end of Fiscal 2024 and Fiscal 2023.</w:t>
      </w:r>
    </w:p>
    <w:p>
      <w:pPr>
        <w:spacing w:after="0" w:line="155"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Schuh Group operating income for Fiscal 2024 was $21.4 million compared to $17.6 million for Fiscal 2023. The 21.8% increase in operating income this year reflects (i) increased net sales and (ii) increased gross margin as a percentage of net sales, reflecting an elevated product mix and reduced duties and freight as a result of the new ROI-based distribution center. In addition, operating income included a favorable impact of $1.3 million due to changes in foreign exchange rates compared to last year. Selling and</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3" w:name="page34"/>
    <w:bookmarkEnd w:id="33"/>
    <w:p>
      <w:pPr>
        <w:spacing w:after="0" w:line="327"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administrative expenses increased as a percentage of net sales reflecting increased selling salaries, marketing expense and performance-based compensation expense, partially offset by decreased occupancy expense.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Johnston &amp; Murphy Group</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8"/>
        </w:trPr>
        <w:tc>
          <w:tcPr>
            <w:tcW w:w="66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6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339,446</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314,759</w:t>
            </w:r>
          </w:p>
        </w:tc>
        <w:tc>
          <w:tcPr>
            <w:tcW w:w="1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4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16,314</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14,364</w:t>
            </w:r>
          </w:p>
        </w:tc>
        <w:tc>
          <w:tcPr>
            <w:tcW w:w="12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4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4.8 %</w:t>
            </w:r>
          </w:p>
        </w:tc>
        <w:tc>
          <w:tcPr>
            <w:tcW w:w="7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4.6 %</w:t>
            </w:r>
          </w:p>
        </w:tc>
        <w:tc>
          <w:tcPr>
            <w:tcW w:w="146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7"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Johnston &amp; Murphy Group net sales increased 7.8% to $339.4 million for Fiscal 2024 from $314.8 million for Fiscal 2023 primarily due to increased total comparable sales of 9% driven by increased store and e-commerce sales, partially offset by decreased wholesale sales. Compelling product and strong sales of non-footwear items contributed to the increase in sales for Fiscal 2024. Johnston &amp; Murphy has repositioned its brand to a multi-category lifestyle brand, offering more casual and comfortable footwear and apparel, and it continues to resonate well with its consumers' more casual preferences. Retail operations accounted for 78.3% of Johnston &amp; Murphy Group's sales in Fiscal 2024, up from 76.0% in Fiscal 2023. The store count for Johnston &amp; Murphy retail operations at the end of Fiscal 2024 was 156 Johnston &amp; Murphy shops and factory stores, including five stores in Canada, compared to 158 Johnston &amp; Murphy shops and factory stores, including six stores in Canada, at the end of Fiscal 2023.</w:t>
      </w:r>
    </w:p>
    <w:p>
      <w:pPr>
        <w:spacing w:after="0" w:line="14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Johnston &amp; Murphy Group operating income for Fiscal 2024 increased 13.6% to $16.3 million compared to $14.4 million in Fiscal 2023. The increase was primarily due to (i) increased net sales and (ii) increased gross margin as a percentage of net sales reflecting a decrease in air freight, partially offset by increased retail markdowns, warehouse costs and increased inventory reserves. Selling and administrative expenses increased as a percentage of net sales in Fiscal 2024 compared to Fiscal 2023 reflecting increased marketing expense, professional fees and compensation expense, partially offset by decreased performance-based compensation expense and occupancy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Genesco Brands Group</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8"/>
        </w:trPr>
        <w:tc>
          <w:tcPr>
            <w:tcW w:w="66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6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141,179</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155,924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4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(8 )</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98.8 %</w:t>
            </w:r>
          </w:p>
        </w:tc>
      </w:tr>
      <w:tr>
        <w:trPr>
          <w:trHeight w:val="24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(0.0 )%</w:t>
            </w:r>
          </w:p>
        </w:tc>
        <w:tc>
          <w:tcPr>
            <w:tcW w:w="68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(0.4 )%</w:t>
            </w:r>
          </w:p>
        </w:tc>
        <w:tc>
          <w:tcPr>
            <w:tcW w:w="106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Net sales for Genesco Brands Group decreased 9.5% to $141.2 million for Fiscal 2024 from $155.9 million for Fiscal 2023, primarily due to higher sell-in in the first half of the prior year as retailers were replenishing inventory due to supply chain constraints as well as an intentional strategy to pull back value channel sales.</w:t>
      </w:r>
    </w:p>
    <w:p>
      <w:pPr>
        <w:spacing w:after="0" w:line="137"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The operating loss for Genesco Brands Group in Fiscal 2024 was basically break even compared to an operating loss of $0.7 million in Fiscal 2023. The improvement in the operating loss was primarily due to increased gross margin as a percentage of net sales reflecting the easing of freight and logistics pressures, favorable changes in product mix and increased prices. Selling and administrative expenses increased as a percentage of net sales reflecting deleverage of expenses as a result of decreased revenue in Fiscal 2024 as well as increased performance-based compensation expense.</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4" w:name="page35"/>
    <w:bookmarkEnd w:id="34"/>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Interest Expenses and Other Charges</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Corporate and other expense for Fiscal 2024 was $62.3 million compared to $32.5 million for Fiscal 2023. Corporate and other expense in Fiscal 2024 included non-cash impairment charges of $28.5 million related to goodwill and a $1.8 million charge in asset impairment and other charges which included $1.1 million in severance and $1.0 million for asset impairments, partially offset by a $0.3 million insurance gain. Corporate and other expense in Fiscal 2023 included $1.6 million for asset impairments, partially offset by a $0.7 million gain on the termination of our pension plan.</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interest expense increased $4.9 million to $7.8 million in Fiscal 2024 from $2.9 million in Fiscal 2023 primarily reflecting increased average borrowings and higher interest rates.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business is seasonal, with our investment in inventory and accounts receivable normally reaching peaks in the spring and fall of each year. Historically, cash flow from operations has been generated principally in the fourth quarter of each fiscal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changes:</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6620" w:type="dxa"/>
            <w:vAlign w:val="bottom"/>
          </w:tcPr>
          <w:p>
            <w:pPr>
              <w:spacing w:after="0"/>
              <w:rPr>
                <w:sz w:val="17"/>
                <w:szCs w:val="17"/>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30"/>
              <w:spacing w:after="0" w:line="204" w:lineRule="exact"/>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4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00" w:type="dxa"/>
            <w:vAlign w:val="bottom"/>
            <w:tcBorders>
              <w:bottom w:val="single" w:sz="8" w:color="auto"/>
            </w:tcBorders>
            <w:gridSpan w:val="2"/>
            <w:vMerge w:val="continue"/>
          </w:tcPr>
          <w:p>
            <w:pPr>
              <w:spacing w:after="0"/>
              <w:rPr>
                <w:sz w:val="21"/>
                <w:szCs w:val="21"/>
                <w:color w:val="auto"/>
              </w:rPr>
            </w:pPr>
          </w:p>
        </w:tc>
        <w:tc>
          <w:tcPr>
            <w:tcW w:w="16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January 28, 2023</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94,796</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(164,884 )</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259,680</w:t>
            </w:r>
          </w:p>
        </w:tc>
        <w:tc>
          <w:tcPr>
            <w:tcW w:w="0" w:type="dxa"/>
            <w:vAlign w:val="bottom"/>
          </w:tcPr>
          <w:p>
            <w:pPr>
              <w:spacing w:after="0"/>
              <w:rPr>
                <w:sz w:val="1"/>
                <w:szCs w:val="1"/>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(60,001 )</w:t>
            </w:r>
          </w:p>
        </w:tc>
        <w:tc>
          <w:tcPr>
            <w:tcW w:w="5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(59,934 )</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4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(47,579 )</w:t>
            </w: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(45,530 )</w:t>
            </w:r>
          </w:p>
        </w:tc>
        <w:tc>
          <w:tcPr>
            <w:tcW w:w="4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(2,049 )</w:t>
            </w:r>
          </w:p>
        </w:tc>
        <w:tc>
          <w:tcPr>
            <w:tcW w:w="0" w:type="dxa"/>
            <w:vAlign w:val="bottom"/>
          </w:tcPr>
          <w:p>
            <w:pPr>
              <w:spacing w:after="0"/>
              <w:rPr>
                <w:sz w:val="1"/>
                <w:szCs w:val="1"/>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fluctuations on cash</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(51 )</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(2,187 )</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w:t>
            </w:r>
          </w:p>
        </w:tc>
        <w:tc>
          <w:tcPr>
            <w:tcW w:w="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(12,835 )</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(272,535 )</w:t>
            </w:r>
          </w:p>
        </w:tc>
        <w:tc>
          <w:tcPr>
            <w:tcW w:w="4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259,700</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Reasons for the major variances in cash provided by (used in) the table above are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was $259.7 million higher in Fiscal 2024 compared to Fiscal 2023, reflecting primarily the following factors:</w:t>
      </w:r>
    </w:p>
    <w:p>
      <w:pPr>
        <w:spacing w:after="0" w:line="184" w:lineRule="exact"/>
        <w:rPr>
          <w:sz w:val="20"/>
          <w:szCs w:val="20"/>
          <w:color w:val="auto"/>
        </w:rPr>
      </w:pPr>
    </w:p>
    <w:p>
      <w:pPr>
        <w:jc w:val="both"/>
        <w:ind w:left="760" w:hanging="378"/>
        <w:spacing w:after="0" w:line="26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$263.9 million increase in cash flow from changes in inventory, primarily reflecting a decrease in inventory, primarily Journeys and Johnston &amp; Murphy inventory, in Fiscal 2024 compared to the re-inventorying of our operating business units in Fiscal 2023 following the supply chain disruptions in Fiscal 2022, partially offset by a $15.8 million decrease in cash flow from changes in accounts payable, primarily reflecting changes in buying patterns in Fiscal 2024; and</w:t>
      </w:r>
    </w:p>
    <w:p>
      <w:pPr>
        <w:spacing w:after="0" w:line="141"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$47.3 million increase in cash flow from changes in other accrued liabilities, primarily reflecting a significantly lower payment of Fiscal 2023 performance-based compensation accruals in Fiscal 2024 compared to Fiscal 2023; partially offset by</w:t>
      </w:r>
    </w:p>
    <w:p>
      <w:pPr>
        <w:spacing w:after="0" w:line="135" w:lineRule="exact"/>
        <w:rPr>
          <w:rFonts w:ascii="Times New Roman" w:cs="Times New Roman" w:eastAsia="Times New Roman" w:hAnsi="Times New Roman"/>
          <w:sz w:val="18"/>
          <w:szCs w:val="18"/>
          <w:color w:val="auto"/>
        </w:rPr>
      </w:pPr>
    </w:p>
    <w:p>
      <w:pPr>
        <w:ind w:left="800" w:hanging="418"/>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$88.7 million decrease in cash flow from decreased earnings in Fiscal 2024.</w:t>
      </w:r>
    </w:p>
    <w:p>
      <w:pPr>
        <w:spacing w:after="0" w:line="1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Cash used in investing activities was flat for Fiscal 2024 compared to Fiscal 2023 as the increased capital expenditures for investments in retail stores and omni-channel was offset by decreased capital expenditures for the new corporate headquarters building.</w:t>
      </w:r>
    </w:p>
    <w:p>
      <w:pPr>
        <w:spacing w:after="0" w:line="12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Cash used in financing activities was $2.0 million higher in Fiscal 2024 as compared to Fiscal 2023 primarily reflecting decreased revolver borrowings in Fiscal 2024, partially offset by decreased share repurchases this year.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 and Future Capital Needs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three principal sources of liquidity: cash flow from operations, cash on hand and our credit facilities discussed in Item 8, Note 8, "Long-Term Debt", to our Consolidated Financial Statements included in this Annual Report on Form 10-K.</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28, 2022, we entered into a Third Amendment (the "Third Amendment") to our Fourth Amended and Restated Credit </w:t>
      </w:r>
      <w:r>
        <w:rPr>
          <w:rFonts w:ascii="Times New Roman" w:cs="Times New Roman" w:eastAsia="Times New Roman" w:hAnsi="Times New Roman"/>
          <w:sz w:val="18"/>
          <w:szCs w:val="18"/>
          <w:color w:val="222222"/>
        </w:rPr>
        <w:t>Agreement dated 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January 31, 2018 between us, certain of our subsidiaries, the lenders party thereto and Bank of America, N.A. as agent (as amended, the "Credit Facility" or the "Credit Agreement") to, </w:t>
      </w:r>
      <w:r>
        <w:rPr>
          <w:rFonts w:ascii="Times New Roman" w:cs="Times New Roman" w:eastAsia="Times New Roman" w:hAnsi="Times New Roman"/>
          <w:sz w:val="18"/>
          <w:szCs w:val="18"/>
          <w:color w:val="000000"/>
        </w:rPr>
        <w:t>among other things, extend the maturity date to January 28, 2027 and remove the $17.5 million first in-last out term loan. The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Total Commitments (as defined in the Credit Agreement) for revolving loans is $332.5 million. As of February 3, 2024 we have $32.9 million in U.S. revolver borrowings and $1.8 million (C$2.4 million) related to GCO Canada ULC. We had outstanding letters of credit of $6.9 million under the Credit Facility at February 3, 2024. These letters of credit support lease and insurance indemnifications.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 2022, Schuh entered into a facility agreement (the "Facility Agreement") with Lloyds Bank PLC (“Lloyds”) for a £19.0 million revolving credit facility. The Facility Agreement expires November 2, 2025, with options to request two one-year extensions to this termination date subject to lender approval, and bears interest at 2.35% over the Bank of England Base Rate. This Facility Agreement replaced Schuh's Facility Letter that would have expired in October 2023. The Facility Agreement includes certain financial covenants specific to Schuh. Following certain customary events of default outlined in the Facility Agreement, payment of outstanding amounts due may be accelerated or the commitments may be terminated. The Facility Agreement is secured by charges over all of the assets of Schuh, and Schuh's subsidiary, Schuh (ROI) Limited. Pursuant to a Guarantee in favor of Lloyds in its capacity as security trustee, Genesco Inc. has guaranteed the obligations of Schuh under the Facility Agreement and certain existing ancillary facilities on an unsecured basis. As of February 3, 2024, we did not have any borrowings under the Schuh Facility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the relevant terms and conditions of the Credit Facility and Facility Agreement as of February 3, 2024.</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believe that cash on hand, cash provided by operations and borrowings under our amended Credit Facility and the Schuh Facility Agreement will be sufficient to support our liquidity needs in Fiscal 2025 and the foreseeable future.</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fourth quarter of Fiscal 2021, we implemented tax strategies allowed under the 5-year carryback provisions in the CARES Act which we believe will generate approximately $55 million of net tax refunds. We received approximately $26 million of such net tax refunds in Fiscal 2022 and anticipated receipt of the remaining outstanding net tax refund in Fiscal 2023. However, in the third quarter of Fiscal 2023, we were notified the IRS would conduct an audit of the periods related to the outstanding net tax refund. While we do not believe any uncertainty with the technical merits of the positions generating the net tax refunds exists, we do anticipate the timing of the net tax refund will be extended as a result of the audit process. Accordingly, we have recorded the outstanding refund as non-current prepaid income taxes on the Consolidated Balance Sheets as of February 3, 2024.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aggregate contractual obligations as of February 3,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Contractual Obligations</w:t>
            </w:r>
          </w:p>
        </w:tc>
        <w:tc>
          <w:tcPr>
            <w:tcW w:w="26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Long-Term</w:t>
            </w:r>
          </w:p>
        </w:tc>
      </w:tr>
      <w:tr>
        <w:trPr>
          <w:trHeight w:val="24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6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34,682</w:t>
            </w:r>
          </w:p>
        </w:tc>
        <w:tc>
          <w:tcPr>
            <w:tcW w:w="54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34,682</w:t>
            </w:r>
          </w:p>
        </w:tc>
      </w:tr>
      <w:tr>
        <w:trPr>
          <w:trHeight w:val="243"/>
        </w:trPr>
        <w:tc>
          <w:tcPr>
            <w:tcW w:w="44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(1)</w:t>
            </w:r>
          </w:p>
        </w:tc>
        <w:tc>
          <w:tcPr>
            <w:tcW w:w="26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566,926</w:t>
            </w:r>
          </w:p>
        </w:tc>
        <w:tc>
          <w:tcPr>
            <w:tcW w:w="5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152,087</w:t>
            </w:r>
          </w:p>
        </w:tc>
        <w:tc>
          <w:tcPr>
            <w:tcW w:w="4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414,839</w:t>
            </w:r>
          </w:p>
        </w:tc>
      </w:tr>
      <w:tr>
        <w:trPr>
          <w:trHeight w:val="243"/>
        </w:trPr>
        <w:tc>
          <w:tcPr>
            <w:tcW w:w="44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4"/>
                <w:szCs w:val="24"/>
                <w:color w:val="auto"/>
                <w:vertAlign w:val="superscript"/>
              </w:rPr>
              <w:t>(2)</w:t>
            </w:r>
          </w:p>
        </w:tc>
        <w:tc>
          <w:tcPr>
            <w:tcW w:w="26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8,495</w:t>
            </w: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8,495</w:t>
            </w: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539</w:t>
            </w: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153</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r>
      <w:tr>
        <w:trPr>
          <w:trHeight w:val="236"/>
        </w:trPr>
        <w:tc>
          <w:tcPr>
            <w:tcW w:w="44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6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610,642</w:t>
            </w:r>
          </w:p>
        </w:tc>
        <w:tc>
          <w:tcPr>
            <w:tcW w:w="54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160,735</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449,907</w:t>
            </w:r>
          </w:p>
        </w:tc>
      </w:tr>
    </w:tbl>
    <w:p>
      <w:pPr>
        <w:spacing w:after="0" w:line="132"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Operating lease obligations excludes $10.5 million for leases signed but not yet commenced.</w:t>
      </w:r>
    </w:p>
    <w:p>
      <w:pPr>
        <w:spacing w:after="0" w:line="23" w:lineRule="exact"/>
        <w:rPr>
          <w:rFonts w:ascii="Times New Roman" w:cs="Times New Roman" w:eastAsia="Times New Roman" w:hAnsi="Times New Roman"/>
          <w:sz w:val="22"/>
          <w:szCs w:val="22"/>
          <w:color w:val="auto"/>
          <w:vertAlign w:val="superscript"/>
        </w:rPr>
      </w:pPr>
    </w:p>
    <w:p>
      <w:pPr>
        <w:ind w:firstLine="8"/>
        <w:spacing w:after="0" w:line="216" w:lineRule="auto"/>
        <w:tabs>
          <w:tab w:leader="none" w:pos="187"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As a result of the Togast acquisition, we also have a commitment to Samsung C&amp;T America, Inc. (“Samsung”) related to the ultimate sale and valuation of related inventories owned by Samsung. If the product is sold below Samsung’s cost, we are committed to Samsung for the difference between the sales price and its cost.</w:t>
      </w:r>
    </w:p>
    <w:p>
      <w:pPr>
        <w:spacing w:after="0" w:line="1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issue inventory purchase orders in the ordinary course of business, which represent authorizations to purchase that are cancelable by their terms. We do not consider purchase orders to be firm inventory commitments. If we choose to cancel a purchase order, we may be obligated to reimburse the vendor for unrecoverable outlays incurred prior to cancellation.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Capital expenditures were $60.3 million and $59.9 million for Fiscal 2024 and 2023, respectively. The $0.4 million increase in Fiscal 2024 capital expenditures as compared to Fiscal 2023 is primarily due to increases for new stores, renovations and computer hardware, software and warehouse enhancements to drive traffic and omni-channel initiatives, almost offset by decreased capital expenditures for our new corporate headquarters.</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expect total capital expenditures for Fiscal 2025 to be approximately $52-$57 million of which approximately 59% is for new stores and renovations and 41% is for computer hardware, software and warehouse enhancements for initiatives to drive traffic and omni-channel initiatives and other projects. We do not currently have any longer term capital expenditures or other cash requirements other than as set forth in the contractual obligations table. We also do not currently have any off-balance sheet arrangements.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repurchased 1,261,295 shares during Fiscal 2024 at a cost of $32.0 million or an average of $25.39 per share. We were operating under a $100.0 million repurchase authorization from February 2022. In June 2023, we announced an additional $50.0 million share repurchase authorization. As of February 3, 2024, we have $52.1 million remaining under the expanded share repurchase authorization. We repurchased 1,380,272 shares during Fiscal 2023 at a cost of $72.7 million or an average of $52.66 per share. We repurchased 1,360,909 shares during Fiscal 2022 at a cost of $82.8 million or an average of $60.88 per share. During the first quarter of Fiscal 2025, through March 27, 2024, we did not repurchase any shares.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Contingencies</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are subject to certain loss contingencies related to environmental proceedings and other legal matters, including those disclosed in Item 8, Note 15, "Legal Proceedings", to our Consolidated Financial Statements included in this Annual Report on Form 10-K.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Market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discusses our exposure to financial market risk.</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Outstanding Debt – We have $34.7 million of outstanding U.S. revolver borrowings, which includes $1.8 million (C$2.4 million) related to GCO Canada ULC, at a weighted average interest rate of 7.79% as of February 3, 2024. A 100 basis point increase in interest rates would increase annual interest expense by $0.3 million on the $34.7 million revolver borrowings.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Cash – Our cash balances are held in our bank accounts and not invested at this time. We did not have significant exposure to changing interest rates on invested cash at February 3, 2024. As a result, we consider the interest rate risk implicit in these investments at February 3, 2024 to be low. We did not hold any cash equivalents at February 3, 2024.</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Summary – Based on our overall market interest rate exposure at February 3, 2024, we believe that the effect, if any, of reasonably possible near-term changes in interest rates on our consolidated financial position, results of operations or cash flows for Fiscal 2025 would not be material.</w:t>
      </w:r>
    </w:p>
    <w:p>
      <w:pPr>
        <w:spacing w:after="0" w:line="1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Accounts Receivable – Our accounts receivable balance at February 3, 2024 is concentrated in our wholesale businesses, which sell primarily to department stores and independent retailers across the United States. In the wholesale businesses, one customer accounted for 18%, one customer accounted for 16%, one customer accounted for 11% and one customer accounted for 10% of our total trade receivables balance, while no other customer accounted for more than 8% of our total trade receivables balance as of February 3, 2024. We monitor the credit quality of our customers and establish an allowance for doubtful accounts based upon factors surrounding credit risk of specific customers, historical trends and other information, as well as customer specific factors; however, credit risk is affected by conditions or occurrences within the economy and the retail industry, as well as company-specific information.</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Foreign Currency Exchange Risk – We are exposed to translation risk because certain of our foreign operations utilize the local currency as their functional currency and those financial results must be translated into United States dollars. As currency exchange rates fluctuate, translation of our financial statements of foreign businesses into United States dollars affects the comparability of financial results between years. Schuh Group's net sales and operating income for Fiscal 2024 were positively impacted by $11.8 million and $1.3 million, respectively, due to the change in foreign exchange rates.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Principles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Descriptions of recently issued accounting pronouncements, if any, and the accounting pronouncements adopted by us during Fiscal 2024 are included in Note 2, "New Accounting Pronouncements", to the Consolidated Financial Statements included in Item 8, "Financial Statements and Supplementary Data".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footwear wholesale operations and our Schuh Group segment, cost for inventory that we own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Inherent in the retail inventory method are subjective judgments and estimates,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and analyze markdown requirements at the stock number level based on factors such as inventory turn, average selling price and inventory age. In addition, we accrue markdowns as necessary. These additional markdown accruals reflect all of the above factors as well as current agreements to return products to vendors and vendor agreements to provide markdown support. In addition to markdown allowances, we maintain reserves for shrinkage and damaged goods based on historical rates.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 overstatement or understatement of inventory value. A change of 10% from the recorded amounts for markdowns, shrinkage and damaged goods would have changed inventory by $0.7 million at February 3,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periodically assess the recoverability of our long-lived assets, other than goodwill, and evaluate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 impairment are subjective judgments about future cash flows. Failure to make appropriate conclusions regarding these judgments may result in an overstatement or understatement of the value of long-lived assets.</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annually assess our goodwill and indefinite lived trademarks for impairment and on an interim basis if indicators of impairment are present. Our annual assessment date of goodwill and indefinite lived trade names is the first day of the fourth quarter.</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 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 For additional information regarding impairment of long-lived assets, see Item 8, Note 3, "Goodwill and Other Intangible Assets" and Note 4,"Asset Impairments and Other Charges" to our Consolidated Financial Statements included in this Annual Report on Form 10-K.</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quantitative impairment test for indefinite lived trademarks compares the fair value of the trademark with the carrying value of the related trademark. If the fair value of the trademark is less than the carrying value of the trademark, an impairment charge would be recorded for the amount, if any, in which the carrying value exceeds the trademark’s fair value. We estimate fair value using the best information available, and compute the fair value using an income approach that estimates the savings that the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trademark owner would realize from owning that asset instead of having to pay rent or a royalty for the use of it. Key assumptions in our fair value estimate are the selected royalty rate and discount rate. Other significant estimates and assumptions include terminal value growth rates and future profitability expectations.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ASU 2014-09, "Revenue from Contracts with Customers (Topic 606)" ("ASC 606"), revenue shall be recognized upon satisfaction of all contractual performance obligations and transfer of control to the customer. Revenue is measured as the amount of consideration we expect to be entitled to in exchange for corresponding goods. Substantially all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We elected the practical expedient within ASC 606 related to taxes that are assessed by a governmental authority, which allows for the exclusion of sales and value added tax from transaction price.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provision for estimated returns is provided through a reduction of sales and cost of goods sold in the period that the related sales are recorded. Estimated returns are based on historical returns and claims. Actual returns and claims in any future period may differ from historical experience. Revenue from gift cards is deferred and recognized upon the redemption of the cards. These cards have no expiration date. Income from unredeemed cards is recognized in our Consolidated Statements of Operations within net sales in proportion to the pattern of rights exercised by the customer in future periods. We perform an evaluation of historical redemption patterns from the date of original issuance to estimate future period redemption activity.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income taxes in each of the tax jurisdictions in which we operate. This process involves estimating actual current tax obligations together with assessing temporary differences resulting from differing treatment of certain items for tax and accounting purposes, such as depreciation of property and equipment and valuation of inventories. These temporary differences result in deferred tax assets and liabilities, which are included within our Consolidated Balance Sheets. We then assess the likelihood that our deferred tax assets will be recovered from future taxable income. Actual results could differ from this assessment if adequate taxable income is not generated in future periods. To the extent it is more likely than not that some portion or all of a deferred asset will not be realized, valuation allowances are established. To the extent valuation allowances are established or increased in a period, we include an expense within the tax provision in our Consolidated Statements of Operations. These deferred tax valuation allowances may be released in future years when we consider that it is more likely than not that some portion or all of the deferred tax assets will be realized. In making such a determination, we will need to periodically evaluate whether or not all available evidence, such as future taxable income and reversal of temporary differences, tax planning strategies, and recent results of operations, provides sufficient positive evidence to offset any other negative evidence that may exist at such time. In the event the deferred tax valuation allowance is released, we would record an income tax benefit for a portion or all of the deferred tax valuation allowance released. At February 3, 2024, we had a deferred tax valuation allowance of $44.0 million.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tax reserves for uncertain tax positions are determined using the methodology required by the Accounting Standards Codification (“ASC”) Income Tax Topic, ("ASC 740"). This methodology requires companies to assess each income tax position taken using a two-step process. A determination is first made as to whether it is more likely than not that the position will be sustained, based upon the technical merits, upon examination by the taxing authorities. If the tax position is expected to meet the more likely than not criteria, the benefit recorded for the tax position equals the largest amount that is greater than 50% likely to be realized upon ultimate settlement of the respective tax position. Uncertain tax positions require determinations and estimated liabilities to be made based on provisions of the tax law which may be subject to change or varying interpretation. If our determinations and estimates prove to be inaccurate, the resulting adjustments could be material to our future financial results. See Item 8, Note 11, "Income Taxes", to our Consolidated Financial Statements included in this Annual Report on Form 10-K for additional information related to income taxes.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lease assets and corresponding lease liabilities for all operating leases on the Consolidated Balance Sheets as described under ASU No. 2016-02, “Leases (Topic 842).” We evaluate renewal options and break options at lease inception and on an ongoing basis, and include renewal options and break options that we are reasonably certain to exercise in our expected lease terms for calculations of the right-of-use assets and liabilities. Approximately 3% of our leases contain renewal options. To determine the present value of lease payments not yet paid, we estimate incremental borrowing rates corresponding to the reasonably certain lease term. As most of our leases do not provide a determinable implicit rate, we estimate our collateralized incremental borrowing rate based upon a synthetic credit rating and yield curve analysis at the lease commencement or modification date in determining the present value of lease payments. For lease payments in foreign currencies, the incremental borrowing rate is adjusted to be reflective of the risk associated with the respective currency. See Item 8, Note 9, "Leases", to our Consolidated Financial Statements included in this Annual Report on Form 10-K for additional information related to leases.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188"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We incorporate by reference the information regarding market risk appearing under the heading “Financial Market Risk” in Item 7, "Management’s Discussion and Analysis of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FINANCIAL STATEMENTS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i w:val="1"/>
                <w:iCs w:val="1"/>
                <w:color w:val="auto"/>
              </w:rPr>
              <w:t>Page</w:t>
            </w:r>
          </w:p>
        </w:tc>
      </w:tr>
      <w:tr>
        <w:trPr>
          <w:trHeight w:val="182"/>
        </w:trPr>
        <w:tc>
          <w:tcPr>
            <w:tcW w:w="80" w:type="dxa"/>
            <w:vAlign w:val="bottom"/>
          </w:tcPr>
          <w:p>
            <w:pPr>
              <w:spacing w:after="0"/>
              <w:rPr>
                <w:sz w:val="15"/>
                <w:szCs w:val="15"/>
                <w:color w:val="auto"/>
              </w:rPr>
            </w:pPr>
          </w:p>
        </w:tc>
        <w:tc>
          <w:tcPr>
            <w:tcW w:w="974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Internal Control over Financial Reporting</w:t>
            </w:r>
          </w:p>
        </w:tc>
        <w:tc>
          <w:tcPr>
            <w:tcW w:w="14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8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on the Financial Statements (PCAOB ID: 42)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8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February 3, 2024 and January 28,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each of the three fiscal years ended 2024, 2023 and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each of the three fiscal years ended 2024, 2023 and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each of the three fiscal years ended 2024, 2023 and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Equity, each of the three fiscal years ended 2024, 2023 and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681"/>
        </w:trPr>
        <w:tc>
          <w:tcPr>
            <w:tcW w:w="80" w:type="dxa"/>
            <w:vAlign w:val="bottom"/>
          </w:tcPr>
          <w:p>
            <w:pPr>
              <w:spacing w:after="0"/>
              <w:rPr>
                <w:sz w:val="24"/>
                <w:szCs w:val="24"/>
                <w:color w:val="auto"/>
              </w:rPr>
            </w:pPr>
          </w:p>
        </w:tc>
        <w:tc>
          <w:tcPr>
            <w:tcW w:w="3120" w:type="dxa"/>
            <w:vAlign w:val="bottom"/>
            <w:tcBorders>
              <w:top w:val="single" w:sz="8" w:color="0000FF"/>
            </w:tcBorders>
          </w:tcPr>
          <w:p>
            <w:pPr>
              <w:spacing w:after="0"/>
              <w:rPr>
                <w:sz w:val="24"/>
                <w:szCs w:val="24"/>
                <w:color w:val="auto"/>
              </w:rPr>
            </w:pPr>
          </w:p>
        </w:tc>
        <w:tc>
          <w:tcPr>
            <w:tcW w:w="35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762"/>
        </w:trPr>
        <w:tc>
          <w:tcPr>
            <w:tcW w:w="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Genesco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audited Genesco Inc. and Subsidiaries’ internal control over financial reporting as of February 3, 2024, based on criteria established in Internal Control—Integrated Framework issued by the Committee of Sponsoring Organizations of the Treadway Commission (2013 framework) (the COSO criteria). In our opinion, Genesco Inc. and Subsidiaries (the Company) maintained, in all material respects, effective internal control over financial reporting as of February 3, 2024, based on the COSO criteria.</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Genesco Inc. and Subsidiaries as of February 3, 2024 and January 28, 2023, the related consolidated statements of operations, comprehensive income (loss), cash flows, and equity for each of the three fiscal years in the period ended February 3, 2024, and the related notes and financial statement schedule listed in the Index at Item 15, and our report dated March 27, 2024 expressed an unqualified opinion thereon.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2024</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Genesco Inc.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Genesco Inc. (the Company) as of February 3, 2024 and January 28, 2023, the related consolidated statements of operations, comprehensive income (loss), cash flows and equity for each of the three fiscal years in the period ended February 3, 2024,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February 3, 2024 and January 28, 2023, and the results of its operations and its cash flows for each of the three fiscal years in the period ended February 3, 2024, in conformity with U.S. generally accepted accounting principles.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February 3, 2024, based on criteria established in Internal Control – Integrated Framework issued by the Committee of Sponsoring Organizations of the Treadway Commission (2013 framework) and our report dated March 27, 2024 expressed an unqualified opinion thereon.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line="283"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Genesco Brands Group Goodwill</w:t>
      </w:r>
    </w:p>
    <w:p>
      <w:pPr>
        <w:spacing w:after="0" w:line="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 ended February 3, 2024, the Company recorded $28.5 million of impairment expense related to the goodwill associated with the Genesco Brands Group. As discussed in Notes 1 and 3 to the consolidated financial statements, goodwill at the reporting unit level is qualitatively or quantitatively tested for impairment at least annually, at the beginning of the Company’s fourth fiscal quarter, or whenever events or changes in circumstances indicate that the carrying amount may not be recoverable. The quantitative evaluation of goodwill impairment involves the comparison of the fair value of the reporting unit to the carrying value of the reporting unit.</w:t>
      </w:r>
    </w:p>
    <w:p>
      <w:pPr>
        <w:spacing w:after="0" w:line="2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Auditing the Company’s annual goodwill impairment analysis was complex and highly judgmental due to the significant estimation required by management in determining the fair value of the Togast reporting unit. In particular, the fair value estimates under the income approach are sensitive to significant assumptions required to develop prospective financial information related to growth rates in sales, costs, and estimates of future expected changes in operating margins. Other significant assumptions relate to estimating the weighted average cost of capital utilized for discounting cash flow estimates and terminal period growth rates. These significant assumptions are affected by expectations about future market or economic conditions. Management also uses a market approach that considers valuations of comparable companies as an input in the determination of the value of the reporting unit.</w:t>
      </w:r>
    </w:p>
    <w:p>
      <w:pPr>
        <w:spacing w:after="0" w:line="200" w:lineRule="exact"/>
        <w:rPr>
          <w:sz w:val="20"/>
          <w:szCs w:val="20"/>
          <w:color w:val="auto"/>
        </w:rPr>
      </w:pPr>
    </w:p>
    <w:p>
      <w:pPr>
        <w:spacing w:after="0" w:line="2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Genesco Brands goodwill impairment review process, including controls over management’s review of the significant assumptions described above. For example, we tested controls over management’s identification of the Togast reporting unit and management’s review of the significant assumptions utilized within the fair value model, including the development of the prospective financial information and determination of the weighted average cost of capital.</w:t>
      </w: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test the estimated fair value of the Togast reporting unit, we performed audit procedures that included, among others, involvement of our valuation specialists to assess the Company’s model, valuation methodology, and significant assumptions discussed above. Specifically, we compared significant assumptions used by management to current industry economic trends. As part of this assessment, we also compared the development of the weighted average cost of capital to rates for hypothetical market participants based on the capital structure of the Company and its related peer group. We assessed the historical accuracy of management’s estimates and performed sensitivity analyses of significant assumptions to evaluate the changes in the fair value of the reporting unit that would result from changes in the significant assumptions. We also evaluated the reasonableness of the market comparable companies that management used in its market approach.</w:t>
      </w:r>
    </w:p>
    <w:p>
      <w:pPr>
        <w:spacing w:after="0" w:line="607" w:lineRule="exact"/>
        <w:rPr>
          <w:sz w:val="20"/>
          <w:szCs w:val="20"/>
          <w:color w:val="auto"/>
        </w:rPr>
      </w:pPr>
    </w:p>
    <w:p>
      <w:pPr>
        <w:sectPr>
          <w:pgSz w:w="11900" w:h="16838" w:orient="portrait"/>
          <w:cols w:equalWidth="0" w:num="2">
            <w:col w:w="2000" w:space="160"/>
            <w:col w:w="9060"/>
          </w:cols>
          <w:pgMar w:left="320" w:top="1440"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2024</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5" w:name="page46"/>
    <w:bookmarkEnd w:id="45"/>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7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2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 Fiscal Year End</w:t>
            </w:r>
          </w:p>
        </w:tc>
        <w:tc>
          <w:tcPr>
            <w:tcW w:w="13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January 28, 2023</w:t>
            </w:r>
          </w:p>
        </w:tc>
        <w:tc>
          <w:tcPr>
            <w:tcW w:w="0" w:type="dxa"/>
            <w:vAlign w:val="bottom"/>
          </w:tcPr>
          <w:p>
            <w:pPr>
              <w:spacing w:after="0"/>
              <w:rPr>
                <w:sz w:val="1"/>
                <w:szCs w:val="1"/>
                <w:color w:val="auto"/>
              </w:rPr>
            </w:pPr>
          </w:p>
        </w:tc>
      </w:tr>
      <w:tr>
        <w:trPr>
          <w:trHeight w:val="238"/>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tc>
        <w:tc>
          <w:tcPr>
            <w:tcW w:w="52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35,155</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47,990</w:t>
            </w:r>
          </w:p>
        </w:tc>
        <w:tc>
          <w:tcPr>
            <w:tcW w:w="0" w:type="dxa"/>
            <w:vAlign w:val="bottom"/>
          </w:tcPr>
          <w:p>
            <w:pPr>
              <w:spacing w:after="0"/>
              <w:rPr>
                <w:sz w:val="1"/>
                <w:szCs w:val="1"/>
                <w:color w:val="auto"/>
              </w:rPr>
            </w:pPr>
          </w:p>
        </w:tc>
      </w:tr>
      <w:tr>
        <w:trPr>
          <w:trHeight w:val="21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 of $4,266 at February 3, 2024 and $3,710 at January</w:t>
            </w:r>
          </w:p>
        </w:tc>
        <w:tc>
          <w:tcPr>
            <w:tcW w:w="520" w:type="dxa"/>
            <w:vAlign w:val="bottom"/>
            <w:shd w:val="clear" w:color="auto" w:fill="CFF0FC"/>
          </w:tcPr>
          <w:p>
            <w:pPr>
              <w:spacing w:after="0"/>
              <w:rPr>
                <w:sz w:val="18"/>
                <w:szCs w:val="18"/>
                <w:color w:val="auto"/>
              </w:rPr>
            </w:pPr>
          </w:p>
        </w:tc>
        <w:tc>
          <w:tcPr>
            <w:tcW w:w="186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53,618</w:t>
            </w:r>
          </w:p>
        </w:tc>
        <w:tc>
          <w:tcPr>
            <w:tcW w:w="7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28, 2023</w:t>
            </w:r>
          </w:p>
        </w:tc>
        <w:tc>
          <w:tcPr>
            <w:tcW w:w="520" w:type="dxa"/>
            <w:vAlign w:val="bottom"/>
            <w:shd w:val="clear" w:color="auto" w:fill="CFF0FC"/>
          </w:tcPr>
          <w:p>
            <w:pPr>
              <w:spacing w:after="0"/>
              <w:rPr>
                <w:sz w:val="21"/>
                <w:szCs w:val="21"/>
                <w:color w:val="auto"/>
              </w:rPr>
            </w:pPr>
          </w:p>
        </w:tc>
        <w:tc>
          <w:tcPr>
            <w:tcW w:w="1860" w:type="dxa"/>
            <w:vAlign w:val="bottom"/>
            <w:vMerge w:val="continue"/>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40,818</w:t>
            </w: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tcPr>
          <w:p>
            <w:pPr>
              <w:spacing w:after="0"/>
              <w:rPr>
                <w:sz w:val="20"/>
                <w:szCs w:val="20"/>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378,967</w:t>
            </w:r>
          </w:p>
        </w:tc>
        <w:tc>
          <w:tcPr>
            <w:tcW w:w="7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458,017</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52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39,611</w:t>
            </w:r>
          </w:p>
        </w:tc>
        <w:tc>
          <w:tcPr>
            <w:tcW w:w="7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25,844</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5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507,351</w:t>
            </w:r>
          </w:p>
        </w:tc>
        <w:tc>
          <w:tcPr>
            <w:tcW w:w="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572,669</w:t>
            </w:r>
          </w:p>
        </w:tc>
        <w:tc>
          <w:tcPr>
            <w:tcW w:w="0" w:type="dxa"/>
            <w:vAlign w:val="bottom"/>
          </w:tcPr>
          <w:p>
            <w:pPr>
              <w:spacing w:after="0"/>
              <w:rPr>
                <w:sz w:val="1"/>
                <w:szCs w:val="1"/>
                <w:color w:val="auto"/>
              </w:rPr>
            </w:pPr>
          </w:p>
        </w:tc>
      </w:tr>
      <w:tr>
        <w:trPr>
          <w:trHeight w:val="238"/>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2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240,266</w:t>
            </w:r>
          </w:p>
        </w:tc>
        <w:tc>
          <w:tcPr>
            <w:tcW w:w="7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233,733</w:t>
            </w: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520" w:type="dxa"/>
            <w:vAlign w:val="bottom"/>
          </w:tcPr>
          <w:p>
            <w:pPr>
              <w:spacing w:after="0"/>
              <w:rPr>
                <w:sz w:val="20"/>
                <w:szCs w:val="20"/>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436,896</w:t>
            </w:r>
          </w:p>
        </w:tc>
        <w:tc>
          <w:tcPr>
            <w:tcW w:w="7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470,991</w:t>
            </w:r>
          </w:p>
        </w:tc>
        <w:tc>
          <w:tcPr>
            <w:tcW w:w="0" w:type="dxa"/>
            <w:vAlign w:val="bottom"/>
          </w:tcPr>
          <w:p>
            <w:pPr>
              <w:spacing w:after="0"/>
              <w:rPr>
                <w:sz w:val="1"/>
                <w:szCs w:val="1"/>
                <w:color w:val="auto"/>
              </w:rPr>
            </w:pPr>
          </w:p>
        </w:tc>
      </w:tr>
      <w:tr>
        <w:trPr>
          <w:trHeight w:val="245"/>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9,565</w:t>
            </w:r>
          </w:p>
        </w:tc>
        <w:tc>
          <w:tcPr>
            <w:tcW w:w="7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38,123</w:t>
            </w: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520" w:type="dxa"/>
            <w:vAlign w:val="bottom"/>
          </w:tcPr>
          <w:p>
            <w:pPr>
              <w:spacing w:after="0"/>
              <w:rPr>
                <w:sz w:val="20"/>
                <w:szCs w:val="20"/>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27,250</w:t>
            </w:r>
          </w:p>
        </w:tc>
        <w:tc>
          <w:tcPr>
            <w:tcW w:w="7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27,430</w:t>
            </w:r>
          </w:p>
        </w:tc>
        <w:tc>
          <w:tcPr>
            <w:tcW w:w="0" w:type="dxa"/>
            <w:vAlign w:val="bottom"/>
          </w:tcPr>
          <w:p>
            <w:pPr>
              <w:spacing w:after="0"/>
              <w:rPr>
                <w:sz w:val="1"/>
                <w:szCs w:val="1"/>
                <w:color w:val="auto"/>
              </w:rPr>
            </w:pPr>
          </w:p>
        </w:tc>
      </w:tr>
      <w:tr>
        <w:trPr>
          <w:trHeight w:val="245"/>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prepaid income taxes</w:t>
            </w:r>
          </w:p>
        </w:tc>
        <w:tc>
          <w:tcPr>
            <w:tcW w:w="52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56,839</w:t>
            </w:r>
          </w:p>
        </w:tc>
        <w:tc>
          <w:tcPr>
            <w:tcW w:w="7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54,111</w:t>
            </w: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520" w:type="dxa"/>
            <w:vAlign w:val="bottom"/>
          </w:tcPr>
          <w:p>
            <w:pPr>
              <w:spacing w:after="0"/>
              <w:rPr>
                <w:sz w:val="20"/>
                <w:szCs w:val="20"/>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26,230</w:t>
            </w:r>
          </w:p>
        </w:tc>
        <w:tc>
          <w:tcPr>
            <w:tcW w:w="7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28,563</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2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25,493</w:t>
            </w:r>
          </w:p>
        </w:tc>
        <w:tc>
          <w:tcPr>
            <w:tcW w:w="7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30,806</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1,329,890</w:t>
            </w:r>
          </w:p>
        </w:tc>
        <w:tc>
          <w:tcPr>
            <w:tcW w:w="7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1,456,426</w:t>
            </w:r>
          </w:p>
        </w:tc>
        <w:tc>
          <w:tcPr>
            <w:tcW w:w="0" w:type="dxa"/>
            <w:vAlign w:val="bottom"/>
          </w:tcPr>
          <w:p>
            <w:pPr>
              <w:spacing w:after="0"/>
              <w:rPr>
                <w:sz w:val="1"/>
                <w:szCs w:val="1"/>
                <w:color w:val="auto"/>
              </w:rPr>
            </w:pPr>
          </w:p>
        </w:tc>
      </w:tr>
      <w:tr>
        <w:trPr>
          <w:trHeight w:val="238"/>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2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114,621</w:t>
            </w:r>
          </w:p>
        </w:tc>
        <w:tc>
          <w:tcPr>
            <w:tcW w:w="72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144,998</w:t>
            </w: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 operating lease liability</w:t>
            </w:r>
          </w:p>
        </w:tc>
        <w:tc>
          <w:tcPr>
            <w:tcW w:w="520" w:type="dxa"/>
            <w:vAlign w:val="bottom"/>
          </w:tcPr>
          <w:p>
            <w:pPr>
              <w:spacing w:after="0"/>
              <w:rPr>
                <w:sz w:val="20"/>
                <w:szCs w:val="20"/>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129,189</w:t>
            </w:r>
          </w:p>
        </w:tc>
        <w:tc>
          <w:tcPr>
            <w:tcW w:w="7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134,458</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52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75,727</w:t>
            </w:r>
          </w:p>
        </w:tc>
        <w:tc>
          <w:tcPr>
            <w:tcW w:w="7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81,327</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319,537</w:t>
            </w:r>
          </w:p>
        </w:tc>
        <w:tc>
          <w:tcPr>
            <w:tcW w:w="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360,783</w:t>
            </w:r>
          </w:p>
        </w:tc>
        <w:tc>
          <w:tcPr>
            <w:tcW w:w="0" w:type="dxa"/>
            <w:vAlign w:val="bottom"/>
          </w:tcPr>
          <w:p>
            <w:pPr>
              <w:spacing w:after="0"/>
              <w:rPr>
                <w:sz w:val="1"/>
                <w:szCs w:val="1"/>
                <w:color w:val="auto"/>
              </w:rPr>
            </w:pPr>
          </w:p>
        </w:tc>
      </w:tr>
      <w:tr>
        <w:trPr>
          <w:trHeight w:val="238"/>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2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34,682</w:t>
            </w:r>
          </w:p>
        </w:tc>
        <w:tc>
          <w:tcPr>
            <w:tcW w:w="7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44,858</w:t>
            </w: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520" w:type="dxa"/>
            <w:vAlign w:val="bottom"/>
          </w:tcPr>
          <w:p>
            <w:pPr>
              <w:spacing w:after="0"/>
              <w:rPr>
                <w:sz w:val="20"/>
                <w:szCs w:val="20"/>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359,073</w:t>
            </w:r>
          </w:p>
        </w:tc>
        <w:tc>
          <w:tcPr>
            <w:tcW w:w="7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401,113</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2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45,396</w:t>
            </w:r>
          </w:p>
        </w:tc>
        <w:tc>
          <w:tcPr>
            <w:tcW w:w="7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42,706</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758,688</w:t>
            </w:r>
          </w:p>
        </w:tc>
        <w:tc>
          <w:tcPr>
            <w:tcW w:w="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849,460</w:t>
            </w:r>
          </w:p>
        </w:tc>
        <w:tc>
          <w:tcPr>
            <w:tcW w:w="0" w:type="dxa"/>
            <w:vAlign w:val="bottom"/>
          </w:tcPr>
          <w:p>
            <w:pPr>
              <w:spacing w:after="0"/>
              <w:rPr>
                <w:sz w:val="1"/>
                <w:szCs w:val="1"/>
                <w:color w:val="auto"/>
              </w:rPr>
            </w:pPr>
          </w:p>
        </w:tc>
      </w:tr>
      <w:tr>
        <w:trPr>
          <w:trHeight w:val="238"/>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52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52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813</w:t>
            </w:r>
          </w:p>
        </w:tc>
        <w:tc>
          <w:tcPr>
            <w:tcW w:w="7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38"/>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equity:</w:t>
            </w: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$1 par value:</w:t>
            </w:r>
          </w:p>
        </w:tc>
        <w:tc>
          <w:tcPr>
            <w:tcW w:w="52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Authorized: 80,000,000 shares</w:t>
            </w: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Issued common stock</w:t>
            </w:r>
          </w:p>
        </w:tc>
        <w:tc>
          <w:tcPr>
            <w:tcW w:w="52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11,961</w:t>
            </w:r>
          </w:p>
        </w:tc>
        <w:tc>
          <w:tcPr>
            <w:tcW w:w="7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40"/>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20" w:type="dxa"/>
            <w:vAlign w:val="bottom"/>
          </w:tcPr>
          <w:p>
            <w:pPr>
              <w:spacing w:after="0"/>
              <w:rPr>
                <w:sz w:val="20"/>
                <w:szCs w:val="20"/>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319,143</w:t>
            </w:r>
          </w:p>
        </w:tc>
        <w:tc>
          <w:tcPr>
            <w:tcW w:w="7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305,260</w:t>
            </w:r>
          </w:p>
        </w:tc>
        <w:tc>
          <w:tcPr>
            <w:tcW w:w="0" w:type="dxa"/>
            <w:vAlign w:val="bottom"/>
          </w:tcPr>
          <w:p>
            <w:pPr>
              <w:spacing w:after="0"/>
              <w:rPr>
                <w:sz w:val="1"/>
                <w:szCs w:val="1"/>
                <w:color w:val="auto"/>
              </w:rPr>
            </w:pPr>
          </w:p>
        </w:tc>
      </w:tr>
      <w:tr>
        <w:trPr>
          <w:trHeight w:val="245"/>
        </w:trPr>
        <w:tc>
          <w:tcPr>
            <w:tcW w:w="6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52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296,766</w:t>
            </w:r>
          </w:p>
        </w:tc>
        <w:tc>
          <w:tcPr>
            <w:tcW w:w="7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346,870</w:t>
            </w:r>
          </w:p>
        </w:tc>
        <w:tc>
          <w:tcPr>
            <w:tcW w:w="0" w:type="dxa"/>
            <w:vAlign w:val="bottom"/>
          </w:tcPr>
          <w:p>
            <w:pPr>
              <w:spacing w:after="0"/>
              <w:rPr>
                <w:sz w:val="1"/>
                <w:szCs w:val="1"/>
                <w:color w:val="auto"/>
              </w:rPr>
            </w:pPr>
          </w:p>
        </w:tc>
      </w:tr>
      <w:tr>
        <w:trPr>
          <w:trHeight w:val="240"/>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20" w:type="dxa"/>
            <w:vAlign w:val="bottom"/>
          </w:tcPr>
          <w:p>
            <w:pPr>
              <w:spacing w:after="0"/>
              <w:rPr>
                <w:sz w:val="20"/>
                <w:szCs w:val="20"/>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(39,624 )</w:t>
            </w:r>
          </w:p>
        </w:tc>
        <w:tc>
          <w:tcPr>
            <w:tcW w:w="7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(41,211 )</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shares, at cost (488,464 shares)</w:t>
            </w:r>
          </w:p>
        </w:tc>
        <w:tc>
          <w:tcPr>
            <w:tcW w:w="52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(17,857 )</w:t>
            </w:r>
          </w:p>
        </w:tc>
        <w:tc>
          <w:tcPr>
            <w:tcW w:w="7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(17,857 )</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5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571,202</w:t>
            </w:r>
          </w:p>
        </w:tc>
        <w:tc>
          <w:tcPr>
            <w:tcW w:w="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606,966</w:t>
            </w:r>
          </w:p>
        </w:tc>
        <w:tc>
          <w:tcPr>
            <w:tcW w:w="0" w:type="dxa"/>
            <w:vAlign w:val="bottom"/>
          </w:tcPr>
          <w:p>
            <w:pPr>
              <w:spacing w:after="0"/>
              <w:rPr>
                <w:sz w:val="1"/>
                <w:szCs w:val="1"/>
                <w:color w:val="auto"/>
              </w:rPr>
            </w:pPr>
          </w:p>
        </w:tc>
      </w:tr>
      <w:tr>
        <w:trPr>
          <w:trHeight w:val="276"/>
        </w:trPr>
        <w:tc>
          <w:tcPr>
            <w:tcW w:w="67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5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1,329,890</w:t>
            </w:r>
          </w:p>
        </w:tc>
        <w:tc>
          <w:tcPr>
            <w:tcW w:w="72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1,456,426</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4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8"/>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2,324,624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2,384,888</w:t>
            </w:r>
          </w:p>
        </w:tc>
        <w:tc>
          <w:tcPr>
            <w:tcW w:w="4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2,422,084</w:t>
            </w:r>
          </w:p>
        </w:tc>
        <w:tc>
          <w:tcPr>
            <w:tcW w:w="0" w:type="dxa"/>
            <w:vAlign w:val="bottom"/>
          </w:tcPr>
          <w:p>
            <w:pPr>
              <w:spacing w:after="0"/>
              <w:rPr>
                <w:sz w:val="1"/>
                <w:szCs w:val="1"/>
                <w:color w:val="auto"/>
              </w:rPr>
            </w:pPr>
          </w:p>
        </w:tc>
      </w:tr>
      <w:tr>
        <w:trPr>
          <w:trHeight w:val="240"/>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1,225,804</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1,248,698</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1,240,948</w:t>
            </w:r>
          </w:p>
        </w:tc>
        <w:tc>
          <w:tcPr>
            <w:tcW w:w="0" w:type="dxa"/>
            <w:vAlign w:val="bottom"/>
          </w:tcPr>
          <w:p>
            <w:pPr>
              <w:spacing w:after="0"/>
              <w:rPr>
                <w:sz w:val="1"/>
                <w:szCs w:val="1"/>
                <w:color w:val="auto"/>
              </w:rPr>
            </w:pPr>
          </w:p>
        </w:tc>
      </w:tr>
      <w:tr>
        <w:trPr>
          <w:trHeight w:val="238"/>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1,098,820</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1,136,190</w:t>
            </w:r>
          </w:p>
        </w:tc>
        <w:tc>
          <w:tcPr>
            <w:tcW w:w="4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1,181,136</w:t>
            </w:r>
          </w:p>
        </w:tc>
        <w:tc>
          <w:tcPr>
            <w:tcW w:w="0" w:type="dxa"/>
            <w:vAlign w:val="bottom"/>
          </w:tcPr>
          <w:p>
            <w:pPr>
              <w:spacing w:after="0"/>
              <w:rPr>
                <w:sz w:val="1"/>
                <w:szCs w:val="1"/>
                <w:color w:val="auto"/>
              </w:rPr>
            </w:pPr>
          </w:p>
        </w:tc>
      </w:tr>
      <w:tr>
        <w:trPr>
          <w:trHeight w:val="24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1,082,040</w:t>
            </w:r>
          </w:p>
        </w:tc>
        <w:tc>
          <w:tcPr>
            <w:tcW w:w="26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1,042,094</w:t>
            </w:r>
          </w:p>
        </w:tc>
        <w:tc>
          <w:tcPr>
            <w:tcW w:w="4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1,033,625</w:t>
            </w:r>
          </w:p>
        </w:tc>
        <w:tc>
          <w:tcPr>
            <w:tcW w:w="0" w:type="dxa"/>
            <w:vAlign w:val="bottom"/>
          </w:tcPr>
          <w:p>
            <w:pPr>
              <w:spacing w:after="0"/>
              <w:rPr>
                <w:sz w:val="1"/>
                <w:szCs w:val="1"/>
                <w:color w:val="auto"/>
              </w:rPr>
            </w:pPr>
          </w:p>
        </w:tc>
      </w:tr>
      <w:tr>
        <w:trPr>
          <w:trHeight w:val="24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28,453</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Asset impairments and other, net</w:t>
            </w: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1,787</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855</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(8,056 )</w:t>
            </w:r>
          </w:p>
        </w:tc>
        <w:tc>
          <w:tcPr>
            <w:tcW w:w="0" w:type="dxa"/>
            <w:vAlign w:val="bottom"/>
          </w:tcPr>
          <w:p>
            <w:pPr>
              <w:spacing w:after="0"/>
              <w:rPr>
                <w:sz w:val="1"/>
                <w:szCs w:val="1"/>
                <w:color w:val="auto"/>
              </w:rPr>
            </w:pPr>
          </w:p>
        </w:tc>
      </w:tr>
      <w:tr>
        <w:trPr>
          <w:trHeight w:val="236"/>
        </w:trPr>
        <w:tc>
          <w:tcPr>
            <w:tcW w:w="6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(13,460 )</w:t>
            </w:r>
          </w:p>
        </w:tc>
        <w:tc>
          <w:tcPr>
            <w:tcW w:w="2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93,241</w:t>
            </w:r>
          </w:p>
        </w:tc>
        <w:tc>
          <w:tcPr>
            <w:tcW w:w="4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155,567</w:t>
            </w:r>
          </w:p>
        </w:tc>
        <w:tc>
          <w:tcPr>
            <w:tcW w:w="0" w:type="dxa"/>
            <w:vAlign w:val="bottom"/>
          </w:tcPr>
          <w:p>
            <w:pPr>
              <w:spacing w:after="0"/>
              <w:rPr>
                <w:sz w:val="1"/>
                <w:szCs w:val="1"/>
                <w:color w:val="auto"/>
              </w:rPr>
            </w:pPr>
          </w:p>
        </w:tc>
      </w:tr>
      <w:tr>
        <w:trPr>
          <w:trHeight w:val="23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components of net periodic benefit cost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537</w:t>
            </w:r>
          </w:p>
        </w:tc>
        <w:tc>
          <w:tcPr>
            <w:tcW w:w="26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248</w:t>
            </w:r>
          </w:p>
        </w:tc>
        <w:tc>
          <w:tcPr>
            <w:tcW w:w="4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3"/>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 of $0.4 million, $0.3 million and $0.6 million for</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7,777</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2024, 2023 and 2022, respectively)</w:t>
            </w:r>
          </w:p>
        </w:tc>
        <w:tc>
          <w:tcPr>
            <w:tcW w:w="16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2,920</w:t>
            </w:r>
          </w:p>
        </w:tc>
        <w:tc>
          <w:tcPr>
            <w:tcW w:w="4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4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(21,774 )</w:t>
            </w:r>
          </w:p>
        </w:tc>
        <w:tc>
          <w:tcPr>
            <w:tcW w:w="26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90,073</w:t>
            </w:r>
          </w:p>
        </w:tc>
        <w:tc>
          <w:tcPr>
            <w:tcW w:w="4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152,991</w:t>
            </w:r>
          </w:p>
        </w:tc>
        <w:tc>
          <w:tcPr>
            <w:tcW w:w="0" w:type="dxa"/>
            <w:vAlign w:val="bottom"/>
          </w:tcPr>
          <w:p>
            <w:pPr>
              <w:spacing w:after="0"/>
              <w:rPr>
                <w:sz w:val="1"/>
                <w:szCs w:val="1"/>
                <w:color w:val="auto"/>
              </w:rPr>
            </w:pPr>
          </w:p>
        </w:tc>
      </w:tr>
      <w:tr>
        <w:trPr>
          <w:trHeight w:val="243"/>
        </w:trPr>
        <w:tc>
          <w:tcPr>
            <w:tcW w:w="6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1,854</w:t>
            </w:r>
          </w:p>
        </w:tc>
        <w:tc>
          <w:tcPr>
            <w:tcW w:w="2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17,831</w:t>
            </w:r>
          </w:p>
        </w:tc>
        <w:tc>
          <w:tcPr>
            <w:tcW w:w="4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38,044</w:t>
            </w:r>
          </w:p>
        </w:tc>
        <w:tc>
          <w:tcPr>
            <w:tcW w:w="0" w:type="dxa"/>
            <w:vAlign w:val="bottom"/>
          </w:tcPr>
          <w:p>
            <w:pPr>
              <w:spacing w:after="0"/>
              <w:rPr>
                <w:sz w:val="1"/>
                <w:szCs w:val="1"/>
                <w:color w:val="auto"/>
              </w:rPr>
            </w:pPr>
          </w:p>
        </w:tc>
      </w:tr>
      <w:tr>
        <w:trPr>
          <w:trHeight w:val="23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(23,628 )</w:t>
            </w:r>
          </w:p>
        </w:tc>
        <w:tc>
          <w:tcPr>
            <w:tcW w:w="26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72,242</w:t>
            </w:r>
          </w:p>
        </w:tc>
        <w:tc>
          <w:tcPr>
            <w:tcW w:w="4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114,947</w:t>
            </w:r>
          </w:p>
        </w:tc>
        <w:tc>
          <w:tcPr>
            <w:tcW w:w="0" w:type="dxa"/>
            <w:vAlign w:val="bottom"/>
          </w:tcPr>
          <w:p>
            <w:pPr>
              <w:spacing w:after="0"/>
              <w:rPr>
                <w:sz w:val="1"/>
                <w:szCs w:val="1"/>
                <w:color w:val="auto"/>
              </w:rPr>
            </w:pPr>
          </w:p>
        </w:tc>
      </w:tr>
      <w:tr>
        <w:trPr>
          <w:trHeight w:val="243"/>
        </w:trPr>
        <w:tc>
          <w:tcPr>
            <w:tcW w:w="6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(Loss) from discontinued operations, net of tax</w:t>
            </w:r>
          </w:p>
        </w:tc>
        <w:tc>
          <w:tcPr>
            <w:tcW w:w="1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6,801</w:t>
            </w:r>
          </w:p>
        </w:tc>
        <w:tc>
          <w:tcPr>
            <w:tcW w:w="2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(327 )</w:t>
            </w:r>
          </w:p>
        </w:tc>
        <w:tc>
          <w:tcPr>
            <w:tcW w:w="4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36"/>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5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(16,827 )</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71,915</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114,850</w:t>
            </w:r>
          </w:p>
        </w:tc>
        <w:tc>
          <w:tcPr>
            <w:tcW w:w="0" w:type="dxa"/>
            <w:vAlign w:val="bottom"/>
          </w:tcPr>
          <w:p>
            <w:pPr>
              <w:spacing w:after="0"/>
              <w:rPr>
                <w:sz w:val="1"/>
                <w:szCs w:val="1"/>
                <w:color w:val="auto"/>
              </w:rPr>
            </w:pP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(2.10 )</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5.80</w:t>
            </w:r>
          </w:p>
        </w:tc>
        <w:tc>
          <w:tcPr>
            <w:tcW w:w="4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40"/>
        </w:trPr>
        <w:tc>
          <w:tcPr>
            <w:tcW w:w="6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0.60</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(0.03 )</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6"/>
        </w:trPr>
        <w:tc>
          <w:tcPr>
            <w:tcW w:w="64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 (loss)</w:t>
            </w:r>
          </w:p>
        </w:tc>
        <w:tc>
          <w:tcPr>
            <w:tcW w:w="52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(1.50 )</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5.77</w:t>
            </w:r>
          </w:p>
        </w:tc>
        <w:tc>
          <w:tcPr>
            <w:tcW w:w="42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461"/>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(2.10 )</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5.69</w:t>
            </w:r>
          </w:p>
        </w:tc>
        <w:tc>
          <w:tcPr>
            <w:tcW w:w="4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40"/>
        </w:trPr>
        <w:tc>
          <w:tcPr>
            <w:tcW w:w="6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0.60</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(0.03 )</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6"/>
        </w:trPr>
        <w:tc>
          <w:tcPr>
            <w:tcW w:w="64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 (loss)</w:t>
            </w:r>
          </w:p>
        </w:tc>
        <w:tc>
          <w:tcPr>
            <w:tcW w:w="52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(1.50 )</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5.66</w:t>
            </w:r>
          </w:p>
        </w:tc>
        <w:tc>
          <w:tcPr>
            <w:tcW w:w="42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461"/>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11,243</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12,457</w:t>
            </w:r>
          </w:p>
        </w:tc>
        <w:tc>
          <w:tcPr>
            <w:tcW w:w="4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14,170</w:t>
            </w:r>
          </w:p>
        </w:tc>
        <w:tc>
          <w:tcPr>
            <w:tcW w:w="0" w:type="dxa"/>
            <w:vAlign w:val="bottom"/>
          </w:tcPr>
          <w:p>
            <w:pPr>
              <w:spacing w:after="0"/>
              <w:rPr>
                <w:sz w:val="1"/>
                <w:szCs w:val="1"/>
                <w:color w:val="auto"/>
              </w:rPr>
            </w:pPr>
          </w:p>
        </w:tc>
      </w:tr>
      <w:tr>
        <w:trPr>
          <w:trHeight w:val="238"/>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11,243</w:t>
            </w:r>
          </w:p>
        </w:tc>
        <w:tc>
          <w:tcPr>
            <w:tcW w:w="26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12,707</w:t>
            </w:r>
          </w:p>
        </w:tc>
        <w:tc>
          <w:tcPr>
            <w:tcW w:w="4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14,509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as noted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62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6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(16,827 )</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71,915</w:t>
            </w:r>
          </w:p>
        </w:tc>
        <w:tc>
          <w:tcPr>
            <w:tcW w:w="5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114,850</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Postretirement liability adjustment net of tax of $0.0 million, $0.1 million and</w:t>
            </w:r>
          </w:p>
        </w:tc>
        <w:tc>
          <w:tcPr>
            <w:tcW w:w="44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99</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$0.3 million for 2024, 2023 and 2022, respectively</w:t>
            </w:r>
          </w:p>
        </w:tc>
        <w:tc>
          <w:tcPr>
            <w:tcW w:w="440" w:type="dxa"/>
            <w:vAlign w:val="bottom"/>
            <w:shd w:val="clear" w:color="auto" w:fill="CFF0FC"/>
          </w:tcPr>
          <w:p>
            <w:pPr>
              <w:spacing w:after="0"/>
              <w:rPr>
                <w:sz w:val="21"/>
                <w:szCs w:val="21"/>
                <w:color w:val="auto"/>
              </w:rPr>
            </w:pPr>
          </w:p>
        </w:tc>
        <w:tc>
          <w:tcPr>
            <w:tcW w:w="1080" w:type="dxa"/>
            <w:vAlign w:val="bottom"/>
            <w:vMerge w:val="continue"/>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340</w:t>
            </w:r>
          </w:p>
        </w:tc>
        <w:tc>
          <w:tcPr>
            <w:tcW w:w="5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0" w:type="dxa"/>
            <w:vAlign w:val="bottom"/>
          </w:tcPr>
          <w:p>
            <w:pPr>
              <w:spacing w:after="0"/>
              <w:rPr>
                <w:sz w:val="1"/>
                <w:szCs w:val="1"/>
                <w:color w:val="auto"/>
              </w:rPr>
            </w:pPr>
          </w:p>
        </w:tc>
      </w:tr>
      <w:tr>
        <w:trPr>
          <w:trHeight w:val="240"/>
        </w:trPr>
        <w:tc>
          <w:tcPr>
            <w:tcW w:w="6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1,488</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(5,143 )</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0" w:type="dxa"/>
            <w:vAlign w:val="bottom"/>
          </w:tcPr>
          <w:p>
            <w:pPr>
              <w:spacing w:after="0"/>
              <w:rPr>
                <w:sz w:val="1"/>
                <w:szCs w:val="1"/>
                <w:color w:val="auto"/>
              </w:rPr>
            </w:pPr>
          </w:p>
        </w:tc>
      </w:tr>
      <w:tr>
        <w:trPr>
          <w:trHeight w:val="236"/>
        </w:trPr>
        <w:tc>
          <w:tcPr>
            <w:tcW w:w="66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4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1,587</w:t>
            </w:r>
          </w:p>
        </w:tc>
        <w:tc>
          <w:tcPr>
            <w:tcW w:w="2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(4,803 )</w:t>
            </w:r>
          </w:p>
        </w:tc>
        <w:tc>
          <w:tcPr>
            <w:tcW w:w="5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(1,348 )</w:t>
            </w:r>
          </w:p>
        </w:tc>
        <w:tc>
          <w:tcPr>
            <w:tcW w:w="0" w:type="dxa"/>
            <w:vAlign w:val="bottom"/>
          </w:tcPr>
          <w:p>
            <w:pPr>
              <w:spacing w:after="0"/>
              <w:rPr>
                <w:sz w:val="1"/>
                <w:szCs w:val="1"/>
                <w:color w:val="auto"/>
              </w:rPr>
            </w:pPr>
          </w:p>
        </w:tc>
      </w:tr>
      <w:tr>
        <w:trPr>
          <w:trHeight w:val="236"/>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(15,240 )</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67,112</w:t>
            </w:r>
          </w:p>
        </w:tc>
        <w:tc>
          <w:tcPr>
            <w:tcW w:w="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113,502</w:t>
            </w:r>
          </w:p>
        </w:tc>
        <w:tc>
          <w:tcPr>
            <w:tcW w:w="0" w:type="dxa"/>
            <w:vAlign w:val="bottom"/>
          </w:tcPr>
          <w:p>
            <w:pPr>
              <w:spacing w:after="0"/>
              <w:rPr>
                <w:sz w:val="1"/>
                <w:szCs w:val="1"/>
                <w:color w:val="auto"/>
              </w:rPr>
            </w:pP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0" w:type="dxa"/>
            <w:vAlign w:val="bottom"/>
            <w:tcBorders>
              <w:top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6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r>
      <w:tr>
        <w:trPr>
          <w:trHeight w:val="155"/>
        </w:trPr>
        <w:tc>
          <w:tcPr>
            <w:tcW w:w="60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2023</w:t>
            </w:r>
          </w:p>
        </w:tc>
        <w:tc>
          <w:tcPr>
            <w:tcW w:w="6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2022</w:t>
            </w:r>
          </w:p>
        </w:tc>
      </w:tr>
      <w:tr>
        <w:trPr>
          <w:trHeight w:val="155"/>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6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r>
      <w:tr>
        <w:trPr>
          <w:trHeight w:val="162"/>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earnings (loss)</w:t>
            </w:r>
          </w:p>
        </w:tc>
        <w:tc>
          <w:tcPr>
            <w:tcW w:w="62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(16,827 )</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71,915</w:t>
            </w:r>
          </w:p>
        </w:tc>
        <w:tc>
          <w:tcPr>
            <w:tcW w:w="66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114,850</w:t>
            </w:r>
          </w:p>
        </w:tc>
      </w:tr>
      <w:tr>
        <w:trPr>
          <w:trHeight w:val="130"/>
        </w:trPr>
        <w:tc>
          <w:tcPr>
            <w:tcW w:w="600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Adjustments to reconcile net earnings (loss) to net cash provided by (used in) operating</w:t>
            </w:r>
          </w:p>
        </w:tc>
        <w:tc>
          <w:tcPr>
            <w:tcW w:w="6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r>
      <w:tr>
        <w:trPr>
          <w:trHeight w:val="167"/>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activities:</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62"/>
        </w:trPr>
        <w:tc>
          <w:tcPr>
            <w:tcW w:w="6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2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49,441</w:t>
            </w:r>
          </w:p>
        </w:tc>
        <w:tc>
          <w:tcPr>
            <w:tcW w:w="320" w:type="dxa"/>
            <w:vAlign w:val="bottom"/>
          </w:tcPr>
          <w:p>
            <w:pPr>
              <w:spacing w:after="0"/>
              <w:rPr>
                <w:sz w:val="14"/>
                <w:szCs w:val="14"/>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42,818</w:t>
            </w:r>
          </w:p>
        </w:tc>
        <w:tc>
          <w:tcPr>
            <w:tcW w:w="66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42,969</w:t>
            </w:r>
          </w:p>
        </w:tc>
      </w:tr>
      <w:tr>
        <w:trPr>
          <w:trHeight w:val="16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3,452</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(26,394 )</w:t>
            </w:r>
          </w:p>
        </w:tc>
        <w:tc>
          <w:tcPr>
            <w:tcW w:w="6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(18,710 )</w:t>
            </w:r>
          </w:p>
        </w:tc>
      </w:tr>
      <w:tr>
        <w:trPr>
          <w:trHeight w:val="162"/>
        </w:trPr>
        <w:tc>
          <w:tcPr>
            <w:tcW w:w="6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Goodwill impairment</w:t>
            </w:r>
          </w:p>
        </w:tc>
        <w:tc>
          <w:tcPr>
            <w:tcW w:w="62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28,453</w:t>
            </w:r>
          </w:p>
        </w:tc>
        <w:tc>
          <w:tcPr>
            <w:tcW w:w="320" w:type="dxa"/>
            <w:vAlign w:val="bottom"/>
          </w:tcPr>
          <w:p>
            <w:pPr>
              <w:spacing w:after="0"/>
              <w:rPr>
                <w:sz w:val="14"/>
                <w:szCs w:val="14"/>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Impairment of long-lived assets</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958</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1,550</w:t>
            </w:r>
          </w:p>
        </w:tc>
        <w:tc>
          <w:tcPr>
            <w:tcW w:w="6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2,049</w:t>
            </w:r>
          </w:p>
        </w:tc>
      </w:tr>
      <w:tr>
        <w:trPr>
          <w:trHeight w:val="162"/>
        </w:trPr>
        <w:tc>
          <w:tcPr>
            <w:tcW w:w="6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62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14,014</w:t>
            </w:r>
          </w:p>
        </w:tc>
        <w:tc>
          <w:tcPr>
            <w:tcW w:w="320" w:type="dxa"/>
            <w:vAlign w:val="bottom"/>
          </w:tcPr>
          <w:p>
            <w:pPr>
              <w:spacing w:after="0"/>
              <w:rPr>
                <w:sz w:val="14"/>
                <w:szCs w:val="14"/>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14,017</w:t>
            </w:r>
          </w:p>
        </w:tc>
        <w:tc>
          <w:tcPr>
            <w:tcW w:w="66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9,132</w:t>
            </w:r>
          </w:p>
        </w:tc>
      </w:tr>
      <w:tr>
        <w:trPr>
          <w:trHeight w:val="16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Provision for discontinued operations</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514</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440</w:t>
            </w:r>
          </w:p>
        </w:tc>
        <w:tc>
          <w:tcPr>
            <w:tcW w:w="6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132</w:t>
            </w:r>
          </w:p>
        </w:tc>
      </w:tr>
      <w:tr>
        <w:trPr>
          <w:trHeight w:val="162"/>
        </w:trPr>
        <w:tc>
          <w:tcPr>
            <w:tcW w:w="6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(gain) on sale of assets</w:t>
            </w:r>
          </w:p>
        </w:tc>
        <w:tc>
          <w:tcPr>
            <w:tcW w:w="62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128</w:t>
            </w:r>
          </w:p>
        </w:tc>
        <w:tc>
          <w:tcPr>
            <w:tcW w:w="320" w:type="dxa"/>
            <w:vAlign w:val="bottom"/>
          </w:tcPr>
          <w:p>
            <w:pPr>
              <w:spacing w:after="0"/>
              <w:rPr>
                <w:sz w:val="14"/>
                <w:szCs w:val="14"/>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159</w:t>
            </w:r>
          </w:p>
        </w:tc>
        <w:tc>
          <w:tcPr>
            <w:tcW w:w="6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(19,140 )</w:t>
            </w:r>
          </w:p>
        </w:tc>
      </w:tr>
      <w:tr>
        <w:trPr>
          <w:trHeight w:val="16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1,000</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225</w:t>
            </w:r>
          </w:p>
        </w:tc>
        <w:tc>
          <w:tcPr>
            <w:tcW w:w="6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766</w:t>
            </w:r>
          </w:p>
        </w:tc>
      </w:tr>
      <w:tr>
        <w:trPr>
          <w:trHeight w:val="130"/>
        </w:trPr>
        <w:tc>
          <w:tcPr>
            <w:tcW w:w="60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Changes in working capital and other assets and liabilities, net of</w:t>
            </w: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65"/>
        </w:trPr>
        <w:tc>
          <w:tcPr>
            <w:tcW w:w="6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acquisitions/dispositions:</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Accounts receivable</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(13,287 )</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(1,082 )</w:t>
            </w:r>
          </w:p>
        </w:tc>
        <w:tc>
          <w:tcPr>
            <w:tcW w:w="6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(8,280 )</w:t>
            </w:r>
          </w:p>
        </w:tc>
      </w:tr>
      <w:tr>
        <w:trPr>
          <w:trHeight w:val="162"/>
        </w:trPr>
        <w:tc>
          <w:tcPr>
            <w:tcW w:w="6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Inventories</w:t>
            </w:r>
          </w:p>
        </w:tc>
        <w:tc>
          <w:tcPr>
            <w:tcW w:w="62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80,352</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(183,583 )</w:t>
            </w:r>
          </w:p>
        </w:tc>
        <w:tc>
          <w:tcPr>
            <w:tcW w:w="66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10,829</w:t>
            </w:r>
          </w:p>
        </w:tc>
      </w:tr>
      <w:tr>
        <w:trPr>
          <w:trHeight w:val="16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Prepaids and other current assets</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(13,659 )</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45,386</w:t>
            </w:r>
          </w:p>
        </w:tc>
        <w:tc>
          <w:tcPr>
            <w:tcW w:w="6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58,388</w:t>
            </w:r>
          </w:p>
        </w:tc>
      </w:tr>
      <w:tr>
        <w:trPr>
          <w:trHeight w:val="162"/>
        </w:trPr>
        <w:tc>
          <w:tcPr>
            <w:tcW w:w="6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(27,665 )</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(11,839 )</w:t>
            </w:r>
          </w:p>
        </w:tc>
        <w:tc>
          <w:tcPr>
            <w:tcW w:w="66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3,763</w:t>
            </w:r>
          </w:p>
        </w:tc>
      </w:tr>
      <w:tr>
        <w:trPr>
          <w:trHeight w:val="16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 accrued liabilities</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(2,011 )</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(49,276 )</w:t>
            </w:r>
          </w:p>
        </w:tc>
        <w:tc>
          <w:tcPr>
            <w:tcW w:w="6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50,927</w:t>
            </w:r>
          </w:p>
        </w:tc>
      </w:tr>
      <w:tr>
        <w:trPr>
          <w:trHeight w:val="162"/>
        </w:trPr>
        <w:tc>
          <w:tcPr>
            <w:tcW w:w="6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Other assets and liabilities</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(10,067 )</w:t>
            </w: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(69,220 )</w:t>
            </w:r>
          </w:p>
        </w:tc>
        <w:tc>
          <w:tcPr>
            <w:tcW w:w="6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(7,805 )</w:t>
            </w:r>
          </w:p>
        </w:tc>
      </w:tr>
      <w:tr>
        <w:trPr>
          <w:trHeight w:val="155"/>
        </w:trPr>
        <w:tc>
          <w:tcPr>
            <w:tcW w:w="6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6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94,796</w:t>
            </w:r>
          </w:p>
        </w:tc>
        <w:tc>
          <w:tcPr>
            <w:tcW w:w="32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(164,884 )</w:t>
            </w:r>
          </w:p>
        </w:tc>
        <w:tc>
          <w:tcPr>
            <w:tcW w:w="6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239,870</w:t>
            </w:r>
          </w:p>
        </w:tc>
      </w:tr>
      <w:tr>
        <w:trPr>
          <w:trHeight w:val="155"/>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Capital expenditures</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(60,303 )</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(59,934 )</w:t>
            </w:r>
          </w:p>
        </w:tc>
        <w:tc>
          <w:tcPr>
            <w:tcW w:w="6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(53,905 )</w:t>
            </w:r>
          </w:p>
        </w:tc>
      </w:tr>
      <w:tr>
        <w:trPr>
          <w:trHeight w:val="162"/>
        </w:trPr>
        <w:tc>
          <w:tcPr>
            <w:tcW w:w="6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investing activities</w:t>
            </w:r>
          </w:p>
        </w:tc>
        <w:tc>
          <w:tcPr>
            <w:tcW w:w="62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215</w:t>
            </w:r>
          </w:p>
        </w:tc>
        <w:tc>
          <w:tcPr>
            <w:tcW w:w="320" w:type="dxa"/>
            <w:vAlign w:val="bottom"/>
          </w:tcPr>
          <w:p>
            <w:pPr>
              <w:spacing w:after="0"/>
              <w:rPr>
                <w:sz w:val="14"/>
                <w:szCs w:val="14"/>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74</w:t>
            </w:r>
          </w:p>
        </w:tc>
      </w:tr>
      <w:tr>
        <w:trPr>
          <w:trHeight w:val="16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Acquisitions, net of cash acquired</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(80 )</w:t>
            </w:r>
          </w:p>
        </w:tc>
      </w:tr>
      <w:tr>
        <w:trPr>
          <w:trHeight w:val="162"/>
        </w:trPr>
        <w:tc>
          <w:tcPr>
            <w:tcW w:w="6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Proceeds from asset sales</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87</w:t>
            </w: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0</w:t>
            </w:r>
          </w:p>
        </w:tc>
        <w:tc>
          <w:tcPr>
            <w:tcW w:w="6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20,013</w:t>
            </w:r>
          </w:p>
        </w:tc>
      </w:tr>
      <w:tr>
        <w:trPr>
          <w:trHeight w:val="155"/>
        </w:trPr>
        <w:tc>
          <w:tcPr>
            <w:tcW w:w="6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6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(60,001 )</w:t>
            </w:r>
          </w:p>
        </w:tc>
        <w:tc>
          <w:tcPr>
            <w:tcW w:w="32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(59,934 )</w:t>
            </w:r>
          </w:p>
        </w:tc>
        <w:tc>
          <w:tcPr>
            <w:tcW w:w="6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(33,898 )</w:t>
            </w:r>
          </w:p>
        </w:tc>
      </w:tr>
      <w:tr>
        <w:trPr>
          <w:trHeight w:val="155"/>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Borrowings under revolving credit facility</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477,841</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338,818</w:t>
            </w:r>
          </w:p>
        </w:tc>
        <w:tc>
          <w:tcPr>
            <w:tcW w:w="6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29,283</w:t>
            </w:r>
          </w:p>
        </w:tc>
      </w:tr>
      <w:tr>
        <w:trPr>
          <w:trHeight w:val="162"/>
        </w:trPr>
        <w:tc>
          <w:tcPr>
            <w:tcW w:w="6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(488,438 )</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(308,768 )</w:t>
            </w:r>
          </w:p>
        </w:tc>
        <w:tc>
          <w:tcPr>
            <w:tcW w:w="6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(46,516 )</w:t>
            </w:r>
          </w:p>
        </w:tc>
      </w:tr>
      <w:tr>
        <w:trPr>
          <w:trHeight w:val="16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Shares repurchased related to share repurchase plan</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(32,027 )</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(77,470 )</w:t>
            </w:r>
          </w:p>
        </w:tc>
        <w:tc>
          <w:tcPr>
            <w:tcW w:w="6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(78,068 )</w:t>
            </w:r>
          </w:p>
        </w:tc>
      </w:tr>
      <w:tr>
        <w:trPr>
          <w:trHeight w:val="162"/>
        </w:trPr>
        <w:tc>
          <w:tcPr>
            <w:tcW w:w="6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Shares repurchased related to taxes for share-based awards</w:t>
            </w: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(2,249 )</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(3,942 )</w:t>
            </w:r>
          </w:p>
        </w:tc>
        <w:tc>
          <w:tcPr>
            <w:tcW w:w="6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(4,076 )</w:t>
            </w:r>
          </w:p>
        </w:tc>
      </w:tr>
      <w:tr>
        <w:trPr>
          <w:trHeight w:val="16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Change in overdraft balances</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(2,694 )</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5,976</w:t>
            </w:r>
          </w:p>
        </w:tc>
        <w:tc>
          <w:tcPr>
            <w:tcW w:w="6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(516 )</w:t>
            </w:r>
          </w:p>
        </w:tc>
      </w:tr>
      <w:tr>
        <w:trPr>
          <w:trHeight w:val="162"/>
        </w:trPr>
        <w:tc>
          <w:tcPr>
            <w:tcW w:w="6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Additions to deferred financing costs</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(12 )</w:t>
            </w: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(144 )</w:t>
            </w:r>
          </w:p>
        </w:tc>
        <w:tc>
          <w:tcPr>
            <w:tcW w:w="6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(1,276 )</w:t>
            </w:r>
          </w:p>
        </w:tc>
      </w:tr>
      <w:tr>
        <w:trPr>
          <w:trHeight w:val="155"/>
        </w:trPr>
        <w:tc>
          <w:tcPr>
            <w:tcW w:w="6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6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(47,579 )</w:t>
            </w:r>
          </w:p>
        </w:tc>
        <w:tc>
          <w:tcPr>
            <w:tcW w:w="32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(45,530 )</w:t>
            </w:r>
          </w:p>
        </w:tc>
        <w:tc>
          <w:tcPr>
            <w:tcW w:w="6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(101,169 )</w:t>
            </w:r>
          </w:p>
        </w:tc>
      </w:tr>
      <w:tr>
        <w:trPr>
          <w:trHeight w:val="155"/>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Effect of foreign exchange rate fluctuations on cash</w:t>
            </w:r>
          </w:p>
        </w:tc>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(51 )</w:t>
            </w:r>
          </w:p>
        </w:tc>
        <w:tc>
          <w:tcPr>
            <w:tcW w:w="3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(2,187 )</w:t>
            </w:r>
          </w:p>
        </w:tc>
        <w:tc>
          <w:tcPr>
            <w:tcW w:w="6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631</w:t>
            </w:r>
          </w:p>
        </w:tc>
      </w:tr>
      <w:tr>
        <w:trPr>
          <w:trHeight w:val="155"/>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w:t>
            </w:r>
          </w:p>
        </w:tc>
        <w:tc>
          <w:tcPr>
            <w:tcW w:w="6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(12,835 )</w:t>
            </w:r>
          </w:p>
        </w:tc>
        <w:tc>
          <w:tcPr>
            <w:tcW w:w="32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(272,535 )</w:t>
            </w:r>
          </w:p>
        </w:tc>
        <w:tc>
          <w:tcPr>
            <w:tcW w:w="66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105,434</w:t>
            </w:r>
          </w:p>
        </w:tc>
      </w:tr>
      <w:tr>
        <w:trPr>
          <w:trHeight w:val="162"/>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Cash at beginning of year</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47,990</w:t>
            </w: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320,525</w:t>
            </w:r>
          </w:p>
        </w:tc>
        <w:tc>
          <w:tcPr>
            <w:tcW w:w="6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215,091</w:t>
            </w:r>
          </w:p>
        </w:tc>
      </w:tr>
      <w:tr>
        <w:trPr>
          <w:trHeight w:val="195"/>
        </w:trPr>
        <w:tc>
          <w:tcPr>
            <w:tcW w:w="6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at end of year</w:t>
            </w:r>
          </w:p>
        </w:tc>
        <w:tc>
          <w:tcPr>
            <w:tcW w:w="620" w:type="dxa"/>
            <w:vAlign w:val="bottom"/>
            <w:tcBorders>
              <w:bottom w:val="single" w:sz="8" w:color="auto"/>
            </w:tcBorders>
            <w:shd w:val="clear" w:color="auto" w:fill="CFF0FC"/>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35,155</w:t>
            </w:r>
          </w:p>
        </w:tc>
        <w:tc>
          <w:tcPr>
            <w:tcW w:w="320" w:type="dxa"/>
            <w:vAlign w:val="bottom"/>
            <w:tcBorders>
              <w:bottom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47,990</w:t>
            </w:r>
          </w:p>
        </w:tc>
        <w:tc>
          <w:tcPr>
            <w:tcW w:w="660" w:type="dxa"/>
            <w:vAlign w:val="bottom"/>
            <w:tcBorders>
              <w:bottom w:val="single" w:sz="8" w:color="auto"/>
            </w:tcBorders>
            <w:shd w:val="clear" w:color="auto" w:fill="CFF0FC"/>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320,525</w:t>
            </w:r>
          </w:p>
        </w:tc>
      </w:tr>
      <w:tr>
        <w:trPr>
          <w:trHeight w:val="142"/>
        </w:trPr>
        <w:tc>
          <w:tcPr>
            <w:tcW w:w="600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auto"/>
              </w:rPr>
              <w:t>Supplemental information:</w:t>
            </w: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Interest paid</w:t>
            </w:r>
          </w:p>
        </w:tc>
        <w:tc>
          <w:tcPr>
            <w:tcW w:w="620" w:type="dxa"/>
            <w:vAlign w:val="bottom"/>
            <w:shd w:val="clear" w:color="auto" w:fill="CFF0FC"/>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7,841</w:t>
            </w:r>
          </w:p>
        </w:tc>
        <w:tc>
          <w:tcPr>
            <w:tcW w:w="32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2,742</w:t>
            </w:r>
          </w:p>
        </w:tc>
        <w:tc>
          <w:tcPr>
            <w:tcW w:w="660" w:type="dxa"/>
            <w:vAlign w:val="bottom"/>
            <w:shd w:val="clear" w:color="auto" w:fill="CFF0FC"/>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2,331</w:t>
            </w:r>
          </w:p>
        </w:tc>
      </w:tr>
      <w:tr>
        <w:trPr>
          <w:trHeight w:val="162"/>
        </w:trPr>
        <w:tc>
          <w:tcPr>
            <w:tcW w:w="6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Income taxes paid (refunded)</w:t>
            </w:r>
          </w:p>
        </w:tc>
        <w:tc>
          <w:tcPr>
            <w:tcW w:w="62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5,888</w:t>
            </w:r>
          </w:p>
        </w:tc>
        <w:tc>
          <w:tcPr>
            <w:tcW w:w="320" w:type="dxa"/>
            <w:vAlign w:val="bottom"/>
          </w:tcPr>
          <w:p>
            <w:pPr>
              <w:spacing w:after="0"/>
              <w:rPr>
                <w:sz w:val="14"/>
                <w:szCs w:val="14"/>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50,562</w:t>
            </w:r>
          </w:p>
        </w:tc>
        <w:tc>
          <w:tcPr>
            <w:tcW w:w="6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(178 )</w:t>
            </w:r>
          </w:p>
        </w:tc>
      </w:tr>
      <w:tr>
        <w:trPr>
          <w:trHeight w:val="16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Cash paid for amounts included in measurement of operating lease liabilities</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187,129</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180,042</w:t>
            </w:r>
          </w:p>
        </w:tc>
        <w:tc>
          <w:tcPr>
            <w:tcW w:w="6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193,661</w:t>
            </w:r>
          </w:p>
        </w:tc>
      </w:tr>
      <w:tr>
        <w:trPr>
          <w:trHeight w:val="166"/>
        </w:trPr>
        <w:tc>
          <w:tcPr>
            <w:tcW w:w="6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Operating leased assets obtained in exchange for new operating lease liabilities</w:t>
            </w:r>
          </w:p>
        </w:tc>
        <w:tc>
          <w:tcPr>
            <w:tcW w:w="62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128,017</w:t>
            </w:r>
          </w:p>
        </w:tc>
        <w:tc>
          <w:tcPr>
            <w:tcW w:w="320" w:type="dxa"/>
            <w:vAlign w:val="bottom"/>
          </w:tcPr>
          <w:p>
            <w:pPr>
              <w:spacing w:after="0"/>
              <w:rPr>
                <w:sz w:val="14"/>
                <w:szCs w:val="14"/>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93,068</w:t>
            </w:r>
          </w:p>
        </w:tc>
        <w:tc>
          <w:tcPr>
            <w:tcW w:w="66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80,378</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6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68"/>
              <w:spacing w:after="0" w:line="151" w:lineRule="exact"/>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ind w:right="308"/>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2"/>
                <w:szCs w:val="12"/>
                <w:color w:val="auto"/>
              </w:rPr>
            </w:pPr>
          </w:p>
        </w:tc>
        <w:tc>
          <w:tcPr>
            <w:tcW w:w="10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38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8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6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6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January 30, 2021</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1,009</w:t>
            </w: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15,438</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282,308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320,920</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(35,059 ) $</w:t>
            </w: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(17,857 ) $</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566,759</w:t>
            </w:r>
          </w:p>
        </w:tc>
        <w:tc>
          <w:tcPr>
            <w:tcW w:w="0" w:type="dxa"/>
            <w:vAlign w:val="bottom"/>
          </w:tcPr>
          <w:p>
            <w:pPr>
              <w:spacing w:after="0"/>
              <w:rPr>
                <w:sz w:val="1"/>
                <w:szCs w:val="1"/>
                <w:color w:val="auto"/>
              </w:rPr>
            </w:pPr>
          </w:p>
        </w:tc>
      </w:tr>
      <w:tr>
        <w:trPr>
          <w:trHeight w:val="16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4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114,850</w:t>
            </w:r>
          </w:p>
        </w:tc>
        <w:tc>
          <w:tcPr>
            <w:tcW w:w="140" w:type="dxa"/>
            <w:vAlign w:val="bottom"/>
          </w:tcPr>
          <w:p>
            <w:pPr>
              <w:spacing w:after="0"/>
              <w:rPr>
                <w:sz w:val="14"/>
                <w:szCs w:val="14"/>
                <w:color w:val="auto"/>
              </w:rPr>
            </w:pP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114,850</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(1,348 )</w:t>
            </w:r>
          </w:p>
        </w:tc>
        <w:tc>
          <w:tcPr>
            <w:tcW w:w="11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(1,348 )</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4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9,132</w:t>
            </w:r>
          </w:p>
        </w:tc>
        <w:tc>
          <w:tcPr>
            <w:tcW w:w="1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9,132</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4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244</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(244 )</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shares withheld for taxes</w:t>
            </w:r>
          </w:p>
        </w:tc>
        <w:tc>
          <w:tcPr>
            <w:tcW w:w="4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(4,076 )</w:t>
            </w:r>
          </w:p>
        </w:tc>
        <w:tc>
          <w:tcPr>
            <w:tcW w:w="140" w:type="dxa"/>
            <w:vAlign w:val="bottom"/>
          </w:tcPr>
          <w:p>
            <w:pPr>
              <w:spacing w:after="0"/>
              <w:rPr>
                <w:sz w:val="15"/>
                <w:szCs w:val="15"/>
                <w:color w:val="auto"/>
              </w:rPr>
            </w:pP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(4,076 )</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4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(1,361 )</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(81,488 )</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(82,849 )</w:t>
            </w:r>
          </w:p>
        </w:tc>
        <w:tc>
          <w:tcPr>
            <w:tcW w:w="0" w:type="dxa"/>
            <w:vAlign w:val="bottom"/>
          </w:tcPr>
          <w:p>
            <w:pPr>
              <w:spacing w:after="0"/>
              <w:rPr>
                <w:sz w:val="1"/>
                <w:szCs w:val="1"/>
                <w:color w:val="auto"/>
              </w:rPr>
            </w:pPr>
          </w:p>
        </w:tc>
      </w:tr>
      <w:tr>
        <w:trPr>
          <w:trHeight w:val="175"/>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183</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(1 )</w:t>
            </w:r>
          </w:p>
        </w:tc>
        <w:tc>
          <w:tcPr>
            <w:tcW w:w="11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6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January 29, 2022</w:t>
            </w:r>
          </w:p>
        </w:tc>
        <w:tc>
          <w:tcPr>
            <w:tcW w:w="4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827</w:t>
            </w:r>
          </w:p>
        </w:tc>
        <w:tc>
          <w:tcPr>
            <w:tcW w:w="1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14,256</w:t>
            </w:r>
          </w:p>
        </w:tc>
        <w:tc>
          <w:tcPr>
            <w:tcW w:w="1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291,444</w:t>
            </w: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350,206</w:t>
            </w:r>
          </w:p>
        </w:tc>
        <w:tc>
          <w:tcPr>
            <w:tcW w:w="14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(36,408 )</w:t>
            </w:r>
          </w:p>
        </w:tc>
        <w:tc>
          <w:tcPr>
            <w:tcW w:w="118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(17,857 )</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602,468</w:t>
            </w:r>
          </w:p>
        </w:tc>
        <w:tc>
          <w:tcPr>
            <w:tcW w:w="0" w:type="dxa"/>
            <w:vAlign w:val="bottom"/>
          </w:tcPr>
          <w:p>
            <w:pPr>
              <w:spacing w:after="0"/>
              <w:rPr>
                <w:sz w:val="1"/>
                <w:szCs w:val="1"/>
                <w:color w:val="auto"/>
              </w:rPr>
            </w:pPr>
          </w:p>
        </w:tc>
      </w:tr>
      <w:tr>
        <w:trPr>
          <w:trHeight w:val="16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4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71,915</w:t>
            </w:r>
          </w:p>
        </w:tc>
        <w:tc>
          <w:tcPr>
            <w:tcW w:w="140" w:type="dxa"/>
            <w:vAlign w:val="bottom"/>
          </w:tcPr>
          <w:p>
            <w:pPr>
              <w:spacing w:after="0"/>
              <w:rPr>
                <w:sz w:val="14"/>
                <w:szCs w:val="14"/>
                <w:color w:val="auto"/>
              </w:rPr>
            </w:pP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71,915</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(4,803 )</w:t>
            </w:r>
          </w:p>
        </w:tc>
        <w:tc>
          <w:tcPr>
            <w:tcW w:w="11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(4,803 )</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4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14,017</w:t>
            </w:r>
          </w:p>
        </w:tc>
        <w:tc>
          <w:tcPr>
            <w:tcW w:w="1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14,017</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4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316</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shares withheld for taxes</w:t>
            </w:r>
          </w:p>
        </w:tc>
        <w:tc>
          <w:tcPr>
            <w:tcW w:w="4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(3,942 )</w:t>
            </w:r>
          </w:p>
        </w:tc>
        <w:tc>
          <w:tcPr>
            <w:tcW w:w="140" w:type="dxa"/>
            <w:vAlign w:val="bottom"/>
          </w:tcPr>
          <w:p>
            <w:pPr>
              <w:spacing w:after="0"/>
              <w:rPr>
                <w:sz w:val="15"/>
                <w:szCs w:val="15"/>
                <w:color w:val="auto"/>
              </w:rPr>
            </w:pP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(3,942 )</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4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(1,380 )</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(71,309 )</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(72,689 )</w:t>
            </w:r>
          </w:p>
        </w:tc>
        <w:tc>
          <w:tcPr>
            <w:tcW w:w="0" w:type="dxa"/>
            <w:vAlign w:val="bottom"/>
          </w:tcPr>
          <w:p>
            <w:pPr>
              <w:spacing w:after="0"/>
              <w:rPr>
                <w:sz w:val="1"/>
                <w:szCs w:val="1"/>
                <w:color w:val="auto"/>
              </w:rPr>
            </w:pPr>
          </w:p>
        </w:tc>
      </w:tr>
      <w:tr>
        <w:trPr>
          <w:trHeight w:val="175"/>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6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January 28, 2023</w:t>
            </w:r>
          </w:p>
        </w:tc>
        <w:tc>
          <w:tcPr>
            <w:tcW w:w="4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815</w:t>
            </w:r>
          </w:p>
        </w:tc>
        <w:tc>
          <w:tcPr>
            <w:tcW w:w="1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13,089</w:t>
            </w:r>
          </w:p>
        </w:tc>
        <w:tc>
          <w:tcPr>
            <w:tcW w:w="1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305,260</w:t>
            </w: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346,870</w:t>
            </w:r>
          </w:p>
        </w:tc>
        <w:tc>
          <w:tcPr>
            <w:tcW w:w="14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(41,211 )</w:t>
            </w:r>
          </w:p>
        </w:tc>
        <w:tc>
          <w:tcPr>
            <w:tcW w:w="118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(17,857 )</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606,966</w:t>
            </w:r>
          </w:p>
        </w:tc>
        <w:tc>
          <w:tcPr>
            <w:tcW w:w="0" w:type="dxa"/>
            <w:vAlign w:val="bottom"/>
          </w:tcPr>
          <w:p>
            <w:pPr>
              <w:spacing w:after="0"/>
              <w:rPr>
                <w:sz w:val="1"/>
                <w:szCs w:val="1"/>
                <w:color w:val="auto"/>
              </w:rPr>
            </w:pPr>
          </w:p>
        </w:tc>
      </w:tr>
      <w:tr>
        <w:trPr>
          <w:trHeight w:val="16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(16,827 )</w:t>
            </w:r>
          </w:p>
        </w:tc>
        <w:tc>
          <w:tcPr>
            <w:tcW w:w="140" w:type="dxa"/>
            <w:vAlign w:val="bottom"/>
          </w:tcPr>
          <w:p>
            <w:pPr>
              <w:spacing w:after="0"/>
              <w:rPr>
                <w:sz w:val="14"/>
                <w:szCs w:val="14"/>
                <w:color w:val="auto"/>
              </w:rPr>
            </w:pP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(16,827 )</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1,587</w:t>
            </w:r>
          </w:p>
        </w:tc>
        <w:tc>
          <w:tcPr>
            <w:tcW w:w="11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1,587</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4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14,014</w:t>
            </w:r>
          </w:p>
        </w:tc>
        <w:tc>
          <w:tcPr>
            <w:tcW w:w="1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14,014</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4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296</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shares withheld for taxes</w:t>
            </w:r>
          </w:p>
        </w:tc>
        <w:tc>
          <w:tcPr>
            <w:tcW w:w="4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1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(2,249 )</w:t>
            </w:r>
          </w:p>
        </w:tc>
        <w:tc>
          <w:tcPr>
            <w:tcW w:w="140" w:type="dxa"/>
            <w:vAlign w:val="bottom"/>
          </w:tcPr>
          <w:p>
            <w:pPr>
              <w:spacing w:after="0"/>
              <w:rPr>
                <w:sz w:val="15"/>
                <w:szCs w:val="15"/>
                <w:color w:val="auto"/>
              </w:rPr>
            </w:pP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(2,249 )</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repurchased, including excise tax</w:t>
            </w:r>
          </w:p>
        </w:tc>
        <w:tc>
          <w:tcPr>
            <w:tcW w:w="4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(1,261 )</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(31,028 )</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(32,289 )</w:t>
            </w:r>
          </w:p>
        </w:tc>
        <w:tc>
          <w:tcPr>
            <w:tcW w:w="0" w:type="dxa"/>
            <w:vAlign w:val="bottom"/>
          </w:tcPr>
          <w:p>
            <w:pPr>
              <w:spacing w:after="0"/>
              <w:rPr>
                <w:sz w:val="1"/>
                <w:szCs w:val="1"/>
                <w:color w:val="auto"/>
              </w:rPr>
            </w:pPr>
          </w:p>
        </w:tc>
      </w:tr>
      <w:tr>
        <w:trPr>
          <w:trHeight w:val="175"/>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79</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3, 2024</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813</w:t>
            </w: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11,961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319,143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296,766</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(39,624 ) $</w:t>
            </w: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(17,857 ) $</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571,202</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8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Genesco Inc. and its subsidiaries business includes the sourcing and design, marketing and distribution of footwear, apparel and accessories through retail stores in the U.S., Puerto Rico and Canada primarily under the Journeys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Journeys Kidz</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Little Burgundy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banners and under the Schuh banner in the U.K. and the ROI; through catalogs and e-commerce websites including the following: journeys.com, journeyskidz.com, journeys.ca, schuh.co.uk, schuh.ie, schuh.eu, littleburgundyshoes.com, johnstonmurphy.com, johnstonmurphy.ca, nashvilleshoewarehouse.com and dockersshoes.com and at wholesale, primarily under our Johnston &amp; Murphy brand, the licensed Dockers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the licensed Levi's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the licensed G.H. Bass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other brands that we license for footwear. At February 3, 2024, we operated 1,341 retail stores in the U.S., Puerto Rico, Canada, the U.K. and the ROI.</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2024, we operated four reportable business segments (not including corporate): (i) Journeys Group, comprised of the Journeys, Journeys Kidz and Little Burgundy retail footwear chains and e-commerce operations; (ii) Schuh Group, comprised of the Schuh retail footwear chain and e-commerce operations; (iii) Johnston &amp; Murphy Group, comprised of Johnston &amp; Murphy retail operations, e-commerce operations and wholesale distribution of products under the Johnston &amp; Murphy brand; and (iv) Genesco Brands Group, comprised of the licensed Dockers, Levi's, and G.H. Bass brands, as well as other brands we license for footwear.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subsidiaries are consolidated in our Consolidated Financial Statements. All significant intercompany transactions and accounts have been eliminated.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fiscal year ends on the Saturday closest to January 31. This reporting schedule is followed by many national retail companies and typically results in a 52-week fiscal year, but occasionally will contain an additional week resulting in a 53-week fiscal year. The periods presented in these financial statements each consisted of 52 weeks, except for Fiscal 2024, which consisted of 53 weeks. Fiscal 2024 ended on February 3, 2024, Fiscal 2023 ended on January 28, 2023 and Fiscal 2022 ended on January 29, 2022.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foreign subsidiaries held cash of approximately $23.2 million and $35.9 million as of February 3, 2024 and January 28, 2023, respectively, which is included in cash on the Consolidated Balance Sheets. Based upon evaluation of our worldwide operations and specific plans to remit foreign earnings back to the U.S., we can no longer assert that earnings from certain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 will be indefinitely reinvested and have recorded U.S. taxes in accordance with applicable U.S. tax rules and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payments due from banks for customer credit cards are classified as cash, as they generally settle within 24-48 hours.</w:t>
      </w:r>
    </w:p>
    <w:p>
      <w:pPr>
        <w:spacing w:after="0" w:line="18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At February 3, 2024 and January 28, 2023, outstanding checks drawn on zero-balance accounts at certain domestic banks exceeded book cash balances at those banks by approximately $3.3 million and $6.0 million, respectively. These amounts are included in accounts payable in our Consolidated Balance Sheets.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Allowances on Accounts Receivable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wholesale businesses sell primarily to independent retailers and department stores across the United States. Receivables arising from these sales are not collateralized. Customer credit risk is affected by conditions or occurrences within the economy and the retail industry as well as by customer specific factors. In the wholesale businesses, one customer accounted for 18%, one customer accounted for 16%, one customer accounted for 11% and one customer accounted for 10% of our total trade receivables balance, while no other customer accounted for more than 8% of our total trade receivables balance as of February 3, 2024.</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establish an allowance for doubtful accounts based upon factors surrounding the credit risk of specific customers, historical trends and other information, as well as customer specific factors. We also establish allowances for sales returns, customer deductions and co-op advertising based on specific circumstances, historical trends and projected probable outcomes.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footwear wholesale operations and our Schuh Group segment, cost for inventory that we own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Inherent in the retail inventory method are subjective judgments and estimates,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and analyze markdown requirements at the stock number level based on factors such as inventory turn, average selling price and inventory age. In addition, we accrue markdowns as necessary. These additional markdown accruals reflect all of the above factors as well as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current agreements to return products to vendors and vendor agreements to provide markdown support. In addition to markdown allowances, we maintain reserves for shrinkage and damaged goods based on historical rates.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 overstatement or understatement of inventory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or amortized over the estimated useful life of related assets. Depreciation and amortization expense are computed principally by the straight-line method over the following estimated useful lives: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 and building equipment</w:t>
            </w:r>
          </w:p>
        </w:tc>
        <w:tc>
          <w:tcPr>
            <w:tcW w:w="4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 years</w:t>
            </w:r>
          </w:p>
        </w:tc>
      </w:tr>
      <w:tr>
        <w:trPr>
          <w:trHeight w:val="238"/>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software and equipment</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approximately $48.9 million, $42.3 million and $42.4 million for Fiscal 2024,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lease assets and corresponding lease liabilities for all operating leases on the Consolidated Balance Sheets as described under ASC 842. We evaluate renewal options and break options at lease inception and on an ongoing basis and include renewal options and break options that we are reasonably certain to exercise in our expected lease terms for calculations of the right-of-use assets and liabilities. Approximately 3% of our leases contain renewal options. To determine the present value of lease payments not yet paid, we estimate incremental borrowing rates corresponding to the reasonably certain lease term. As most of our leases do not provide a determinable implicit rate, we estimate our collateralized incremental borrowing rate based upon a synthetic credit rating and yield curve analysis at the lease commencement or modification date in determining the present value of lease payments. For lease payments in foreign currencies, the incremental borrowing rate is adjusted to be reflective of the risk associated with the respective currency. Operating lease assets represent our right to use an underlying asset and are based upon the operating lease liabilities adjusted for prepayments or accrued lease payments, initial direct costs, lease incentives, and impairment, if any, of operating lease assets. We test right-of-use assets for impairment in the same manner as long-lived assets.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lease costs are included within selling and administrative expenses on the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An asset retirement obligation represents a legal obligation associated with the retirement of a tangible long-lived asset that is incurred upon the acquisition, construction, development, or normal operation of that long-lived asset. Our asset retirement obligations are primarily associated with leasehold improvements that we are contractually obligated to remove at the end of a lease to comply with the lease agreement. We recognize asset retirement obligations at the inception of a lease with such</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conditions if a reasonable estimate of fair value can be made. Asset retirement obligations are recorded in other long-term liabilities in our Consolidated Balance Sheets and are subsequently adjusted for changes in estimated asset retirement obligations. The associated estimated asset retirement costs are capitalized as part of the carrying amount of the long-lived asset and depreciated over its useful life.</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Consolidated Balance Sheets include asset retirement obligations related to leases of $11.0 million and $10.8 million as of February 3, 2024 and January 28,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assess the realizability of our long-lived assets, other than goodwill, and evaluate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 impairment are subjective judgments about future cash flows. Failure to make appropriate conclusions regarding these judgments may result in an overstatement or understatement of the value of long-lived assets.</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annually assess our goodwill and indefinite lived trade names for impairment and on an interim basis if indicators of impairment are present. Our annual assessment date of goodwill and indefinite lived trade names is the first day of the fourth quarter.</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 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Fair Value Measurements and Disclosures Topic of the Codification defines fair value, establishes a framework for measuring fair value in accordance with generally accepted accounting principles and expands disclosures about fair value measurements. This Topic defines fair value as the exchange price that would be received for an asset or paid to transfer a liability (an exit price) in the principal or most advantageous market for the asset or liability in an orderly transaction between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20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market participants on the measurement date. It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8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 financial asset or liability’s classification within the hierarchy is determined based on the lowest level input that is significant to the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is recognized upon satisfaction of all contractual performance obligations and transfer of control to the customer. Revenue is measured as the amount of consideration we expect to be entitled to in exchange for corresponding goods. The majority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We exclude sales and value added tax collected on behalf of third parties from transaction price.</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provision for estimated returns is provided through a reduction of sales and cost of goods sold in the period that the related sales are recorded. Estimated returns are based on historical returns and claims. Actual returns and claims in any future period may differ from historical experience. Revenue from gift cards is deferred and recognized upon the redemption of the cards. These cards have no expiration date. Income from unredeemed cards is recognized on the Consolidated Statements of Operations within net sales in proportion to the pattern of rights exercised by the customer in future periods. We perform an evaluation of historical redemption patterns from the date of original issuance to estimate future period redemption activity.</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Consolidated Balance Sheets include an accrued liability for gift cards of $5.6 million and $6.0 million as of February 3, 2024 and January 28, 2023, respectively. Gift card breakage recognized as revenue was $1.1 million, $1.0 million and $1.0 million for Fiscal 2024, 2023 and 2022, respectively. During Fiscal 2024, we recognized $3.7 million of gift card redemptions and gift card breakage revenue that were included in the gift card liability as of January 28, 2023.</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our retail operations, the cost of sales includes actual product cost, the cost of transportation to our warehouses from suppliers, the cost of transportation from our warehouses to the stores and the cost of transportation from our warehouses to the customer. Additionally, the cost of our distribution facilities allocated to our retail operations is included in cost of sales.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wholesale operations, the cost of sales includes the actual product cost and the cost of transportation to the Company’s warehouses from suppliers.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and administrative expenses include all operating costs excluding (i) those related to the transportation of products from the supplier to the warehouse, (ii) for our retail operations, those related to the transportation of products from the warehouse to the store and from the warehouse to the customer and (iii) costs of our distribution facilities which are allocated to our retail operations. Wholesale costs of distribution are included in selling and administrative expenses on our Consolidated Statements of Operations in the amounts of $12.1 million, $12.4 million and $12.8 million for Fiscal 2024, 2023 and 2022, respectively.</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record buying, merchandising and occupancy costs in selling and administrative expense. Because we do not include these costs in cost of sales, our gross margin may not be comparable to other retailers that include these costs in the calculation of gross margin. Retail occupancy costs recorded in selling and administrative expense were $309.8 million, $307.5 million and $299.6 million for Fiscal 2024, 2023 and 2022,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Shipping and handling costs related to inventory purchased from suppliers are included in the cost of inventory and are charged to cost of sales in the period that the inventory is sold. All other shipping and handling costs are charged to cost of sales in the period incurred except for wholesale costs of distribution and shipping costs for product shipped from stores, which are included in selling and administrative expenses in our Consolidated Statements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Advertising costs are predominantly expensed as incurred. Advertising costs were $124.7 million, $118.5 million and $106.4 million for Fiscal 2024,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 to Resellers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our wholesale businesses, we do not have any written buy-down programs with retailers, but we have provided certain retailers with markdown allowances for obsolete and slow-moving products that are in the retailer’s inventory. We estimate these allowances and provide for them as reductions to revenues at the time revenues are recorded. Markdowns are negotiated with retailers and changes are made to the estimates as agreements are reached. Actual amounts for markdowns have not differed materially from estimates.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Cooperative Advertising</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Cooperative advertising funds are made available to most of our wholesale footwear customers. In order for retailers to receive reimbursement under such programs, the retailer must meet specified advertising guidelines and provide appropriate documentation of expenses to be reimbursed. Our cooperative advertising agreements require that wholesale customers present documentation or other evidence of specific advertisements or display materials used for our products by submitting the actual print advertisements presented in catalogs, newspaper inserts or other advertising circulars, or by permitting physical inspection of displays. Additionally, our cooperative advertising agreements require that the amount of reimbursement requested for such advertising or materials be supported by invoices or other evidence of the actual costs incurred by the retailer.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From time to time, we negotiate allowances from our vendors for markdowns taken or expected to be taken. These markdowns are typically negotiated on specific merchandise and for specific amounts. These specific allowances are recognized as a reduction in cost of sales in the period in which the markdowns are taken. Markdown allowances not attached to specific inventory on hand or already sold are applied to concurrent or future purchases from each respective vendor.</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support from some of our vendors in the form of reimbursements for cooperative advertising and catalog costs for the launch and promotion of certain products. The reimbursements are agreed upon with vendors and represent specific, incremental, identifiable costs incurred by us to sell the vendor’s specific products. Such costs and the related reimbursements are accumulated and monitored on an individual vendor basis, pursuant to the respective cooperative advertising agreements with vendors. Such cooperative advertising reimbursements are recorded as a reduction of selling and administrative expenses in the same period in which the associated expense is incurred. If the amount of cash consideration received exceeds the costs being reimbursed, such excess amount would be recorded as a reduction of cost of sales.</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Vendor reimbursements of cooperative advertising costs recognized as a reduction of selling and administrative expenses were $13.1 million, $16.3 million and $10.7 million for Fiscal 2024, 2023 and 2022, respectively. During Fiscal 2024, 2023 and 2022, our vendor reimbursements of cooperative advertising received were not in excess of the costs incurred.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share-based compensation plan, the Genesco Inc. Amended and Restated 2020 Equity Incentive Plan (the "2020 Plan"), which became effective June 25, 2020 and amended and restated June 22, 2023. Under the 2020 Plan, we may grant non-qualified stock options, restricted stock awards ("RSAs"), restricted stock units ("RSUs") and performance-based share units ("PSUs") and other stock-based awards to our key employees, non-employee directors and consultants. Outstanding PSUs are subject to performance conditions that include either total Company performance metrics or business unit performance metrics along with a requirement that a recipient's service with the Company continue through the end of the performance period. The fair value of RSAs, RSUs and PSUs is determined based on the closing price of our common stock on the date of grant. Forfeitures for these awards are recognized as they occur. Compensation expense for RSAs, RSUs and PSUs, net of forfeitures, is recognized on a straight-line basis over the requisite service period. For PSUs, at the end of each reporting period compensation expense is updated for our expected performance level against the performance goals, which involves judgment as to the achievement of certain performance metrics.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of our foreign operations is the applicable local currency. The translation of the applicable foreign currency into U.S. dollars is performed for balance sheet accounts using current exchange rates in effect at the balance sheet date. Income and expense accounts are translated at monthly average exchange rates. The unearned gains and losses resulting from such translation are included as a separate component of accumulated other comprehensive loss within shareholders' equity. Gains and losses from certain foreign currency transactions were not material for Fiscal 2024, 2023 and 2022.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a result of the Togast acquisition, we have a commitment to Samsung C&amp;T America, Inc. (“Samsung”) related to the ultimate sale and valuation of related inventories owned by Samsung. If the product is sold below Samsung’s cost, we are committed to Samsung for the difference between the sales price and its cost. At February 3, 2024, the related inventory owned by Samsung had a historical cost of $8.5 million. As of February 3, 2024, we believe that we have appropriately accounted for any differences between the fair value of the Samsung inventory and Samsung’s historical cost.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Pronouncements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 Improvements to Reportable Segment Disclosures." The amendment in this ASU is intended to improve reportable segment disclosure requirements primarily through enhanced disclosures about significant segment expenses. The amendments in this ASU are effective for fiscal years beginning after December 15, 2023, and interim periods within fiscal years beginning after December 15, 2024, and should be applied on a retrospective basis to all periods presented. We are currently evaluating the impact of adoption on our Consolidated Financial Statements and related disclosures.</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for annual financial statements that have not yet been issued. The amendments should be applied on a prospective basis although retrospective application is permitted. We are currently evaluating the impact of adoption on our Consolidated Financial Statements and related disclosures.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 and Other Intangible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2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Genesco</w:t>
            </w: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16"/>
        </w:trPr>
        <w:tc>
          <w:tcPr>
            <w:tcW w:w="4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Journeys</w:t>
            </w:r>
          </w:p>
        </w:tc>
        <w:tc>
          <w:tcPr>
            <w:tcW w:w="50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Brands</w:t>
            </w:r>
          </w:p>
        </w:tc>
        <w:tc>
          <w:tcPr>
            <w:tcW w:w="4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r>
      <w:tr>
        <w:trPr>
          <w:trHeight w:val="241"/>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Group</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Group</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Goodwill</w:t>
            </w: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January 28, 2023</w:t>
            </w:r>
          </w:p>
        </w:tc>
        <w:tc>
          <w:tcPr>
            <w:tcW w:w="22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9,662</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28,461</w:t>
            </w:r>
          </w:p>
        </w:tc>
        <w:tc>
          <w:tcPr>
            <w:tcW w:w="4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38,123</w:t>
            </w:r>
          </w:p>
        </w:tc>
      </w:tr>
      <w:tr>
        <w:trPr>
          <w:trHeight w:val="23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220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(28,453 )</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(28,453 )</w:t>
            </w:r>
          </w:p>
        </w:tc>
      </w:tr>
      <w:tr>
        <w:trPr>
          <w:trHeight w:val="243"/>
        </w:trPr>
        <w:tc>
          <w:tcPr>
            <w:tcW w:w="48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22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(97 )</w:t>
            </w:r>
          </w:p>
        </w:tc>
        <w:tc>
          <w:tcPr>
            <w:tcW w:w="5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(8 )</w:t>
            </w:r>
          </w:p>
        </w:tc>
        <w:tc>
          <w:tcPr>
            <w:tcW w:w="4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38"/>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3, 2024</w:t>
            </w:r>
          </w:p>
        </w:tc>
        <w:tc>
          <w:tcPr>
            <w:tcW w:w="2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9,565</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9,565</w:t>
            </w: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Valuation (Genesco Brands Group)</w:t>
      </w:r>
    </w:p>
    <w:p>
      <w:pPr>
        <w:spacing w:after="0" w:line="4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required under ASC 350, "Intangibles - Goodwill and Other," we annually assess our goodwill and indefinite lived trade names for impairment and on an interim basis if indicators of impairment are present. Our annual assessment date of goodwill and indefinite lived trade names is the first day of the fourth quarter. In accordance with ASC 350, when indicators of impairment are present on an interim basis, we must assess whether it is “more likely than not” (i.e., a greater than 50% chance) that an impairment has occurred.</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a dispute during the second quarter of Fiscal 2024 with a Genesco Brands Group licensor regarding renewal of their current license in the normal course which was resolved in Fiscal 2025, and based on the requirements of ASC 350, we identified indicators of impairment in the second quarter of Fiscal 2024 and determined that it was "more likely than not" that an impairment had occurred and performed a full valuation of our Togast reporting unit. Consistent with our Fiscal 2023 annual assessment, our analyses included preparing an income approach and a market approach model. The fair value estimates under the income approach are sensitive to significant assumptions required to develop prospective financial information related to growth rates in sales, costs, and estimates of future expected changes in operating margins. Other significant assumptions relate to estimating the weighted average cost of capital utilized for discounting cash flow estimates and terminal period growth rates. These significant assumptions are affected by expectations about future market or economic conditions. The market approach model considers valuations of comparable companies as an input in the determination of the value of the reporting unit.</w:t>
      </w:r>
    </w:p>
    <w:p>
      <w:pPr>
        <w:spacing w:after="0" w:line="18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Based upon the results of these analyses, we concluded the goodwill attributed to Togast was fully impaired. As a result, we recorded a non-cash impairment charge of $28.5 million in the second quarter of Fiscal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 and Other Intangible Assets, Continued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intangibles by major classes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9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24"/>
                <w:szCs w:val="24"/>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Customer Lists</w:t>
            </w:r>
            <w:r>
              <w:rPr>
                <w:rFonts w:ascii="Times New Roman" w:cs="Times New Roman" w:eastAsia="Times New Roman" w:hAnsi="Times New Roman"/>
                <w:sz w:val="24"/>
                <w:szCs w:val="24"/>
                <w:b w:val="1"/>
                <w:bCs w:val="1"/>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4"/>
                <w:szCs w:val="24"/>
                <w:b w:val="1"/>
                <w:bCs w:val="1"/>
                <w:color w:val="auto"/>
                <w:vertAlign w:val="superscript"/>
              </w:rPr>
              <w:t>(3)</w:t>
            </w:r>
          </w:p>
        </w:tc>
        <w:tc>
          <w:tcPr>
            <w:tcW w:w="7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tcPr>
          <w:p>
            <w:pPr>
              <w:spacing w:after="0"/>
              <w:rPr>
                <w:sz w:val="23"/>
                <w:szCs w:val="23"/>
                <w:color w:val="auto"/>
              </w:rPr>
            </w:pPr>
          </w:p>
        </w:tc>
      </w:tr>
      <w:tr>
        <w:trPr>
          <w:trHeight w:val="200"/>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Feb. 3,</w:t>
            </w:r>
          </w:p>
        </w:tc>
        <w:tc>
          <w:tcPr>
            <w:tcW w:w="320" w:type="dxa"/>
            <w:vAlign w:val="bottom"/>
          </w:tcPr>
          <w:p>
            <w:pPr>
              <w:spacing w:after="0"/>
              <w:rPr>
                <w:sz w:val="17"/>
                <w:szCs w:val="17"/>
                <w:color w:val="auto"/>
              </w:rPr>
            </w:pPr>
          </w:p>
        </w:tc>
        <w:tc>
          <w:tcPr>
            <w:tcW w:w="760" w:type="dxa"/>
            <w:vAlign w:val="bottom"/>
          </w:tcPr>
          <w:p>
            <w:pPr>
              <w:jc w:val="right"/>
              <w:ind w:right="50"/>
              <w:spacing w:after="0" w:line="201" w:lineRule="exact"/>
              <w:rPr>
                <w:sz w:val="20"/>
                <w:szCs w:val="20"/>
                <w:color w:val="auto"/>
              </w:rPr>
            </w:pPr>
            <w:r>
              <w:rPr>
                <w:rFonts w:ascii="Times New Roman" w:cs="Times New Roman" w:eastAsia="Times New Roman" w:hAnsi="Times New Roman"/>
                <w:sz w:val="18"/>
                <w:szCs w:val="18"/>
                <w:color w:val="auto"/>
              </w:rPr>
              <w:t>Jan. 28,</w:t>
            </w:r>
          </w:p>
        </w:tc>
        <w:tc>
          <w:tcPr>
            <w:tcW w:w="300" w:type="dxa"/>
            <w:vAlign w:val="bottom"/>
          </w:tcPr>
          <w:p>
            <w:pPr>
              <w:spacing w:after="0"/>
              <w:rPr>
                <w:sz w:val="17"/>
                <w:szCs w:val="17"/>
                <w:color w:val="auto"/>
              </w:rPr>
            </w:pPr>
          </w:p>
        </w:tc>
        <w:tc>
          <w:tcPr>
            <w:tcW w:w="78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Feb. 3,</w:t>
            </w:r>
          </w:p>
        </w:tc>
        <w:tc>
          <w:tcPr>
            <w:tcW w:w="240" w:type="dxa"/>
            <w:vAlign w:val="bottom"/>
          </w:tcPr>
          <w:p>
            <w:pPr>
              <w:spacing w:after="0"/>
              <w:rPr>
                <w:sz w:val="17"/>
                <w:szCs w:val="17"/>
                <w:color w:val="auto"/>
              </w:rPr>
            </w:pPr>
          </w:p>
        </w:tc>
        <w:tc>
          <w:tcPr>
            <w:tcW w:w="800" w:type="dxa"/>
            <w:vAlign w:val="bottom"/>
          </w:tcPr>
          <w:p>
            <w:pPr>
              <w:jc w:val="right"/>
              <w:ind w:right="90"/>
              <w:spacing w:after="0" w:line="201" w:lineRule="exact"/>
              <w:rPr>
                <w:sz w:val="20"/>
                <w:szCs w:val="20"/>
                <w:color w:val="auto"/>
              </w:rPr>
            </w:pPr>
            <w:r>
              <w:rPr>
                <w:rFonts w:ascii="Times New Roman" w:cs="Times New Roman" w:eastAsia="Times New Roman" w:hAnsi="Times New Roman"/>
                <w:sz w:val="18"/>
                <w:szCs w:val="18"/>
                <w:color w:val="auto"/>
              </w:rPr>
              <w:t>Jan. 28,</w:t>
            </w:r>
          </w:p>
        </w:tc>
        <w:tc>
          <w:tcPr>
            <w:tcW w:w="240" w:type="dxa"/>
            <w:vAlign w:val="bottom"/>
          </w:tcPr>
          <w:p>
            <w:pPr>
              <w:spacing w:after="0"/>
              <w:rPr>
                <w:sz w:val="17"/>
                <w:szCs w:val="17"/>
                <w:color w:val="auto"/>
              </w:rPr>
            </w:pPr>
          </w:p>
        </w:tc>
        <w:tc>
          <w:tcPr>
            <w:tcW w:w="78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Feb. 3,</w:t>
            </w:r>
          </w:p>
        </w:tc>
        <w:tc>
          <w:tcPr>
            <w:tcW w:w="280" w:type="dxa"/>
            <w:vAlign w:val="bottom"/>
          </w:tcPr>
          <w:p>
            <w:pPr>
              <w:spacing w:after="0"/>
              <w:rPr>
                <w:sz w:val="17"/>
                <w:szCs w:val="17"/>
                <w:color w:val="auto"/>
              </w:rPr>
            </w:pPr>
          </w:p>
        </w:tc>
        <w:tc>
          <w:tcPr>
            <w:tcW w:w="74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Jan. 28,</w:t>
            </w:r>
          </w:p>
        </w:tc>
        <w:tc>
          <w:tcPr>
            <w:tcW w:w="260" w:type="dxa"/>
            <w:vAlign w:val="bottom"/>
          </w:tcPr>
          <w:p>
            <w:pPr>
              <w:spacing w:after="0"/>
              <w:rPr>
                <w:sz w:val="17"/>
                <w:szCs w:val="17"/>
                <w:color w:val="auto"/>
              </w:rPr>
            </w:pPr>
          </w:p>
        </w:tc>
        <w:tc>
          <w:tcPr>
            <w:tcW w:w="76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Feb. 3,</w:t>
            </w:r>
          </w:p>
        </w:tc>
        <w:tc>
          <w:tcPr>
            <w:tcW w:w="300" w:type="dxa"/>
            <w:vAlign w:val="bottom"/>
          </w:tcPr>
          <w:p>
            <w:pPr>
              <w:spacing w:after="0"/>
              <w:rPr>
                <w:sz w:val="17"/>
                <w:szCs w:val="17"/>
                <w:color w:val="auto"/>
              </w:rPr>
            </w:pPr>
          </w:p>
        </w:tc>
        <w:tc>
          <w:tcPr>
            <w:tcW w:w="780" w:type="dxa"/>
            <w:vAlign w:val="bottom"/>
          </w:tcPr>
          <w:p>
            <w:pPr>
              <w:jc w:val="right"/>
              <w:ind w:right="30"/>
              <w:spacing w:after="0" w:line="201" w:lineRule="exact"/>
              <w:rPr>
                <w:sz w:val="20"/>
                <w:szCs w:val="20"/>
                <w:color w:val="auto"/>
              </w:rPr>
            </w:pPr>
            <w:r>
              <w:rPr>
                <w:rFonts w:ascii="Times New Roman" w:cs="Times New Roman" w:eastAsia="Times New Roman" w:hAnsi="Times New Roman"/>
                <w:sz w:val="18"/>
                <w:szCs w:val="18"/>
                <w:color w:val="auto"/>
              </w:rPr>
              <w:t>Jan. 28,</w:t>
            </w:r>
          </w:p>
        </w:tc>
      </w:tr>
      <w:tr>
        <w:trPr>
          <w:trHeight w:val="245"/>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r>
      <w:tr>
        <w:trPr>
          <w:trHeight w:val="243"/>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other intangibles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24,464</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24,077</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6,501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6,475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400</w:t>
            </w:r>
          </w:p>
        </w:tc>
        <w:tc>
          <w:tcPr>
            <w:tcW w:w="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31,365</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30,952</w:t>
            </w:r>
          </w:p>
        </w:tc>
      </w:tr>
      <w:tr>
        <w:trPr>
          <w:trHeight w:val="240"/>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(3,715 )</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(3,122 )</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(400 )</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(4,115 )</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(3,522 )</w:t>
            </w:r>
          </w:p>
        </w:tc>
      </w:tr>
      <w:tr>
        <w:trPr>
          <w:trHeight w:val="276"/>
        </w:trPr>
        <w:tc>
          <w:tcPr>
            <w:tcW w:w="2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 net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24,464</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24,077</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2,786</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3,353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27,250</w:t>
            </w: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27,430</w:t>
            </w:r>
          </w:p>
        </w:tc>
      </w:tr>
    </w:tbl>
    <w:p>
      <w:pPr>
        <w:spacing w:after="0" w:line="159"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a $21.3 million trademark at February 3, 2024 related to Schuh Group and $3.2 million related to Journeys Group.</w:t>
      </w:r>
    </w:p>
    <w:p>
      <w:pPr>
        <w:spacing w:after="0" w:line="10"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$5.1 million for the Togast acquisition.</w:t>
      </w:r>
    </w:p>
    <w:p>
      <w:pPr>
        <w:spacing w:after="0" w:line="10"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Backlog for Togast.</w:t>
      </w:r>
    </w:p>
    <w:p>
      <w:pPr>
        <w:spacing w:after="0" w:line="1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amortization of intangibles was $0.6 million for each of Fiscal 2024, Fiscal 2023 and Fiscal 2022. Currently, amortization of intangibles is expected to be $0.6 million for each of the next four years and $0.5 million in five years.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 Impairments and Other Charges</w:t>
      </w:r>
    </w:p>
    <w:p>
      <w:pPr>
        <w:spacing w:after="0" w:line="18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Asset impairment charges are reflected as a reduction of the net carrying value of property and equipment and operating lease right of use assets, in asset impairment and other, net in the accompanying Consolidated Statements of Operations.</w:t>
      </w:r>
    </w:p>
    <w:p>
      <w:pPr>
        <w:spacing w:after="0" w:line="13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recorded a pretax charge to earnings of $1.8 million in Fiscal 2024, including $1.1 million for severance and $1.0 million for asset impairments, partially offset by a $0.3 million insurance gain.</w:t>
      </w:r>
    </w:p>
    <w:p>
      <w:pPr>
        <w:spacing w:after="0" w:line="12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recorded a pretax charge to earnings of $0.9 million in Fiscal 2023, including $1.6 million for asset impairments, partially offset by a $0.7 million gain on the termination of our pension plan.</w:t>
      </w:r>
    </w:p>
    <w:p>
      <w:pPr>
        <w:spacing w:after="0" w:line="122"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We recorded a pretax gain to earnings of $8.1 million in Fiscal 2022, including an $18.1 million gain on the sale of a warehouse and a $0.6 million insurance gain, partially offset by $8.6 million for professional fees related to the actions of a shareholder activist and $2.0 million for asset impairments.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3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5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Inventories</w:t>
            </w:r>
          </w:p>
        </w:tc>
        <w:tc>
          <w:tcPr>
            <w:tcW w:w="2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72"/>
        </w:trPr>
        <w:tc>
          <w:tcPr>
            <w:tcW w:w="3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6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January 28, 2023</w:t>
            </w:r>
          </w:p>
        </w:tc>
      </w:tr>
      <w:tr>
        <w:trPr>
          <w:trHeight w:val="243"/>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Wholesale finished goods</w:t>
            </w:r>
          </w:p>
        </w:tc>
        <w:tc>
          <w:tcPr>
            <w:tcW w:w="32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57,678</w:t>
            </w:r>
          </w:p>
        </w:tc>
        <w:tc>
          <w:tcPr>
            <w:tcW w:w="66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84,209</w:t>
            </w:r>
          </w:p>
        </w:tc>
      </w:tr>
      <w:tr>
        <w:trPr>
          <w:trHeight w:val="240"/>
        </w:trPr>
        <w:tc>
          <w:tcPr>
            <w:tcW w:w="3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Retail merchandise</w:t>
            </w:r>
          </w:p>
        </w:tc>
        <w:tc>
          <w:tcPr>
            <w:tcW w:w="3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321,289</w:t>
            </w:r>
          </w:p>
        </w:tc>
        <w:tc>
          <w:tcPr>
            <w:tcW w:w="6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373,808</w:t>
            </w:r>
          </w:p>
        </w:tc>
      </w:tr>
      <w:tr>
        <w:trPr>
          <w:trHeight w:val="276"/>
        </w:trPr>
        <w:tc>
          <w:tcPr>
            <w:tcW w:w="370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328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378,967</w:t>
            </w:r>
          </w:p>
        </w:tc>
        <w:tc>
          <w:tcPr>
            <w:tcW w:w="66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458,017</w:t>
            </w:r>
          </w:p>
        </w:tc>
      </w:tr>
      <w:tr>
        <w:trPr>
          <w:trHeight w:val="630"/>
        </w:trPr>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60</w:t>
            </w:r>
          </w:p>
        </w:tc>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762"/>
        </w:trPr>
        <w:tc>
          <w:tcPr>
            <w:tcW w:w="8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 and Other Current Accrued Liabilities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3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5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January 28, 2023</w:t>
            </w: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34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7,092</w:t>
            </w:r>
          </w:p>
        </w:tc>
        <w:tc>
          <w:tcPr>
            <w:tcW w:w="5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7,046</w:t>
            </w:r>
          </w:p>
        </w:tc>
      </w:tr>
      <w:tr>
        <w:trPr>
          <w:trHeight w:val="24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equipment</w:t>
            </w:r>
          </w:p>
        </w:tc>
        <w:tc>
          <w:tcPr>
            <w:tcW w:w="234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75,775</w:t>
            </w:r>
          </w:p>
        </w:tc>
        <w:tc>
          <w:tcPr>
            <w:tcW w:w="50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73,707</w:t>
            </w:r>
          </w:p>
        </w:tc>
      </w:tr>
      <w:tr>
        <w:trPr>
          <w:trHeight w:val="245"/>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hardware, software and equipment</w:t>
            </w:r>
          </w:p>
        </w:tc>
        <w:tc>
          <w:tcPr>
            <w:tcW w:w="234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204,525</w:t>
            </w:r>
          </w:p>
        </w:tc>
        <w:tc>
          <w:tcPr>
            <w:tcW w:w="50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158,152</w:t>
            </w:r>
          </w:p>
        </w:tc>
      </w:tr>
      <w:tr>
        <w:trPr>
          <w:trHeight w:val="24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34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129,509</w:t>
            </w:r>
          </w:p>
        </w:tc>
        <w:tc>
          <w:tcPr>
            <w:tcW w:w="50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128,163</w:t>
            </w:r>
          </w:p>
        </w:tc>
      </w:tr>
      <w:tr>
        <w:trPr>
          <w:trHeight w:val="245"/>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34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4,613</w:t>
            </w:r>
          </w:p>
        </w:tc>
        <w:tc>
          <w:tcPr>
            <w:tcW w:w="50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36,256</w:t>
            </w:r>
          </w:p>
        </w:tc>
      </w:tr>
      <w:tr>
        <w:trPr>
          <w:trHeight w:val="24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Improvements to leased property</w:t>
            </w:r>
          </w:p>
        </w:tc>
        <w:tc>
          <w:tcPr>
            <w:tcW w:w="2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346,827</w:t>
            </w:r>
          </w:p>
        </w:tc>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340,533</w:t>
            </w:r>
          </w:p>
        </w:tc>
      </w:tr>
      <w:tr>
        <w:trPr>
          <w:trHeight w:val="238"/>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34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768,341</w:t>
            </w:r>
          </w:p>
        </w:tc>
        <w:tc>
          <w:tcPr>
            <w:tcW w:w="50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743,857</w:t>
            </w:r>
          </w:p>
        </w:tc>
      </w:tr>
      <w:tr>
        <w:trPr>
          <w:trHeight w:val="24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(528,075 )</w:t>
            </w:r>
          </w:p>
        </w:tc>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(510,124 )</w:t>
            </w:r>
          </w:p>
        </w:tc>
      </w:tr>
      <w:tr>
        <w:trPr>
          <w:trHeight w:val="276"/>
        </w:trPr>
        <w:tc>
          <w:tcPr>
            <w:tcW w:w="5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234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240,266</w:t>
            </w: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233,733</w:t>
            </w:r>
          </w:p>
        </w:tc>
      </w:tr>
      <w:tr>
        <w:trPr>
          <w:trHeight w:val="61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5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January 28, 2023</w:t>
            </w: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19,906</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15,715</w:t>
            </w:r>
          </w:p>
        </w:tc>
      </w:tr>
      <w:tr>
        <w:trPr>
          <w:trHeight w:val="24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 taxes</w:t>
            </w:r>
          </w:p>
        </w:tc>
        <w:tc>
          <w:tcPr>
            <w:tcW w:w="23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9,050</w:t>
            </w:r>
          </w:p>
        </w:tc>
        <w:tc>
          <w:tcPr>
            <w:tcW w:w="50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11,551</w:t>
            </w:r>
          </w:p>
        </w:tc>
      </w:tr>
      <w:tr>
        <w:trPr>
          <w:trHeight w:val="245"/>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23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1,242</w:t>
            </w:r>
          </w:p>
        </w:tc>
        <w:tc>
          <w:tcPr>
            <w:tcW w:w="50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2,296</w:t>
            </w:r>
          </w:p>
        </w:tc>
      </w:tr>
      <w:tr>
        <w:trPr>
          <w:trHeight w:val="24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discontinued operations</w:t>
            </w:r>
          </w:p>
        </w:tc>
        <w:tc>
          <w:tcPr>
            <w:tcW w:w="23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50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w:t>
            </w:r>
          </w:p>
        </w:tc>
      </w:tr>
      <w:tr>
        <w:trPr>
          <w:trHeight w:val="243"/>
        </w:trPr>
        <w:tc>
          <w:tcPr>
            <w:tcW w:w="5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34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44,980</w:t>
            </w:r>
          </w:p>
        </w:tc>
        <w:tc>
          <w:tcPr>
            <w:tcW w:w="50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51,229</w:t>
            </w:r>
          </w:p>
        </w:tc>
      </w:tr>
      <w:tr>
        <w:trPr>
          <w:trHeight w:val="236"/>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Current Accrued Liabilities</w:t>
            </w:r>
          </w:p>
        </w:tc>
        <w:tc>
          <w:tcPr>
            <w:tcW w:w="2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75,727</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81,327</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fair values of our financial instruments at February 3, 2024 and January 28, 2023 are: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January 28, 2023</w:t>
            </w:r>
          </w:p>
        </w:tc>
        <w:tc>
          <w:tcPr>
            <w:tcW w:w="680" w:type="dxa"/>
            <w:vAlign w:val="bottom"/>
            <w:tcBorders>
              <w:bottom w:val="single" w:sz="8" w:color="auto"/>
            </w:tcBorders>
          </w:tcPr>
          <w:p>
            <w:pPr>
              <w:spacing w:after="0"/>
              <w:rPr>
                <w:sz w:val="21"/>
                <w:szCs w:val="21"/>
                <w:color w:val="auto"/>
              </w:rPr>
            </w:pPr>
          </w:p>
        </w:tc>
      </w:tr>
      <w:tr>
        <w:trPr>
          <w:trHeight w:val="207"/>
        </w:trPr>
        <w:tc>
          <w:tcPr>
            <w:tcW w:w="38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w:t>
            </w:r>
          </w:p>
        </w:tc>
        <w:tc>
          <w:tcPr>
            <w:tcW w:w="420" w:type="dxa"/>
            <w:vAlign w:val="bottom"/>
          </w:tcPr>
          <w:p>
            <w:pPr>
              <w:spacing w:after="0"/>
              <w:rPr>
                <w:sz w:val="17"/>
                <w:szCs w:val="17"/>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Carrying</w:t>
            </w:r>
          </w:p>
        </w:tc>
        <w:tc>
          <w:tcPr>
            <w:tcW w:w="680" w:type="dxa"/>
            <w:vAlign w:val="bottom"/>
          </w:tcPr>
          <w:p>
            <w:pPr>
              <w:spacing w:after="0"/>
              <w:rPr>
                <w:sz w:val="17"/>
                <w:szCs w:val="17"/>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Fair</w:t>
            </w:r>
          </w:p>
        </w:tc>
      </w:tr>
      <w:tr>
        <w:trPr>
          <w:trHeight w:val="245"/>
        </w:trPr>
        <w:tc>
          <w:tcPr>
            <w:tcW w:w="38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6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revolver borrowings</w:t>
            </w:r>
          </w:p>
        </w:tc>
        <w:tc>
          <w:tcPr>
            <w:tcW w:w="2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34,682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34,638</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30,000</w:t>
            </w:r>
          </w:p>
        </w:tc>
        <w:tc>
          <w:tcPr>
            <w:tcW w:w="68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30,219</w:t>
            </w:r>
          </w:p>
        </w:tc>
      </w:tr>
      <w:tr>
        <w:trPr>
          <w:trHeight w:val="24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U.K. revolver borrowings</w:t>
            </w:r>
          </w:p>
        </w:tc>
        <w:tc>
          <w:tcPr>
            <w:tcW w:w="2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14,858</w:t>
            </w: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14,864</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Debt fair values were determined using a discount cash flow analysis based on current market interest rates for similar types of financial instruments and would be classified in Level 2 within the fair value hierarchy.</w:t>
      </w:r>
    </w:p>
    <w:p>
      <w:pPr>
        <w:spacing w:after="0" w:line="1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Carrying amounts reported on our Consolidated Balance Sheets for cash, receivables and accounts payable approximate fair value due to the short-term maturity of these instruments.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3, 2024, we have $0.2 million of long-lived assets held and used which were measured using Level 3 inputs within the fair value hierarchy.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3, 2024, we have $6.3 million of investments held and used which were measured using Level 1 inputs within the fair value hierarchy.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Debt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28, 2022, we entered into the Third Amendment to our Credit Facility </w:t>
      </w:r>
      <w:r>
        <w:rPr>
          <w:rFonts w:ascii="Times New Roman" w:cs="Times New Roman" w:eastAsia="Times New Roman" w:hAnsi="Times New Roman"/>
          <w:sz w:val="18"/>
          <w:szCs w:val="18"/>
          <w:color w:val="222222"/>
        </w:rPr>
        <w:t>dated as of January 31, 2018 between us, certain of our subsidiaries,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lenders party thereto and Bank of America, N.A. as agent, to, </w:t>
      </w:r>
      <w:r>
        <w:rPr>
          <w:rFonts w:ascii="Times New Roman" w:cs="Times New Roman" w:eastAsia="Times New Roman" w:hAnsi="Times New Roman"/>
          <w:sz w:val="18"/>
          <w:szCs w:val="18"/>
          <w:color w:val="000000"/>
        </w:rPr>
        <w:t>among other things, (i) extend the maturity date to January 28, 2027, (ii) remove the first in-last out term loan that was in an amount equal to $17.5 million and (iii) add certain in-transit inventory to the borrowing base, subject to customary eligibility requirements. In addition, the Third Amendment makes conforming changes to replace LIBOR with the Secured Overnight Financing Rate ("SOFR"), the Sterling Overnight Index Average ("SONIA") and EURIBOR. The Total Commitments (as defined in the Credit Agreement) for the revolving loans remains at $332.5 million.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Facility continues to be secured by certain assets of the Company and certain subsidiaries of the Company, including accounts receivable, inventory, payment intangibles and deposit accounts. Equity interests, certain equipment, intellectual property and most leasehold interests are specifically excluded. The Credit Facility continues to provide for the borrowing base to include real estate as those assets are added or maintained as collateral and contains customary real estate covenants. The current outstanding long-term debt balance of $34.7 million bears interest at an average rate of 7.79% and matures January 28, 2027.</w:t>
      </w:r>
    </w:p>
    <w:p>
      <w:pPr>
        <w:spacing w:after="0" w:line="14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Deferred financing costs incurred in Fiscal 2022 of $1.2 million related to the amended Credit Facility were capitalized and are being amortized over the term of the new agreement. The remaining balance of deferred financing costs incurred related to the previous Credit Facility are being amortized over the term of the new agreement. These costs are included in other non-current assets on the Consolidated Balance Sheets.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Facility is a revolving credit facility in the aggregate principal amount of $332.5 million, including (i) for the Company and other borrowers formed in the U.S., a $70.0 million sublimit for the issuance of letters of credit and a domestic swingline subfacility of up to $45.0 million, (ii) for GCO Canada ULC, a revolving credit subfacility in an amount not to exceed $70.0 million, which includes a $5.0 million sublimit for the issuance of letters of credit and a swingline subfacility of up to $5.0 million, and (iii) for Genesco (UK) Limited, a revolving credit subfacility in an aggregate amount not to exceed $100.0 million, which includes a $10.0 million sublimit for the issuance of letters of credit and a swingline subfacility of up to $10.0 million. Any swingline loans and any letters of credit and borrowings under the Canadian and U.K. subfacilities will reduce the availability under the Credit Facility on a dollar for dollar basis. We have the option, from time to time, to increase the availability under the Credit Facility by an aggregate amount of up to $200.0 million subject to, among other things, the receipt of commitments for the increased amount. In connection with this increased facility, the Canadian revolving credit subfacility may be increased by no more than $15.0 million and the UK revolving credit subfacility may be increased by no more than $100.0 million. The aggregate amount of the loans made and letters of credit issued under the Credit Facility are limited to the lesser of the facility amount ($332.5 million or, if increased as described above, up to $532.5 million) or the "Borrowing Base", as defined in the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pay a commitment fee on the actual daily unused portions of the Credit Facility at a rate of 0.20% per annum.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Debt, Continued</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Credit Facility also permits us to incur senior debt in an amount up to the greater of $500.0 million or an amount that would not cause our ratio of consolidated total indebtedness to consolidated EBITDA to exceed 5.0:1.0 provided that certain terms and conditions are met.</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the Credit Facility contains certain covenants that, among other things, restrict additional indebtedness, liens and encumbrances, loans and investments, acquisitions, dividends and other restricted payments, transactions with affiliates, asset dispositions, mergers and consolidations, prepayments or material amendments to certain material documents and other matters customarily restricted in such agreements.</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Credit Facility does not require us to comply with any financial covenants unless Excess Availability, as defined in the Credit Agreement, is less than the greater of $22.5 million or 10% of the loan cap. If and during such time as Excess Availability is less than the greater of $22.5 million or 10% of the loan cap, the Credit Facility requires us to have a fixed charge coverage ratio of not less than 1.0:1.0. Excess Availability was $218.8 million at February 3, 2024.</w:t>
      </w:r>
    </w:p>
    <w:p>
      <w:pPr>
        <w:spacing w:after="0" w:line="1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Credit Facility contains customary events of default, which if any of them occurs, would permit or require the principal of and interest on the Credit Facility to be declared due and payable as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the relevant terms and conditions of the Credit Facility as of February 3,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 Facility Agreement</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 2022, Schuh entered into the Facility Agreement with Lloyds for a £19.0 million revolving credit facility. The Facility Agreement expires November 2, 2025, with options to request two one-year extensions to this termination date subject to lender approval, and bears interest at 2.35% over the Bank of England Base Rate. This Facility Agreement replaced Schuh's Facility Letter that would have expired in October 2023. The Facility Agreement includes certain financial covenants specific to Schuh. Following certain customary events of default outlined in the Facility Agreement, payment of outstanding amounts due may be accelerated or the commitments may be terminated. The Facility Agreement is secured by charges over all of the assets of Schuh, and Schuh's subsidiary, Schuh (ROI) Limited. Pursuant to a Guarantee in favor of Lloyds in its capacity as security trustee, Genesco Inc. has guaranteed the obligations of Schuh under the Facility Agreement and certain existing ancillary facilities on an unsecured basis.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the relevant terms and conditions of the Facility Agreement as of February 3, 2024.</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revolver borrowings outstanding under the Credit Facility at February 3, 2024 included $32.9 million U.S. revolver borrowings and $1.8 million (C$2.4 million) related to GCO Canada ULC. We had outstanding letters of credit of $6.9 million under the Credit Facility at February 3, 2024. These letters of credit support lease and insurance indemnifications.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Leases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lease our office space and all of our retail store locations, transportation equipment and other equipment under various noncancelable operating leases. The leases have varying terms and expire at various dates through 2037. The store leases in the United States, Puerto Rico and Canada typically have initial terms of approximately 10 years. The store leases in the U.K. and the ROI typically have initial terms of between 10 and 15 years. Our lease portfolio includes leases with fixed base rental payments, rental payments based on a percentage of retail sales over contractual amounts and others with predetermined fixed escalations of the minimum rentals based on a defined consumer price index or percentage. Generally, most of the leases require us to pay taxes, insurance, maintenance costs and contingent rentals based on sales. We evaluate renewal options and break options at lease inception and on an ongoing basis, and include renewal options and break options that we are reasonably certain to exercise in our expected lease terms for calculations of our right-of-use assets and liabilities. Approximately 3% of our leases contain renewal options. Our lease agreements do not contain any material residual value guarantees or material restrictive covenants.</w:t>
      </w:r>
    </w:p>
    <w:p>
      <w:pPr>
        <w:spacing w:after="0" w:line="14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Under ASC 842, for store, office and equipment leases beginning in Fiscal 2020 and later, we have elected to not separate fixed lease components and non-lease components. Accordingly, we include fixed rental payments, common area maintenance costs, promotional advertising costs and other fixed costs in our measurement of lease liabilities.</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leases do not provide an implicit rate, so the incremental borrowing rate, based on the information available at commencement or modification date, is used in determining the present value of lease payments. The incremental borrowing rate represents an estimate of the interest rate we would incur at lease commencement to borrow an amount equal to the lease payments on a collateralized basis over the term of a lease within a particular currency environment. For operating leases that commenced prior to the date of adoption of the new lease accounting guidance, we used the incremental borrowing rate that corresponded to the initial lease term as of the date of adoption.</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lease costs are included within selling and administrative expenses on the Consolidated Statements of Operations. The table below presents the components of lease cost for operating leases for the years ended February 3, 2024, January 28, 2023 and January 29,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5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Fiscal 2023</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Fiscal 2022</w:t>
            </w:r>
          </w:p>
        </w:tc>
      </w:tr>
      <w:tr>
        <w:trPr>
          <w:trHeight w:val="24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5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164,355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166,617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174,127</w:t>
            </w:r>
          </w:p>
        </w:tc>
      </w:tr>
      <w:tr>
        <w:trPr>
          <w:trHeight w:val="245"/>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5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14,582</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16,966</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21,540</w:t>
            </w:r>
          </w:p>
        </w:tc>
      </w:tr>
      <w:tr>
        <w:trPr>
          <w:trHeight w:val="240"/>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Sublease income</w:t>
            </w:r>
          </w:p>
        </w:tc>
        <w:tc>
          <w:tcPr>
            <w:tcW w:w="3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(173 )</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(246 )</w:t>
            </w:r>
          </w:p>
        </w:tc>
      </w:tr>
      <w:tr>
        <w:trPr>
          <w:trHeight w:val="236"/>
        </w:trPr>
        <w:tc>
          <w:tcPr>
            <w:tcW w:w="36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Lease Cost</w:t>
            </w:r>
          </w:p>
        </w:tc>
        <w:tc>
          <w:tcPr>
            <w:tcW w:w="35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178,764</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183,269</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195,421</w:t>
            </w:r>
          </w:p>
        </w:tc>
      </w:tr>
      <w:tr>
        <w:trPr>
          <w:trHeight w:val="643"/>
        </w:trPr>
        <w:tc>
          <w:tcPr>
            <w:tcW w:w="3620" w:type="dxa"/>
            <w:vAlign w:val="bottom"/>
          </w:tcPr>
          <w:p>
            <w:pPr>
              <w:spacing w:after="0"/>
              <w:rPr>
                <w:sz w:val="24"/>
                <w:szCs w:val="24"/>
                <w:color w:val="auto"/>
              </w:rPr>
            </w:pPr>
          </w:p>
        </w:tc>
        <w:tc>
          <w:tcPr>
            <w:tcW w:w="3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64</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49"/>
        </w:trPr>
        <w:tc>
          <w:tcPr>
            <w:tcW w:w="36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Leases,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maturities of undiscounted cash flows to our operating lease liabilities recorded on the Consolidated Balance Sheets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w:t>
            </w:r>
          </w:p>
        </w:tc>
        <w:tc>
          <w:tcPr>
            <w:tcW w:w="3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4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1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152,087</w:t>
            </w: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125,851</w:t>
            </w: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94,128</w:t>
            </w: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57,240</w:t>
            </w: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35,180</w:t>
            </w:r>
          </w:p>
        </w:tc>
      </w:tr>
      <w:tr>
        <w:trPr>
          <w:trHeight w:val="238"/>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102,440</w:t>
            </w:r>
          </w:p>
        </w:tc>
      </w:tr>
      <w:tr>
        <w:trPr>
          <w:trHeight w:val="24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3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566,926</w:t>
            </w:r>
          </w:p>
        </w:tc>
      </w:tr>
      <w:tr>
        <w:trPr>
          <w:trHeight w:val="238"/>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3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(78,663 )</w:t>
            </w:r>
          </w:p>
        </w:tc>
      </w:tr>
      <w:tr>
        <w:trPr>
          <w:trHeight w:val="278"/>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Present Value of Operating Lease Liabilities</w:t>
            </w:r>
          </w:p>
        </w:tc>
        <w:tc>
          <w:tcPr>
            <w:tcW w:w="31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488,263</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weighted-average remaining lease term and weighted-average discount rate for operating leases as of February 3, 2024 and January 28, 2023 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780" w:type="dxa"/>
            <w:vAlign w:val="bottom"/>
          </w:tcPr>
          <w:p>
            <w:pPr>
              <w:spacing w:after="0"/>
              <w:rPr>
                <w:sz w:val="20"/>
                <w:szCs w:val="20"/>
                <w:color w:val="auto"/>
              </w:rPr>
            </w:pPr>
          </w:p>
        </w:tc>
        <w:tc>
          <w:tcPr>
            <w:tcW w:w="2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8"/>
              </w:rPr>
              <w:t>January 28, 2023</w:t>
            </w: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000" w:type="dxa"/>
            <w:vAlign w:val="bottom"/>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5.5 years</w:t>
            </w:r>
          </w:p>
        </w:tc>
        <w:tc>
          <w:tcPr>
            <w:tcW w:w="1460" w:type="dxa"/>
            <w:vAlign w:val="bottom"/>
            <w:shd w:val="clear" w:color="auto" w:fill="CFF0FC"/>
          </w:tcPr>
          <w:p>
            <w:pPr>
              <w:jc w:val="center"/>
              <w:ind w:right="130"/>
              <w:spacing w:after="0"/>
              <w:rPr>
                <w:sz w:val="20"/>
                <w:szCs w:val="20"/>
                <w:color w:val="auto"/>
              </w:rPr>
            </w:pPr>
            <w:r>
              <w:rPr>
                <w:rFonts w:ascii="Times New Roman" w:cs="Times New Roman" w:eastAsia="Times New Roman" w:hAnsi="Times New Roman"/>
                <w:sz w:val="18"/>
                <w:szCs w:val="18"/>
                <w:color w:val="auto"/>
                <w:w w:val="98"/>
              </w:rPr>
              <w:t>5.5 years</w:t>
            </w:r>
          </w:p>
        </w:tc>
      </w:t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5.3%</w:t>
            </w: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5.1%</w:t>
            </w:r>
          </w:p>
        </w:tc>
      </w:tr>
    </w:tbl>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February 3, 2024, we have additional operating leases that have not yet commenced with estimated right of use liabilities of $10.5 million. These leases will commence in Fiscal 2025 with lease terms of 1 to 10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related lease concessions decreased our contractual rent expense by approximately $17 million during Fiscal 2022.</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w:t>
            </w: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Non-Redeemable Preferred Stock</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7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Fiscal Year End</w:t>
            </w: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Fiscal Year End</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80" w:type="dxa"/>
            <w:vAlign w:val="bottom"/>
          </w:tcPr>
          <w:p>
            <w:pPr>
              <w:jc w:val="right"/>
              <w:ind w:right="90"/>
              <w:spacing w:after="0" w:line="205" w:lineRule="exact"/>
              <w:rPr>
                <w:sz w:val="20"/>
                <w:szCs w:val="20"/>
                <w:color w:val="auto"/>
              </w:rPr>
            </w:pPr>
            <w:r>
              <w:rPr>
                <w:rFonts w:ascii="Times New Roman" w:cs="Times New Roman" w:eastAsia="Times New Roman" w:hAnsi="Times New Roman"/>
                <w:sz w:val="18"/>
                <w:szCs w:val="18"/>
                <w:b w:val="1"/>
                <w:bCs w:val="1"/>
                <w:color w:val="auto"/>
              </w:rPr>
              <w:t>Shares</w:t>
            </w:r>
          </w:p>
        </w:tc>
        <w:tc>
          <w:tcPr>
            <w:tcW w:w="1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1"/>
        </w:trPr>
        <w:tc>
          <w:tcPr>
            <w:tcW w:w="3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Employees’ Subordinated Convertible</w:t>
            </w:r>
          </w:p>
        </w:tc>
        <w:tc>
          <w:tcPr>
            <w:tcW w:w="128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27,845</w:t>
            </w:r>
          </w:p>
        </w:tc>
        <w:tc>
          <w:tcPr>
            <w:tcW w:w="16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2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836</w:t>
            </w: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w:t>
            </w: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5,000,000</w:t>
            </w: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27,935</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28,325</w:t>
            </w:r>
          </w:p>
        </w:tc>
        <w:tc>
          <w:tcPr>
            <w:tcW w:w="420" w:type="dxa"/>
            <w:vAlign w:val="bottom"/>
            <w:tcBorders>
              <w:bottom w:val="single" w:sz="8" w:color="auto"/>
            </w:tcBorders>
            <w:vMerge w:val="continue"/>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4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Stated Value of Issued Shares</w:t>
            </w: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836</w:t>
            </w:r>
          </w:p>
        </w:tc>
        <w:tc>
          <w:tcPr>
            <w:tcW w:w="3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c>
          <w:tcPr>
            <w:tcW w:w="4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3"/>
        </w:trPr>
        <w:tc>
          <w:tcPr>
            <w:tcW w:w="3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Employees’ Preferred Stock Purchase</w:t>
            </w:r>
          </w:p>
        </w:tc>
        <w:tc>
          <w:tcPr>
            <w:tcW w:w="1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w:t>
            </w:r>
          </w:p>
        </w:tc>
        <w:tc>
          <w:tcPr>
            <w:tcW w:w="1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4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Non-Redeemable Preferred</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813</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65</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Continued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Subordinated Convertible Preferred Stock:</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Stated and liquidation values are 88 times the average quarterly per share dividend paid on common stock for the previous eight quarters (if any), but in no event less than $30 per share. Each share of this issue of preferred stock is convertible into one share of common stock and has one vote per share.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Subordinated Serial Preferred Stock:</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permits the Board of Directors to issue Subordinated Serial Preferred Stock (3,000,000 shares, in aggregate, are authorized) in as many series, each with as many shares and such rights and preferences as the Board may designate. We have shares authorized for $2.30 Series 1, $4.75 Series 3, $4.75 Series 4, Series 6 and $1.50 Subordinated Cumulative Preferred stocks in amounts of 64,368 shares, 40,449 shares, 53,764 shares, 800,000 shares and 5,000,000 shares, respectively. All of these preferred stocks were mandatorily redeemed by us in Fiscal 2014. As a result, there are no outstanding shares for any preferred issues of stock other than Employees' Subordinated Convertible Preferred stock shown in the table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Common stock-$1 par value. Authorized: 80,000,000 shares; issued: February 3, 2024 – 11,960,793 shares; January 28, 2023–13,088,782 shares. There were 488,464 shares held in treasury at February 3, 2024 and January 28, 2023. Each outstanding share is entitled to one vote. At February 3, 2024, common shares were reserved as follows: 27,845 shares for conversion of preferred stock and 730,381 shares for the 2020 Plan.</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February 3, 2024, shares of common stock were issued as follows: 257,744 restricted shares as part of the 2020 Plan; 38,284 shares to directors in exchange for their services; 86,179 shares withheld for taxes on restricted stock vested in Fiscal 2024; 76,633 shares of restricted stock forfeited in Fiscal 2024; and 90 shares issued in miscellaneous conversions of Employees’ Subordinated Convertible Preferred Stock. In addition, the Company repurchased and retired 1,261,295 shares of common stock at an average weighted market price of $25.39 for a total of $32.0 million.</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January 28, 2023, shares of common stock were issued as follows: 299,914 restricted shares as part of the 2020 Plan; 16,536 shares to directors in exchange for their services; 73,137 shares withheld for taxes on restricted stock vested in Fiscal 2023; 31,057 shares of restricted stock forfeited in Fiscal 2023; and 390 shares were issued in miscellaneous conversions of Employees’ Subordinated Convertible Preferred Stock. In addition, we repurchased and retired 1,380,272 shares of common stock at an average weighted market price of $52.66 for a total of $72.7 million.</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January 29, 2022, shares of common stock were issued as follows: 229,363 restricted shares as part of the 2020 Plan; 14,936 shares to directors in exchange for their services; 64,535 shares withheld for taxes on restricted stock vested in Fiscal 2022; 6,885 shares of restricted stock forfeited in Fiscal 2022; and 6,100 shares were issued in miscellaneous conversions of Employees’ Subordinated Convertible Preferred Stock. In addition, we repurchased and retired 1,360,909 shares of common stock at an average weighted market price of $60.88 for a total of $82.8 million.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Continued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Dividends and Redemptions of Capital Stock:</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charter provides that no dividends may be paid and no shares of capital stock acquired for value if there are dividend or redemption arrearages on any senior or equally ranked stock. We do not pay dividends and therefore, there are no redemption arrearages. Exchanges of subordinated serial preferred stock for common stock or other stock junior to such exchanged stock are permitted.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earnings (loss) from continuing operations before income taxes is comprised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40"/>
        </w:trPr>
        <w:tc>
          <w:tcPr>
            <w:tcW w:w="6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r>
      <w:tr>
        <w:trPr>
          <w:trHeight w:val="238"/>
        </w:trPr>
        <w:tc>
          <w:tcPr>
            <w:tcW w:w="6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(43,859 )</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68,326</w:t>
            </w:r>
          </w:p>
        </w:tc>
        <w:tc>
          <w:tcPr>
            <w:tcW w:w="5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130,517</w:t>
            </w:r>
          </w:p>
        </w:tc>
      </w:tr>
      <w:tr>
        <w:trPr>
          <w:trHeight w:val="240"/>
        </w:trPr>
        <w:tc>
          <w:tcPr>
            <w:tcW w:w="66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22,085</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21,747</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22,474</w:t>
            </w:r>
          </w:p>
        </w:tc>
      </w:tr>
      <w:tr>
        <w:trPr>
          <w:trHeight w:val="276"/>
        </w:trPr>
        <w:tc>
          <w:tcPr>
            <w:tcW w:w="662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Earnings (Loss) from Continuing Operations before Income Taxes</w:t>
            </w: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(21,774 )</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90,073</w:t>
            </w:r>
          </w:p>
        </w:tc>
        <w:tc>
          <w:tcPr>
            <w:tcW w:w="50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152,991</w:t>
            </w:r>
          </w:p>
        </w:tc>
      </w:tr>
      <w:tr>
        <w:trPr>
          <w:trHeight w:val="41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from continuing operations is comprised of the following:</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2"/>
        </w:trPr>
        <w:tc>
          <w:tcPr>
            <w:tcW w:w="6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40"/>
        </w:trPr>
        <w:tc>
          <w:tcPr>
            <w:tcW w:w="6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r>
      <w:tr>
        <w:trPr>
          <w:trHeight w:val="238"/>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r>
      <w:tr>
        <w:trPr>
          <w:trHeight w:val="240"/>
        </w:trPr>
        <w:tc>
          <w:tcPr>
            <w:tcW w:w="6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(3,672 )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39,095</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48,770</w:t>
            </w:r>
          </w:p>
        </w:tc>
      </w:tr>
      <w:tr>
        <w:trPr>
          <w:trHeight w:val="245"/>
        </w:trPr>
        <w:tc>
          <w:tcPr>
            <w:tcW w:w="6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3,419</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2,984</w:t>
            </w:r>
          </w:p>
        </w:tc>
        <w:tc>
          <w:tcPr>
            <w:tcW w:w="5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3,555</w:t>
            </w:r>
          </w:p>
        </w:tc>
      </w:tr>
      <w:tr>
        <w:trPr>
          <w:trHeight w:val="240"/>
        </w:trPr>
        <w:tc>
          <w:tcPr>
            <w:tcW w:w="66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744</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3,805</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3,798</w:t>
            </w:r>
          </w:p>
        </w:tc>
      </w:tr>
      <w:tr>
        <w:trPr>
          <w:trHeight w:val="236"/>
        </w:trPr>
        <w:tc>
          <w:tcPr>
            <w:tcW w:w="662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4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491</w:t>
            </w:r>
          </w:p>
        </w:tc>
        <w:tc>
          <w:tcPr>
            <w:tcW w:w="2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45,884</w:t>
            </w:r>
          </w:p>
        </w:tc>
        <w:tc>
          <w:tcPr>
            <w:tcW w:w="5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56,123</w:t>
            </w:r>
          </w:p>
        </w:tc>
      </w:tr>
      <w:tr>
        <w:trPr>
          <w:trHeight w:val="23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7"/>
        </w:trPr>
        <w:tc>
          <w:tcPr>
            <w:tcW w:w="6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(5,060 )</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(25,704 )</w:t>
            </w:r>
          </w:p>
        </w:tc>
        <w:tc>
          <w:tcPr>
            <w:tcW w:w="5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(22,542 )</w:t>
            </w:r>
          </w:p>
        </w:tc>
      </w:tr>
      <w:tr>
        <w:trPr>
          <w:trHeight w:val="240"/>
        </w:trPr>
        <w:tc>
          <w:tcPr>
            <w:tcW w:w="6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1,074</w:t>
            </w:r>
          </w:p>
        </w:tc>
        <w:tc>
          <w:tcPr>
            <w:tcW w:w="26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748</w:t>
            </w:r>
          </w:p>
        </w:tc>
        <w:tc>
          <w:tcPr>
            <w:tcW w:w="5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6620" w:type="dxa"/>
            <w:vAlign w:val="bottom"/>
            <w:tcBorders>
              <w:bottom w:val="single" w:sz="8" w:color="auto"/>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7,438</w:t>
            </w:r>
          </w:p>
        </w:tc>
        <w:tc>
          <w:tcPr>
            <w:tcW w:w="2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(1,438 )</w:t>
            </w:r>
          </w:p>
        </w:tc>
        <w:tc>
          <w:tcPr>
            <w:tcW w:w="5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3,778</w:t>
            </w:r>
          </w:p>
        </w:tc>
      </w:tr>
      <w:tr>
        <w:trPr>
          <w:trHeight w:val="236"/>
        </w:trPr>
        <w:tc>
          <w:tcPr>
            <w:tcW w:w="6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3,452</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(26,394 )</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(18,710 )</w:t>
            </w:r>
          </w:p>
        </w:tc>
      </w:tr>
      <w:tr>
        <w:trPr>
          <w:trHeight w:val="238"/>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Interest Related to Income Taxes</w:t>
            </w: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r>
      <w:tr>
        <w:trPr>
          <w:trHeight w:val="240"/>
        </w:trPr>
        <w:tc>
          <w:tcPr>
            <w:tcW w:w="6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4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(2,728 )</w:t>
            </w:r>
          </w:p>
        </w:tc>
        <w:tc>
          <w:tcPr>
            <w:tcW w:w="2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(1,662 )</w:t>
            </w:r>
          </w:p>
        </w:tc>
        <w:tc>
          <w:tcPr>
            <w:tcW w:w="5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583</w:t>
            </w:r>
          </w:p>
        </w:tc>
      </w:tr>
      <w:tr>
        <w:trPr>
          <w:trHeight w:val="245"/>
        </w:trPr>
        <w:tc>
          <w:tcPr>
            <w:tcW w:w="6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6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66</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36"/>
        </w:trPr>
        <w:tc>
          <w:tcPr>
            <w:tcW w:w="6460" w:type="dxa"/>
            <w:vAlign w:val="bottom"/>
            <w:tcBorders>
              <w:bottom w:val="single" w:sz="8" w:color="auto"/>
            </w:tcBorders>
            <w:shd w:val="clear" w:color="auto" w:fill="CAEDFB"/>
          </w:tcPr>
          <w:p>
            <w:pPr>
              <w:ind w:left="20"/>
              <w:spacing w:after="0"/>
              <w:rPr>
                <w:sz w:val="20"/>
                <w:szCs w:val="20"/>
                <w:color w:val="auto"/>
              </w:rPr>
            </w:pPr>
            <w:r>
              <w:rPr>
                <w:rFonts w:ascii="Times New Roman" w:cs="Times New Roman" w:eastAsia="Times New Roman" w:hAnsi="Times New Roman"/>
                <w:sz w:val="18"/>
                <w:szCs w:val="18"/>
                <w:color w:val="auto"/>
              </w:rPr>
              <w:t>Total Net Interest Related to Income Taxes</w:t>
            </w:r>
          </w:p>
        </w:tc>
        <w:tc>
          <w:tcPr>
            <w:tcW w:w="16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(2,662 )</w:t>
            </w:r>
          </w:p>
        </w:tc>
        <w:tc>
          <w:tcPr>
            <w:tcW w:w="2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(1,659 )</w:t>
            </w:r>
          </w:p>
        </w:tc>
        <w:tc>
          <w:tcPr>
            <w:tcW w:w="5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r>
      <w:tr>
        <w:trPr>
          <w:trHeight w:val="20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Expense Recognized for Unrecognized Tax Benefits (“UTBS”) in the Statement of</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1"/>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9"/>
        </w:trPr>
        <w:tc>
          <w:tcPr>
            <w:tcW w:w="6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tcBorders>
              <w:bottom w:val="single" w:sz="8" w:color="auto"/>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573</w:t>
            </w:r>
          </w:p>
        </w:tc>
        <w:tc>
          <w:tcPr>
            <w:tcW w:w="2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Tax Expense Recognized for UTBS in the Statement of Operations</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573</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662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 – Continuing Operations</w:t>
            </w: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1,854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17,831</w:t>
            </w:r>
          </w:p>
        </w:tc>
        <w:tc>
          <w:tcPr>
            <w:tcW w:w="50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38,044</w:t>
            </w:r>
          </w:p>
        </w:tc>
      </w:tr>
      <w:tr>
        <w:trPr>
          <w:trHeight w:val="630"/>
        </w:trPr>
        <w:tc>
          <w:tcPr>
            <w:tcW w:w="64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749"/>
        </w:trPr>
        <w:tc>
          <w:tcPr>
            <w:tcW w:w="6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7" w:name="page68"/>
    <w:bookmarkEnd w:id="6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the United States federal statutory rate to our effective tax rate from continuing operations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80" w:type="dxa"/>
            <w:vAlign w:val="bottom"/>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0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6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9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20"/>
                <w:szCs w:val="20"/>
                <w:color w:val="auto"/>
              </w:rPr>
            </w:pP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 S. federal statutory rate of tax</w:t>
            </w: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21.00 %</w:t>
            </w:r>
          </w:p>
        </w:tc>
        <w:tc>
          <w:tcPr>
            <w:tcW w:w="1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21.00 %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(0.92 )</w:t>
            </w:r>
          </w:p>
        </w:tc>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2.08</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tcPr>
          <w:p>
            <w:pPr>
              <w:spacing w:after="0"/>
              <w:rPr>
                <w:sz w:val="21"/>
                <w:szCs w:val="21"/>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74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0.76</w:t>
            </w:r>
          </w:p>
        </w:tc>
        <w:tc>
          <w:tcPr>
            <w:tcW w:w="19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(0.02 )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60" w:type="dxa"/>
            <w:vAlign w:val="bottom"/>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(33.57 )</w:t>
            </w:r>
          </w:p>
        </w:tc>
        <w:tc>
          <w:tcPr>
            <w:tcW w:w="19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(1.12 )</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Uncertain tax position</w:t>
            </w:r>
          </w:p>
        </w:tc>
        <w:tc>
          <w:tcPr>
            <w:tcW w:w="17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(2.63 )</w:t>
            </w:r>
          </w:p>
        </w:tc>
        <w:tc>
          <w:tcPr>
            <w:tcW w:w="190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w:t>
            </w:r>
          </w:p>
        </w:tc>
        <w:tc>
          <w:tcPr>
            <w:tcW w:w="1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4.54</w:t>
            </w:r>
          </w:p>
        </w:tc>
        <w:tc>
          <w:tcPr>
            <w:tcW w:w="19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(1.18 )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(0.55 )</w:t>
            </w:r>
          </w:p>
        </w:tc>
        <w:tc>
          <w:tcPr>
            <w:tcW w:w="6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Global intangible low-tax income</w:t>
            </w:r>
          </w:p>
        </w:tc>
        <w:tc>
          <w:tcPr>
            <w:tcW w:w="17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(2.34 )</w:t>
            </w:r>
          </w:p>
        </w:tc>
        <w:tc>
          <w:tcPr>
            <w:tcW w:w="190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1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(4.50 )</w:t>
            </w:r>
          </w:p>
        </w:tc>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0.64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6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IRS interest</w:t>
            </w:r>
          </w:p>
        </w:tc>
        <w:tc>
          <w:tcPr>
            <w:tcW w:w="174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9.90</w:t>
            </w:r>
          </w:p>
        </w:tc>
        <w:tc>
          <w:tcPr>
            <w:tcW w:w="19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(1.46 )</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40"/>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(0.75 )</w:t>
            </w:r>
          </w:p>
        </w:tc>
        <w:tc>
          <w:tcPr>
            <w:tcW w:w="19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(0.14 )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(0.94 )</w:t>
            </w:r>
          </w:p>
        </w:tc>
        <w:tc>
          <w:tcPr>
            <w:tcW w:w="60" w:type="dxa"/>
            <w:vAlign w:val="bottom"/>
          </w:tcPr>
          <w:p>
            <w:pPr>
              <w:spacing w:after="0"/>
              <w:rPr>
                <w:sz w:val="20"/>
                <w:szCs w:val="20"/>
                <w:color w:val="auto"/>
              </w:rPr>
            </w:pPr>
          </w:p>
        </w:tc>
      </w:tr>
      <w:tr>
        <w:trPr>
          <w:trHeight w:val="23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(8.51 )%</w:t>
            </w:r>
          </w:p>
        </w:tc>
        <w:tc>
          <w:tcPr>
            <w:tcW w:w="1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19.80 %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24.87 %</w:t>
            </w:r>
          </w:p>
        </w:tc>
      </w:tr>
      <w:tr>
        <w:trPr>
          <w:trHeight w:val="20"/>
        </w:trPr>
        <w:tc>
          <w:tcPr>
            <w:tcW w:w="65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-1729105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37"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We are subject to a tax on global intangible low-tax income (“GILTI”). GILTI taxes foreign income in excess of deemed return on tangible assets of a foreign corporation and we elected to treat this tax as a period cost. The impact from GILTI was not material for Fiscal 2024, 2023 or 2022.</w:t>
      </w:r>
    </w:p>
    <w:p>
      <w:pPr>
        <w:spacing w:after="0" w:line="122"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We have a $56.8 million non-current prepaid income tax receivable on our Consolidated Balance Sheets as of February 3, 2024. This receivable relates to the remaining uncollected portion of our $107.2 million carryback of our Fiscal 2021 federal tax losses to prior tax periods under the CARES Act. The Internal Revenue Service ("IRS") is currently auditing the refund claim under the requirements of the Joint Committee on Taxation refund review process. We expect the examination process to extend for more than 12 months. We concluded that all positions in the refund claim met the more-likely-than-not standard based on the technical merits of the position and we recorded the benefit under the requirements of ASC 740. In addition, we recorded a $0.2 million unrecognized tax benefit related to the claim. It is possible the IRS could challenge our interpretation of the technical merits of the positions and the actual amount of the tax benefit may differ from the original refund claim.</w:t>
      </w:r>
    </w:p>
    <w:p>
      <w:pPr>
        <w:spacing w:after="0" w:line="1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6" w:right="27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and liabilities are comprised of the following:</w:t>
            </w:r>
          </w:p>
        </w:tc>
        <w:tc>
          <w:tcPr>
            <w:tcW w:w="1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2"/>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January 28, 2023</w:t>
            </w:r>
          </w:p>
        </w:tc>
      </w:tr>
      <w:tr>
        <w:trPr>
          <w:trHeight w:val="243"/>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Pensions</w:t>
            </w:r>
          </w:p>
        </w:tc>
        <w:tc>
          <w:tcPr>
            <w:tcW w:w="148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348</w:t>
            </w:r>
          </w:p>
        </w:tc>
        <w:tc>
          <w:tcPr>
            <w:tcW w:w="7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r>
      <w:tr>
        <w:trPr>
          <w:trHeight w:val="24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obligation</w:t>
            </w:r>
          </w:p>
        </w:tc>
        <w:tc>
          <w:tcPr>
            <w:tcW w:w="1480" w:type="dxa"/>
            <w:vAlign w:val="bottom"/>
          </w:tcPr>
          <w:p>
            <w:pPr>
              <w:spacing w:after="0"/>
              <w:rPr>
                <w:sz w:val="20"/>
                <w:szCs w:val="20"/>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127,220</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139,486</w:t>
            </w:r>
          </w:p>
        </w:tc>
      </w:tr>
      <w:tr>
        <w:trPr>
          <w:trHeight w:val="245"/>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Book over tax depreciation</w:t>
            </w:r>
          </w:p>
        </w:tc>
        <w:tc>
          <w:tcPr>
            <w:tcW w:w="14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12,976</w:t>
            </w: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16,430</w:t>
            </w:r>
          </w:p>
        </w:tc>
      </w:tr>
      <w:tr>
        <w:trPr>
          <w:trHeight w:val="24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accruals</w:t>
            </w:r>
          </w:p>
        </w:tc>
        <w:tc>
          <w:tcPr>
            <w:tcW w:w="1480" w:type="dxa"/>
            <w:vAlign w:val="bottom"/>
          </w:tcPr>
          <w:p>
            <w:pPr>
              <w:spacing w:after="0"/>
              <w:rPr>
                <w:sz w:val="20"/>
                <w:szCs w:val="20"/>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10,054</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9,471</w:t>
            </w:r>
          </w:p>
        </w:tc>
      </w:tr>
      <w:tr>
        <w:trPr>
          <w:trHeight w:val="245"/>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Uniform capitalization costs</w:t>
            </w:r>
          </w:p>
        </w:tc>
        <w:tc>
          <w:tcPr>
            <w:tcW w:w="14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7,515</w:t>
            </w: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8,381</w:t>
            </w:r>
          </w:p>
        </w:tc>
      </w:tr>
      <w:tr>
        <w:trPr>
          <w:trHeight w:val="24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for discontinued operations and restructurings</w:t>
            </w:r>
          </w:p>
        </w:tc>
        <w:tc>
          <w:tcPr>
            <w:tcW w:w="1480" w:type="dxa"/>
            <w:vAlign w:val="bottom"/>
          </w:tcPr>
          <w:p>
            <w:pPr>
              <w:spacing w:after="0"/>
              <w:rPr>
                <w:sz w:val="20"/>
                <w:szCs w:val="20"/>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561</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662</w:t>
            </w:r>
          </w:p>
        </w:tc>
      </w:tr>
      <w:tr>
        <w:trPr>
          <w:trHeight w:val="245"/>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IRC Section 163 interest limitation</w:t>
            </w:r>
          </w:p>
        </w:tc>
        <w:tc>
          <w:tcPr>
            <w:tcW w:w="14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1,049</w:t>
            </w: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valuation</w:t>
            </w:r>
          </w:p>
        </w:tc>
        <w:tc>
          <w:tcPr>
            <w:tcW w:w="1480" w:type="dxa"/>
            <w:vAlign w:val="bottom"/>
          </w:tcPr>
          <w:p>
            <w:pPr>
              <w:spacing w:after="0"/>
              <w:rPr>
                <w:sz w:val="20"/>
                <w:szCs w:val="20"/>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1,235</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r>
      <w:tr>
        <w:trPr>
          <w:trHeight w:val="245"/>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net operating loss and credit carryforwards</w:t>
            </w:r>
          </w:p>
        </w:tc>
        <w:tc>
          <w:tcPr>
            <w:tcW w:w="14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24,164</w:t>
            </w: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23,146</w:t>
            </w:r>
          </w:p>
        </w:tc>
      </w:tr>
      <w:tr>
        <w:trPr>
          <w:trHeight w:val="24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Allowances for bad debts and notes</w:t>
            </w:r>
          </w:p>
        </w:tc>
        <w:tc>
          <w:tcPr>
            <w:tcW w:w="1480" w:type="dxa"/>
            <w:vAlign w:val="bottom"/>
          </w:tcPr>
          <w:p>
            <w:pPr>
              <w:spacing w:after="0"/>
              <w:rPr>
                <w:sz w:val="20"/>
                <w:szCs w:val="20"/>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915</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760</w:t>
            </w:r>
          </w:p>
        </w:tc>
      </w:tr>
      <w:tr>
        <w:trPr>
          <w:trHeight w:val="245"/>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 and restricted stock</w:t>
            </w:r>
          </w:p>
        </w:tc>
        <w:tc>
          <w:tcPr>
            <w:tcW w:w="14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2,773</w:t>
            </w: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3,012</w:t>
            </w:r>
          </w:p>
        </w:tc>
      </w:tr>
      <w:tr>
        <w:trPr>
          <w:trHeight w:val="24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Identified intangibles</w:t>
            </w:r>
          </w:p>
        </w:tc>
        <w:tc>
          <w:tcPr>
            <w:tcW w:w="1480" w:type="dxa"/>
            <w:vAlign w:val="bottom"/>
          </w:tcPr>
          <w:p>
            <w:pPr>
              <w:spacing w:after="0"/>
              <w:rPr>
                <w:sz w:val="20"/>
                <w:szCs w:val="20"/>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5,987</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1,162</w:t>
            </w:r>
          </w:p>
        </w:tc>
      </w:tr>
      <w:tr>
        <w:trPr>
          <w:trHeight w:val="243"/>
        </w:trPr>
        <w:tc>
          <w:tcPr>
            <w:tcW w:w="5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w:t>
            </w:r>
          </w:p>
        </w:tc>
        <w:tc>
          <w:tcPr>
            <w:tcW w:w="7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3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480" w:type="dxa"/>
            <w:vAlign w:val="bottom"/>
          </w:tcPr>
          <w:p>
            <w:pPr>
              <w:spacing w:after="0"/>
              <w:rPr>
                <w:sz w:val="20"/>
                <w:szCs w:val="20"/>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194,830</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203,751</w:t>
            </w:r>
          </w:p>
        </w:tc>
      </w:tr>
      <w:tr>
        <w:trPr>
          <w:trHeight w:val="243"/>
        </w:trPr>
        <w:tc>
          <w:tcPr>
            <w:tcW w:w="5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(43,961 )</w:t>
            </w:r>
          </w:p>
        </w:tc>
        <w:tc>
          <w:tcPr>
            <w:tcW w:w="7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(36,482 )</w:t>
            </w:r>
          </w:p>
        </w:tc>
      </w:tr>
      <w:tr>
        <w:trPr>
          <w:trHeight w:val="236"/>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 net of valuation allowance</w:t>
            </w:r>
          </w:p>
        </w:tc>
        <w:tc>
          <w:tcPr>
            <w:tcW w:w="14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150,869</w:t>
            </w: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167,269</w:t>
            </w:r>
          </w:p>
        </w:tc>
      </w:tr>
      <w:tr>
        <w:trPr>
          <w:trHeight w:val="238"/>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Identified intangibles</w:t>
            </w:r>
          </w:p>
        </w:tc>
        <w:tc>
          <w:tcPr>
            <w:tcW w:w="148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(5,318 )</w:t>
            </w: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(6,288 )</w:t>
            </w:r>
          </w:p>
        </w:tc>
      </w:tr>
      <w:tr>
        <w:trPr>
          <w:trHeight w:val="24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Prepaids</w:t>
            </w:r>
          </w:p>
        </w:tc>
        <w:tc>
          <w:tcPr>
            <w:tcW w:w="1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(2,045 )</w:t>
            </w:r>
          </w:p>
        </w:tc>
      </w:tr>
      <w:tr>
        <w:trPr>
          <w:trHeight w:val="245"/>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14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(119,658 )</w:t>
            </w: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(132,050 )</w:t>
            </w:r>
          </w:p>
        </w:tc>
      </w:tr>
      <w:tr>
        <w:trPr>
          <w:trHeight w:val="24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over book depreciation</w:t>
            </w:r>
          </w:p>
        </w:tc>
        <w:tc>
          <w:tcPr>
            <w:tcW w:w="148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(2,736 )</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(555 )</w:t>
            </w:r>
          </w:p>
        </w:tc>
        <w:tc>
          <w:tcPr>
            <w:tcW w:w="7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(832 )</w:t>
            </w:r>
          </w:p>
        </w:tc>
      </w:tr>
      <w:tr>
        <w:trPr>
          <w:trHeight w:val="236"/>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4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(128,267 )</w:t>
            </w: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(141,215 )</w:t>
            </w:r>
          </w:p>
        </w:tc>
      </w:tr>
      <w:tr>
        <w:trPr>
          <w:trHeight w:val="276"/>
        </w:trPr>
        <w:tc>
          <w:tcPr>
            <w:tcW w:w="5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48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22,602</w:t>
            </w:r>
          </w:p>
        </w:tc>
        <w:tc>
          <w:tcPr>
            <w:tcW w:w="7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4"/>
                <w:szCs w:val="24"/>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26,054</w:t>
            </w:r>
          </w:p>
        </w:tc>
      </w:tr>
      <w:tr>
        <w:trPr>
          <w:trHeight w:val="414"/>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deferred tax balances have been classified in our Consolidated Balance Sheets as follows:</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2"/>
        </w:trPr>
        <w:tc>
          <w:tcPr>
            <w:tcW w:w="5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of Fiscal Year Ended</w:t>
            </w:r>
          </w:p>
        </w:tc>
      </w:tr>
      <w:tr>
        <w:trPr>
          <w:trHeight w:val="238"/>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r>
      <w:tr>
        <w:trPr>
          <w:trHeight w:val="240"/>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non-current asset</w:t>
            </w:r>
          </w:p>
        </w:tc>
        <w:tc>
          <w:tcPr>
            <w:tcW w:w="148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26,230</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28,563</w:t>
            </w:r>
          </w:p>
        </w:tc>
      </w:tr>
      <w:tr>
        <w:trPr>
          <w:trHeight w:val="240"/>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non-current liability</w:t>
            </w:r>
          </w:p>
        </w:tc>
        <w:tc>
          <w:tcPr>
            <w:tcW w:w="1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(3,628 )</w:t>
            </w: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(2,509 )</w:t>
            </w:r>
          </w:p>
        </w:tc>
      </w:tr>
      <w:tr>
        <w:trPr>
          <w:trHeight w:val="276"/>
        </w:trPr>
        <w:tc>
          <w:tcPr>
            <w:tcW w:w="5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480" w:type="dxa"/>
            <w:vAlign w:val="bottom"/>
            <w:tcBorders>
              <w:bottom w:val="single" w:sz="8" w:color="auto"/>
            </w:tcBorders>
            <w:shd w:val="clear" w:color="auto" w:fill="CFF0FC"/>
          </w:tcPr>
          <w:p>
            <w:pPr>
              <w:spacing w:after="0"/>
              <w:rPr>
                <w:sz w:val="24"/>
                <w:szCs w:val="24"/>
                <w:color w:val="auto"/>
              </w:rPr>
            </w:pPr>
          </w:p>
        </w:tc>
        <w:tc>
          <w:tcPr>
            <w:tcW w:w="1700" w:type="dxa"/>
            <w:vAlign w:val="bottom"/>
            <w:tcBorders>
              <w:bottom w:val="single" w:sz="8" w:color="auto"/>
            </w:tcBorders>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22,602</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26,054</w:t>
            </w:r>
          </w:p>
        </w:tc>
      </w:tr>
    </w:tbl>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of February 3, 2024 and January 28, 2023, we had state net operating loss carryforwards of $9.9 million and $9.0 million, respectively. We provided a valuation allowance against these attributes of $8.1 million as of February 3, 2024 and $3.2 million as of January 28, 2023. Expiration of these attributes will occur in various years through 2044.</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each of February 3, 2024 and January 28, 2023, we had state tax credits of $0.6 million. We provided a valuation allowance against these attributes of $0.6 million as of each of February 3, 2024 and January 28, 2023. These credits expire in fiscal years 2025 through 2027.</w:t>
      </w:r>
    </w:p>
    <w:p>
      <w:pPr>
        <w:spacing w:after="0" w:line="1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February 3, 2024 and January 28, 2023, we had foreign net operating loss carryforwards of $41.4 million and $39.8 million, respectively, which have a carryforward period of at least 16 years.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February 3, 2024, we have provided a total valuation allowance of approximately $44.0 million on deferred tax assets associated primarily with foreign and state net operating losses for which management has determined it is more likely than not that the deferred tax assets will not be realized. The $7.5 million net increase in valuation allowance during Fiscal 2024 from the $36.5 million provided for as of January 28, 2023 relates primarily to state tax attributes. We removed $2.4 million of German deferred tax assets and an equivalent amount of valuation allowance as our entity operating in Germany was merged out of existence in the period ended January 28, 2023. Management believes that it is more likely than not that the remaining deferred tax assets will be fully realized.</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February 3, 2024, we have provided less than $0.1 million of deferred taxes on the accumulated undistributed earnings of our foreign operations beyond the amounts recorded for deemed repatriation of such earnings, as required in the Tax Cuts and Jobs Act (the “Act”). Based upon evaluation of our worldwide operations and specific plans to remit foreign earnings back to the U.S., we can no longer assert that earnings from certain foreign operations will be indefinitely reinvested.</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of February 3, 2024, foreign tax credit carryforwards of approximately $3.8 million were available to reduce possible future U.S. income taxes and expire from 2028 to 2031. As a result of the Act, we may no longer utilize certain U.S. foreign tax credit carryforwards. A valuation allowance of $2.8 million has been established against these credits.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40"/>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r>
      <w:tr>
        <w:trPr>
          <w:trHeight w:val="23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 – Beginning of Period</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178</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178</w:t>
            </w:r>
          </w:p>
        </w:tc>
        <w:tc>
          <w:tcPr>
            <w:tcW w:w="6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 Tax Positions in a Current Period</w:t>
            </w:r>
          </w:p>
        </w:tc>
        <w:tc>
          <w:tcPr>
            <w:tcW w:w="54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573</w:t>
            </w:r>
          </w:p>
        </w:tc>
        <w:tc>
          <w:tcPr>
            <w:tcW w:w="30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5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Lapse of Statutes of Limitations</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66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 – End of Period</w:t>
            </w: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751</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178</w:t>
            </w:r>
          </w:p>
        </w:tc>
        <w:tc>
          <w:tcPr>
            <w:tcW w:w="6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r>
    </w:tbl>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amount of unrecognized tax benefits which would impact the annual effective tax rate if recognized were $0.8 million as of February 3, 2024, and $0.2 million each year as of January 28, 2023 and January 29, 2022. The amount of unrecognized tax benefits may change during the next twelve months but we do not believe the change, if any, will be material to our consolidated financial position or results of operations.</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recognize interest expense and penalties related to the above unrecognized tax benefits within income tax expense on the Consolidated Statements of Operations and it was not material for Fiscal 2024, 2023 or 2022. We recorded $2.7 million and $1.7 million of interest income within income tax expense, net on the Consolidated Statements of Operations for the years ended February 3, 2024 and January 28, 2023, respectively, related to our outstanding federal refund request. We did not record any interest income within income tax expense, net for the year ended January 29, 2022.</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file income tax returns in federal and in many state and local jurisdictions as well as foreign jurisdictions. With few exceptions, our state and local income tax returns for fiscal years ended January 30, 2021 and beyond remain subject to examination. In addition, we have subsidiaries in various foreign jurisdictions that have statutes of limitation generally ranging from two to six years. As part of the IRS audit of our federal income tax return for the fiscal year ended January 30, 2021, we have extended the statute of limitations for our fiscal years February 1, 2020, forward through April 30, 2025.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and Development has issued Pillar Two model rules introducing a new global minimum tax of 15% intended to be effective for our tax periods ending February 1, 2025 and forward. While the U.S. has not yet adopted the Pillar Two rules, various other governments around the world are enacting similar legislation. As currently designed, Pillar Two will ultimately apply to our worldwide operations. There remains uncertainty as to the final Pillar Two model rules. We are continuing to evaluate the Pillar Two rules and their potential impact on future periods, but we do not expect the rules to have a material impact on our effective tax rate.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Postretirement Benefit Plans</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provide health care benefits for early retirees that meet certain age and years of service criteria and life insurance benefits for certain retirees. Under the health care plan, early retirees are eligible for benefits until age 65. Employees who met certain requirements are eligible for life insurance benefits. We accrue such benefits during the period in which the employee renders service.</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of December 31, 2018, the early retiree medical plan was frozen to new entrants. The grandfathered group of employees as of December 31, 2018 were those that had reached age 45 and had at least 10 years of service with the Company and retire at age 55 or older and have at least 15 years of service with the Company.</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measurement date of the assets and liabilities for postretirement medical and life insurance plans is the month-end date that is closest to our fiscal year end.</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Consolidated Balance Sheets include other postretirement medical and life insurance liabilities of $5.3 million and $5.2 million as of February 3, 2024 and January 28, 2023, respectively. The amount recognized in accumulated other comprehensive loss on the Consolidated Balance Sheets was $1.1 million and $1.3 million as of February 3, 2024 and January 28, 2023, respectively. Our Consolidated Statement of Operations includes net periodic benefit cost for other postretirement benefits of $0.5 million, $0.3 million and $0.2 million in Fiscal 2024, 2023 and 2022,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401(k) Savings Plan</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a Section 401(k) Savings Plan available to all employees in the U.S, including retail employees who have completed 500 hours of service within the first six months of employment, and are age 18 or older. There is a similar savings plan available to U.K. employees.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January 1, 2005, we began matching 100% of each U.S. employee’s contribution of up to 3% of salary and 50% of the next 2% of salary. In addition, for those employees hired before December 31, 2004, who were eligible for our cash balance retirement plan before it was frozen, we annually make an additional contribution of 2.5% of salary to each employee’s account. Participants are immediately vested in their contributions and our matching contribution plus actual earnings thereon. Our contribution expense for matching programs in the U.S. and U.K. was approximately $6.9 million for Fiscal 2024, $5.2 million for Fiscal 2023 and $5.9 million for Fiscal 2022.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Basic earnings per share excludes dilution and is computed by dividing earnings available to common shareholders by the weighted average number of common shares outstanding for the period. Diluted earnings per share reflects the potential dilution that could occur if securities to issue common stock were exercised or converted to common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number of shares used for earnings per share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Fiscal Year</w:t>
            </w:r>
          </w:p>
        </w:tc>
        <w:tc>
          <w:tcPr>
            <w:tcW w:w="1160" w:type="dxa"/>
            <w:vAlign w:val="bottom"/>
            <w:tcBorders>
              <w:bottom w:val="single" w:sz="8" w:color="auto"/>
            </w:tcBorders>
          </w:tcPr>
          <w:p>
            <w:pPr>
              <w:spacing w:after="0"/>
              <w:rPr>
                <w:sz w:val="20"/>
                <w:szCs w:val="20"/>
                <w:color w:val="auto"/>
              </w:rPr>
            </w:pPr>
          </w:p>
        </w:tc>
      </w:tr>
      <w:tr>
        <w:trPr>
          <w:trHeight w:val="240"/>
        </w:trPr>
        <w:tc>
          <w:tcPr>
            <w:tcW w:w="5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in thousands)</w:t>
            </w:r>
          </w:p>
        </w:tc>
        <w:tc>
          <w:tcPr>
            <w:tcW w:w="28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6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r>
      <w:tr>
        <w:trPr>
          <w:trHeight w:val="23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 basic</w:t>
            </w:r>
          </w:p>
        </w:tc>
        <w:tc>
          <w:tcPr>
            <w:tcW w:w="2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11,243</w:t>
            </w:r>
          </w:p>
        </w:tc>
        <w:tc>
          <w:tcPr>
            <w:tcW w:w="1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12,457</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14,170</w:t>
            </w:r>
          </w:p>
        </w:tc>
      </w:tr>
      <w:tr>
        <w:trPr>
          <w:trHeight w:val="243"/>
        </w:trPr>
        <w:tc>
          <w:tcPr>
            <w:tcW w:w="5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equivalents</w:t>
            </w:r>
          </w:p>
        </w:tc>
        <w:tc>
          <w:tcPr>
            <w:tcW w:w="28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250</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r>
      <w:tr>
        <w:trPr>
          <w:trHeight w:val="23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 diluted</w:t>
            </w:r>
          </w:p>
        </w:tc>
        <w:tc>
          <w:tcPr>
            <w:tcW w:w="2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11,243</w:t>
            </w:r>
          </w:p>
        </w:tc>
        <w:tc>
          <w:tcPr>
            <w:tcW w:w="1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12,707</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14,509</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equivalents are excluded in Fiscal 2024 due to the loss from continuing operations.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repurchased 1,261,295 shares during Fiscal 2024 at a cost of $32.0 million or an average of $25.39 per share. We were operating under a $100.0 million repurchase authorization from February 2022. In June 2023, we announced an additional $50.0 million share repurchase authorization. As of February 3, 2024, we have $52.1 million remaining under the expanded share repurchase authorization. We repurchased 1,380,272 shares during Fiscal 2023 at a cost of $72.7 million or an average of $52.66 per share. We repurchased 1,360,909 shares during Fiscal 2022 at a cost of $82.8 million or an average of $60.88 per share. During the first quarter of Fiscal 2025, through March 27, 2024, we did not repurchase any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Plans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share-based compensation plan, the 2020 Plan, which became effective June 25, 2020. Under the 2020 Plan, we may grant non-qualified stock options, RSAs, RSUs and PSUs and other stock-based awards to our key employees, non-employee directors and consultants for up to 1.8 million shares of common stock. Under the 2020 Plan, as amended and restated on June 22, 2023, an additional 0.5 million shares of common stock were authorized for such grants. Outstanding PSUs are subject to performance conditions that include either total Company performance metrics or business unit performance metrics along with a requirement that a recipient's service with the Company continue through the end of the performance period. The fair value of RSAs, RSUs and PSUs is determined based on the closing price of our common stock on the date of grant. Forfeitures for these awards are recognized as they occur. The 2020 Plan replaced our Second Amended and Restated 2009 Equity Incentive Plan (the “2009 Plan”). There will be no future awards under the 2009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Cash Incentive Plans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Under both the 2009 and 2020 Plans, the exercise price of each stock option equals the market price of our stock on the date of grant, and an option’s maximum term is 10 years. Stock options granted under both plans primarily vest 25% per year over four years. We did not capitalize any share-based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Plans, Continued</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established the 2020 Restricted Cash Incentive Program (the “Program”) in Fiscal 2021 to attract and retain executive officers and key employees. Officers and employees of the Company or its subsidiaries during Fiscal 2021 were eligible to receive grants under the Program. Total cash of $2.7 million was granted in June 2020 under this Program. Cash granted under the Program will primarily vest 25% per year over four years. The compensation paid under the Program is taxable and subject to applicable tax withholding requirements. Compensation expense recognized in selling and administrative expenses in the accompanying Consolidated Statements of Operations for this cash grant was $0.5 million, $0.6 million and $0.7 million for Fiscal 2024, Fiscal 2023 and Fiscal 2022,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Incentive Plans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Restricted Stock</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2020 Plan permits grants to non-employee directors on such terms as the Board of Directors may approve. Restricted stock awards were made to independent directors on the date of the annual meeting of shareholders in each of Fiscal 2024, 2023 and 2022. The shares granted in each award vested on the earlier of the first anniversary of the grant date and the date of the next annual meeting of shareholders, subject to the director's continued service through that date.</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grants for Fiscal 2024 and Fiscal 2023 were valued at $120,000 per director and the grants for Fiscal 2022 were valued at $107,500 per director. For Fiscal 2024, 2023 and 2022, we issued 37,264 shares, 16,536 shares and 14,936 shares, respectively, of director restricted stock. In addition, we issued 1,020 shares and 504 shares to newly elected directors in Fiscal 2024 and Fiscal 2022, respectively. We did not issue any shares to new directors in Fiscal 2023.</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recognized $1.0 million, $1.0 million and $0.7 million of director restricted stock related share-based compensation in Fiscal 2024, 2023 and 2022 in selling and administrative expenses in the accompanying Consolidated Statements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Restricted Stock Awards and Units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2020 Plan, we issued 256,866 shares, 221,581 shares and 228,444 shares of RSAs in Fiscal 2024, 2023 and Fiscal 2022, respectively. Shares of RSAs issued in Fiscal 2024 primarily vest 33% per year over three years and RSAs issued in Fiscal 2023 and 2022 primarily vest 25% per year over four years, provided that on such date the grantee has remained continuously employed by the Company since the date of grant. In addition, we issued 77,487 shares of RSAs to certain executive employees in lieu of a portion of their performance-based compensation in Fiscal 2023. These restricted shares vest two-thirds in Fiscal 2024 and one-third in Fiscal 2025. Total RSAs issued in Fiscal 2023, including the annual grant to certain employees and performance-based compensation shares, were 299,068 restricted shares. Under the original 2020 Plan, restricted share grants depleted the shares available for future grants at a ratio of 1.72 shares per restricted share granted. Under the 2020 Plan, as amended and restated, restricted share grants after March 24, 2023 deplete the shares available for future grants at a ratio of 1.52 shares per restricted share granted.</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Additionally, we issued 878, 846 and 919 RSUs in Fiscal 2024, 2023 and 2022, respectively, to certain employees at no cost that vest over three years. The fair value of RSAs and RSUs is charged against income as compensation expense over the vesting period. Compensation expense recognized in selling and administrative expenses in the accompanying Consolidated Statements of Operations for these shares was $12.6 million, $12.9 million and $8.3 million for Fiscal 2024, 2023 and 2022, respectively.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Plans, Continued</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status of our nonvested shares of our RSAs as of February 3, 2024 is presented below:</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4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6"/>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Restricted Stock Awards</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Grant-Date</w:t>
            </w:r>
          </w:p>
        </w:tc>
        <w:tc>
          <w:tcPr>
            <w:tcW w:w="0" w:type="dxa"/>
            <w:vAlign w:val="bottom"/>
          </w:tcPr>
          <w:p>
            <w:pPr>
              <w:spacing w:after="0"/>
              <w:rPr>
                <w:sz w:val="1"/>
                <w:szCs w:val="1"/>
                <w:color w:val="auto"/>
              </w:rPr>
            </w:pPr>
          </w:p>
        </w:tc>
      </w:tr>
      <w:tr>
        <w:trPr>
          <w:trHeight w:val="241"/>
        </w:trPr>
        <w:tc>
          <w:tcPr>
            <w:tcW w:w="7900" w:type="dxa"/>
            <w:vAlign w:val="bottom"/>
            <w:tcBorders>
              <w:bottom w:val="single" w:sz="8" w:color="auto"/>
            </w:tcBorders>
            <w:gridSpan w:val="2"/>
            <w:vMerge w:val="continue"/>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30, 2021</w:t>
            </w:r>
          </w:p>
        </w:tc>
        <w:tc>
          <w:tcPr>
            <w:tcW w:w="15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666,090</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36"/>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228,444</w:t>
            </w:r>
          </w:p>
        </w:tc>
        <w:tc>
          <w:tcPr>
            <w:tcW w:w="3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63.40</w:t>
            </w:r>
          </w:p>
        </w:tc>
        <w:tc>
          <w:tcPr>
            <w:tcW w:w="0" w:type="dxa"/>
            <w:vAlign w:val="bottom"/>
          </w:tcPr>
          <w:p>
            <w:pPr>
              <w:spacing w:after="0"/>
              <w:rPr>
                <w:sz w:val="1"/>
                <w:szCs w:val="1"/>
                <w:color w:val="auto"/>
              </w:rPr>
            </w:pPr>
          </w:p>
        </w:tc>
      </w:tr>
      <w:tr>
        <w:trPr>
          <w:trHeight w:val="247"/>
        </w:trPr>
        <w:tc>
          <w:tcPr>
            <w:tcW w:w="7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(162,205 )</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238"/>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Withheld for federal taxes</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(64,535 )</w:t>
            </w:r>
          </w:p>
        </w:tc>
        <w:tc>
          <w:tcPr>
            <w:tcW w:w="3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(6,885 )</w:t>
            </w:r>
          </w:p>
        </w:tc>
        <w:tc>
          <w:tcPr>
            <w:tcW w:w="3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34.89</w:t>
            </w:r>
          </w:p>
        </w:tc>
        <w:tc>
          <w:tcPr>
            <w:tcW w:w="0" w:type="dxa"/>
            <w:vAlign w:val="bottom"/>
          </w:tcPr>
          <w:p>
            <w:pPr>
              <w:spacing w:after="0"/>
              <w:rPr>
                <w:sz w:val="1"/>
                <w:szCs w:val="1"/>
                <w:color w:val="auto"/>
              </w:rPr>
            </w:pPr>
          </w:p>
        </w:tc>
      </w:tr>
      <w:tr>
        <w:trPr>
          <w:trHeight w:val="236"/>
        </w:trPr>
        <w:tc>
          <w:tcPr>
            <w:tcW w:w="7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January 29, 2022</w:t>
            </w: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660,909</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39.46</w:t>
            </w:r>
          </w:p>
        </w:tc>
        <w:tc>
          <w:tcPr>
            <w:tcW w:w="0" w:type="dxa"/>
            <w:vAlign w:val="bottom"/>
          </w:tcPr>
          <w:p>
            <w:pPr>
              <w:spacing w:after="0"/>
              <w:rPr>
                <w:sz w:val="1"/>
                <w:szCs w:val="1"/>
                <w:color w:val="auto"/>
              </w:rPr>
            </w:pPr>
          </w:p>
        </w:tc>
      </w:tr>
      <w:tr>
        <w:trPr>
          <w:trHeight w:val="240"/>
        </w:trPr>
        <w:tc>
          <w:tcPr>
            <w:tcW w:w="7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299,068</w:t>
            </w:r>
          </w:p>
        </w:tc>
        <w:tc>
          <w:tcPr>
            <w:tcW w:w="3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57.91</w:t>
            </w:r>
          </w:p>
        </w:tc>
        <w:tc>
          <w:tcPr>
            <w:tcW w:w="0" w:type="dxa"/>
            <w:vAlign w:val="bottom"/>
          </w:tcPr>
          <w:p>
            <w:pPr>
              <w:spacing w:after="0"/>
              <w:rPr>
                <w:sz w:val="1"/>
                <w:szCs w:val="1"/>
                <w:color w:val="auto"/>
              </w:rPr>
            </w:pPr>
          </w:p>
        </w:tc>
      </w:tr>
      <w:tr>
        <w:trPr>
          <w:trHeight w:val="238"/>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(166,638 )</w:t>
            </w:r>
          </w:p>
        </w:tc>
        <w:tc>
          <w:tcPr>
            <w:tcW w:w="3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47"/>
        </w:trPr>
        <w:tc>
          <w:tcPr>
            <w:tcW w:w="7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Withheld for federal taxes</w:t>
            </w:r>
          </w:p>
        </w:tc>
        <w:tc>
          <w:tcPr>
            <w:tcW w:w="1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(73,137 )</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(31,057 )</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236"/>
        </w:trPr>
        <w:tc>
          <w:tcPr>
            <w:tcW w:w="790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28, 2023</w:t>
            </w:r>
          </w:p>
        </w:tc>
        <w:tc>
          <w:tcPr>
            <w:tcW w:w="15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689,145</w:t>
            </w:r>
          </w:p>
        </w:tc>
        <w:tc>
          <w:tcPr>
            <w:tcW w:w="3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47.85</w:t>
            </w:r>
          </w:p>
        </w:tc>
        <w:tc>
          <w:tcPr>
            <w:tcW w:w="0" w:type="dxa"/>
            <w:vAlign w:val="bottom"/>
          </w:tcPr>
          <w:p>
            <w:pPr>
              <w:spacing w:after="0"/>
              <w:rPr>
                <w:sz w:val="1"/>
                <w:szCs w:val="1"/>
                <w:color w:val="auto"/>
              </w:rPr>
            </w:pPr>
          </w:p>
        </w:tc>
      </w:tr>
      <w:tr>
        <w:trPr>
          <w:trHeight w:val="238"/>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256,866</w:t>
            </w:r>
          </w:p>
        </w:tc>
        <w:tc>
          <w:tcPr>
            <w:tcW w:w="3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36.21</w:t>
            </w:r>
          </w:p>
        </w:tc>
        <w:tc>
          <w:tcPr>
            <w:tcW w:w="0" w:type="dxa"/>
            <w:vAlign w:val="bottom"/>
          </w:tcPr>
          <w:p>
            <w:pPr>
              <w:spacing w:after="0"/>
              <w:rPr>
                <w:sz w:val="1"/>
                <w:szCs w:val="1"/>
                <w:color w:val="auto"/>
              </w:rPr>
            </w:pPr>
          </w:p>
        </w:tc>
      </w:tr>
      <w:tr>
        <w:trPr>
          <w:trHeight w:val="245"/>
        </w:trPr>
        <w:tc>
          <w:tcPr>
            <w:tcW w:w="7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(210,757 )</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46.10</w:t>
            </w:r>
          </w:p>
        </w:tc>
        <w:tc>
          <w:tcPr>
            <w:tcW w:w="0" w:type="dxa"/>
            <w:vAlign w:val="bottom"/>
          </w:tcPr>
          <w:p>
            <w:pPr>
              <w:spacing w:after="0"/>
              <w:rPr>
                <w:sz w:val="1"/>
                <w:szCs w:val="1"/>
                <w:color w:val="auto"/>
              </w:rPr>
            </w:pPr>
          </w:p>
        </w:tc>
      </w:tr>
      <w:tr>
        <w:trPr>
          <w:trHeight w:val="24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Withheld for federal taxes</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(86,179 )</w:t>
            </w:r>
          </w:p>
        </w:tc>
        <w:tc>
          <w:tcPr>
            <w:tcW w:w="3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44.87</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(76,633 )</w:t>
            </w:r>
          </w:p>
        </w:tc>
        <w:tc>
          <w:tcPr>
            <w:tcW w:w="3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45.32</w:t>
            </w:r>
          </w:p>
        </w:tc>
        <w:tc>
          <w:tcPr>
            <w:tcW w:w="0" w:type="dxa"/>
            <w:vAlign w:val="bottom"/>
          </w:tcPr>
          <w:p>
            <w:pPr>
              <w:spacing w:after="0"/>
              <w:rPr>
                <w:sz w:val="1"/>
                <w:szCs w:val="1"/>
                <w:color w:val="auto"/>
              </w:rPr>
            </w:pPr>
          </w:p>
        </w:tc>
      </w:tr>
      <w:tr>
        <w:trPr>
          <w:trHeight w:val="236"/>
        </w:trPr>
        <w:tc>
          <w:tcPr>
            <w:tcW w:w="7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February 3, 2024</w:t>
            </w: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572,442</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44.06</w:t>
            </w:r>
          </w:p>
        </w:tc>
        <w:tc>
          <w:tcPr>
            <w:tcW w:w="0" w:type="dxa"/>
            <w:vAlign w:val="bottom"/>
          </w:tcPr>
          <w:p>
            <w:pPr>
              <w:spacing w:after="0"/>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February 3, 2024, we had $17.0 million of total unrecognized compensation expense related to nonvested RSAs discussed above. That cost is expected to be recognized over a weighted average period of 1.44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Performance-Based Share Units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Fiscal 2024, we granted 96,866 PSUs (assuming target level achievement) to certain members of senior management. The actual number of shares that will be issued will be based on actual performance and can range from 0% and 200% of the shares granted. Performance conditions include both total Company and business unit performance metrics along with a requirement that a recipient's service with the Company continue through the end of the performance period. Compensation expense for PSUs, net of forfeitures, is recognized on a straight-line basis over the requisite service period and is updated for our expected performance level against performance goals at the end of each reporting period, which involves judgment as to the achievement of those goals. If performance goals are achieved, the PSUs will be issued based on the achievement level and will cliff vest in full at the end of the three-year performance period. Any portion of the PSUs that are not earned by the end of the three year period will be forfeited. Under the 2020 Plan, as amended and restated, PSUs deplete the shares available for future grants at a ratio of 1.52 shares per PSU granted. Compensation expense recognized in selling and administrative expenses in the accompanying Consolidated Statements of Operations for PSUs was $0.3 million for Fiscal 2024.</w:t>
      </w:r>
    </w:p>
    <w:p>
      <w:pPr>
        <w:spacing w:after="0" w:line="14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weighted average grant date fair value of the 96,866 PSUs granted for Fiscal 2024 was $37.22 per share. There were 7,612 PSUs forfeited during Fiscal 2024 at a weighted average grant date fair value of $37.22 per share. PSUs outstanding as of February 3, 2024 were 89,254 shares, assuming performance achievement at target.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Plans, Continued</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February 3, 2024, we had $0.7 million of total unrecognized compensation expense related to non-vested PSUs discussed above. That cost is expected to be recognized over a weighted average period of 2.0 years. There were no modifications to PSUs in Fiscal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legacy obligations including environmental monitoring and reporting costs related to: (i) a 2016 consent judgment entered into with the United States Environmental Protection Agency involving the site of a knitting mill operated by a former subsidiary of ours from 1965 to 1969 in Garden City, New York; and (ii) a 2010 consent decree with the Michigan Department of Natural Resources and Environment relating to our former Volunteer Leather Company facility in Whitehall, Michigan. We do not expect that future obligations related to either of these sites will have a material effect on our financial condition or results of operations.</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fourth quarter of Fiscal 2024, we received insurance proceeds totaling $9.4 million ($7.2 million, net of tax) related to legacy environmental matters discussed above. The insurance proceeds are included in gain (loss) from discontinued operations, net of tax on the Consolidated Statements of Operations in Fiscal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Accrual for Environmental Contingencies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to all outstanding environmental contingencies, we had accrued $2.0 million as of February 3, 2024, $1.7 million as of January 28, 2023 and $1.4 million as of January 29, 2022. All such provisions reflect our estimates of the most likely cost (undiscounted, including both current and noncurrent portions) of resolving the contingencies, based on facts and circumstances as of the time they were made. There is no assurance that relevant facts and circumstances will not change, necessitating future changes to the provisions. Such contingent liabilities are included in the liability arising from provision for discontinued operations on the accompanying Consolidated Balance Sheets because it relates to former facilities operated by us. We have made pretax accruals for certain of these contingencies, including approximately $0.5 million in Fiscal 2024, $0.4 million in Fiscal 2023 and $0.2 million in Fiscal 2022. These charges are included in gain (loss) from discontinued operations, net in the Consolidated Statements of Operations and represent changes in estimates.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 Continued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Related to Discontinued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Lids Sports Group sales transaction, the purchaser has agreed to indemnify and hold us harmless in connection with continuing obligations and any guarantees of ours in place as of February 2, 2019 in respect of post-closing or assumed liabilities or obligations of the Lids Sports Group business. The purchaser has agreed to use commercially reasonable efforts to have any guarantees by, or continuing obligations of, the Company released. However, we are contingently liable in the event of a breach by the purchaser of any such obligation to a third-party. In addition, we are a guarantor for five Lids Sports Group leases with lease expirations through May 2025 and estimated maximum future payments totaling $3.0 million as of February 3, 2024. We do not believe the fair value of the guarantees is material to our Consolidated Financial Statements.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to the matters specifically described in this Note, we are a party to other legal and regulatory proceedings and claims arising in the ordinary course of our business. While management does not believe that our liability with respect to any of these other matters is likely to have a material effect on our financial statements, legal proceedings are subject to inherent uncertainties and unfavorable rulings could have a material adverse impact on our financial statements.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reportable segments are based on management's organization of the segments in order to make operating decisions and assess performance along types of products sold. Journeys Group and Schuh Group sell primarily branded products from other companies while Johnston &amp; Murphy Group and Genesco Brands Group sell primarily our owned and licensed brands.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Corporate assets include cash, domestic prepaid rent expense, prepaid income taxes, deferred income taxes, deferred note expense on revolver debt, corporate fixed assets, corporate operating lease right of use assets and miscellaneous investments. We do not allocate certain costs to each segment in order to make decisions and assess performance. These costs include corporate overhead, bank fees, interest expense, interest income, goodwill impairment, asset impairment charges and other, including severance, insurance gains, a gain on the termination of the pension plan, a gain on the sale of a distribution warehouse, major litigation and major lease terminations.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 Continued</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Johnston</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02"/>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&amp;</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2"/>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6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240" w:type="dxa"/>
            <w:vAlign w:val="bottom"/>
          </w:tcPr>
          <w:p>
            <w:pPr>
              <w:spacing w:after="0"/>
              <w:rPr>
                <w:sz w:val="17"/>
                <w:szCs w:val="17"/>
                <w:color w:val="auto"/>
              </w:rPr>
            </w:pPr>
          </w:p>
        </w:tc>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Murphy</w:t>
            </w:r>
          </w:p>
        </w:tc>
        <w:tc>
          <w:tcPr>
            <w:tcW w:w="160" w:type="dxa"/>
            <w:vAlign w:val="bottom"/>
          </w:tcPr>
          <w:p>
            <w:pPr>
              <w:spacing w:after="0"/>
              <w:rPr>
                <w:sz w:val="17"/>
                <w:szCs w:val="17"/>
                <w:color w:val="auto"/>
              </w:rPr>
            </w:pP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Genesco</w:t>
            </w:r>
          </w:p>
        </w:tc>
        <w:tc>
          <w:tcPr>
            <w:tcW w:w="160" w:type="dxa"/>
            <w:vAlign w:val="bottom"/>
          </w:tcPr>
          <w:p>
            <w:pPr>
              <w:spacing w:after="0"/>
              <w:rPr>
                <w:sz w:val="17"/>
                <w:szCs w:val="17"/>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5"/>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Brands Group</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2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1,363,835</w:t>
            </w:r>
          </w:p>
        </w:tc>
        <w:tc>
          <w:tcPr>
            <w:tcW w:w="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480,164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339,460</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145,224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2,328,683</w:t>
            </w:r>
          </w:p>
        </w:tc>
      </w:tr>
      <w:tr>
        <w:trPr>
          <w:trHeight w:val="223"/>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Intercompany sales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(14 )</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(4,045 )</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(4,059 )</w:t>
            </w:r>
          </w:p>
        </w:tc>
      </w:tr>
      <w:tr>
        <w:trPr>
          <w:trHeight w:val="229"/>
        </w:trPr>
        <w:tc>
          <w:tcPr>
            <w:tcW w:w="3900" w:type="dxa"/>
            <w:vAlign w:val="bottom"/>
            <w:tcBorders>
              <w:bottom w:val="single" w:sz="8" w:color="auto"/>
            </w:tcBorders>
            <w:shd w:val="clear" w:color="auto" w:fill="CFF0FC"/>
          </w:tcPr>
          <w:p>
            <w:pPr>
              <w:ind w:left="20"/>
              <w:spacing w:after="0" w:line="229" w:lineRule="exact"/>
              <w:rPr>
                <w:sz w:val="20"/>
                <w:szCs w:val="20"/>
                <w:color w:val="auto"/>
              </w:rPr>
            </w:pPr>
            <w:r>
              <w:rPr>
                <w:rFonts w:ascii="Times New Roman" w:cs="Times New Roman" w:eastAsia="Times New Roman" w:hAnsi="Times New Roman"/>
                <w:sz w:val="16"/>
                <w:szCs w:val="16"/>
                <w:b w:val="1"/>
                <w:bCs w:val="1"/>
                <w:color w:val="auto"/>
              </w:rPr>
              <w:t>Net sales to external customers</w:t>
            </w:r>
            <w:r>
              <w:rPr>
                <w:rFonts w:ascii="Times New Roman" w:cs="Times New Roman" w:eastAsia="Times New Roman" w:hAnsi="Times New Roman"/>
                <w:sz w:val="21"/>
                <w:szCs w:val="21"/>
                <w:b w:val="1"/>
                <w:bCs w:val="1"/>
                <w:color w:val="auto"/>
                <w:vertAlign w:val="superscript"/>
              </w:rPr>
              <w:t>(1)</w:t>
            </w: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1,363,835</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480,164</w:t>
            </w: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339,446</w:t>
            </w: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141,179</w:t>
            </w: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2,324,624</w:t>
            </w:r>
          </w:p>
        </w:tc>
      </w:tr>
      <w:tr>
        <w:trPr>
          <w:trHeight w:val="21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11,072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21,435</w:t>
            </w:r>
          </w:p>
        </w:tc>
        <w:tc>
          <w:tcPr>
            <w:tcW w:w="2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16,314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(8 )</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(32,033 )</w:t>
            </w: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16,780</w:t>
            </w:r>
          </w:p>
        </w:tc>
      </w:tr>
      <w:tr>
        <w:trPr>
          <w:trHeight w:val="238"/>
        </w:trPr>
        <w:tc>
          <w:tcPr>
            <w:tcW w:w="3900" w:type="dxa"/>
            <w:vAlign w:val="bottom"/>
            <w:shd w:val="clear" w:color="auto" w:fill="CFF0FC"/>
          </w:tcPr>
          <w:p>
            <w:pPr>
              <w:ind w:left="20"/>
              <w:spacing w:after="0" w:line="238" w:lineRule="exact"/>
              <w:rPr>
                <w:sz w:val="20"/>
                <w:szCs w:val="20"/>
                <w:color w:val="auto"/>
              </w:rPr>
            </w:pPr>
            <w:r>
              <w:rPr>
                <w:rFonts w:ascii="Times New Roman" w:cs="Times New Roman" w:eastAsia="Times New Roman" w:hAnsi="Times New Roman"/>
                <w:sz w:val="16"/>
                <w:szCs w:val="16"/>
                <w:color w:val="auto"/>
              </w:rPr>
              <w:t>Goodwill impairment</w:t>
            </w:r>
            <w:r>
              <w:rPr>
                <w:rFonts w:ascii="Times New Roman" w:cs="Times New Roman" w:eastAsia="Times New Roman" w:hAnsi="Times New Roman"/>
                <w:sz w:val="21"/>
                <w:szCs w:val="21"/>
                <w:color w:val="auto"/>
                <w:vertAlign w:val="superscript"/>
              </w:rPr>
              <w:t>(2)</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28,453</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28,453</w:t>
            </w:r>
          </w:p>
        </w:tc>
      </w:tr>
      <w:tr>
        <w:trPr>
          <w:trHeight w:val="229"/>
        </w:trPr>
        <w:tc>
          <w:tcPr>
            <w:tcW w:w="3900" w:type="dxa"/>
            <w:vAlign w:val="bottom"/>
            <w:tcBorders>
              <w:bottom w:val="single" w:sz="8" w:color="auto"/>
            </w:tcBorders>
          </w:tcPr>
          <w:p>
            <w:pPr>
              <w:ind w:left="20"/>
              <w:spacing w:after="0" w:line="229" w:lineRule="exact"/>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1,787</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1,787</w:t>
            </w:r>
          </w:p>
        </w:tc>
      </w:tr>
      <w:tr>
        <w:trPr>
          <w:trHeight w:val="22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11,072</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21,435</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16,314</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(8 )</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(62,273 )</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(13,460 )</w:t>
            </w:r>
          </w:p>
        </w:tc>
      </w:tr>
      <w:tr>
        <w:trPr>
          <w:trHeight w:val="221"/>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537</w:t>
            </w:r>
          </w:p>
        </w:tc>
        <w:tc>
          <w:tcPr>
            <w:tcW w:w="1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537</w:t>
            </w:r>
          </w:p>
        </w:tc>
      </w:tr>
      <w:tr>
        <w:trPr>
          <w:trHeight w:val="251"/>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expense,net</w:t>
            </w: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7,777</w:t>
            </w: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7,777</w:t>
            </w:r>
          </w:p>
        </w:tc>
      </w:tr>
      <w:tr>
        <w:trPr>
          <w:trHeight w:val="193"/>
        </w:trPr>
        <w:tc>
          <w:tcPr>
            <w:tcW w:w="3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from continuing operations before</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5"/>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11,072</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21,435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16,314</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(8 ) $</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(70,587 )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(21,774 )</w:t>
            </w:r>
          </w:p>
        </w:tc>
      </w:tr>
      <w:tr>
        <w:trPr>
          <w:trHeight w:val="229"/>
        </w:trPr>
        <w:tc>
          <w:tcPr>
            <w:tcW w:w="3900" w:type="dxa"/>
            <w:vAlign w:val="bottom"/>
            <w:shd w:val="clear" w:color="auto" w:fill="CFF0FC"/>
          </w:tcPr>
          <w:p>
            <w:pPr>
              <w:ind w:left="20"/>
              <w:spacing w:after="0" w:line="229" w:lineRule="exact"/>
              <w:rPr>
                <w:sz w:val="20"/>
                <w:szCs w:val="20"/>
                <w:color w:val="auto"/>
              </w:rPr>
            </w:pPr>
            <w:r>
              <w:rPr>
                <w:rFonts w:ascii="Times New Roman" w:cs="Times New Roman" w:eastAsia="Times New Roman" w:hAnsi="Times New Roman"/>
                <w:sz w:val="16"/>
                <w:szCs w:val="16"/>
                <w:color w:val="auto"/>
              </w:rPr>
              <w:t>Total assets at fiscal year end</w:t>
            </w:r>
            <w:r>
              <w:rPr>
                <w:rFonts w:ascii="Times New Roman" w:cs="Times New Roman" w:eastAsia="Times New Roman" w:hAnsi="Times New Roman"/>
                <w:sz w:val="21"/>
                <w:szCs w:val="21"/>
                <w:color w:val="auto"/>
                <w:vertAlign w:val="superscript"/>
              </w:rPr>
              <w:t>(4)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659,150</w:t>
            </w:r>
          </w:p>
        </w:tc>
        <w:tc>
          <w:tcPr>
            <w:tcW w:w="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200,482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165,217</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59,630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245,411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1,329,890</w:t>
            </w:r>
          </w:p>
        </w:tc>
      </w:tr>
      <w:tr>
        <w:trPr>
          <w:trHeight w:val="221"/>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32,419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6,636</w:t>
            </w:r>
          </w:p>
        </w:tc>
        <w:tc>
          <w:tcPr>
            <w:tcW w:w="24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5,113</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984</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4,289</w:t>
            </w:r>
          </w:p>
        </w:tc>
        <w:tc>
          <w:tcPr>
            <w:tcW w:w="1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49,441</w:t>
            </w:r>
          </w:p>
        </w:tc>
      </w:tr>
      <w:tr>
        <w:trPr>
          <w:trHeight w:val="271"/>
        </w:trPr>
        <w:tc>
          <w:tcPr>
            <w:tcW w:w="39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38,093</w:t>
            </w:r>
          </w:p>
        </w:tc>
        <w:tc>
          <w:tcPr>
            <w:tcW w:w="260" w:type="dxa"/>
            <w:vAlign w:val="bottom"/>
            <w:tcBorders>
              <w:bottom w:val="single" w:sz="8" w:color="auto"/>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12,183</w:t>
            </w:r>
          </w:p>
        </w:tc>
        <w:tc>
          <w:tcPr>
            <w:tcW w:w="24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6,785</w:t>
            </w:r>
          </w:p>
        </w:tc>
        <w:tc>
          <w:tcPr>
            <w:tcW w:w="160" w:type="dxa"/>
            <w:vAlign w:val="bottom"/>
            <w:tcBorders>
              <w:bottom w:val="single" w:sz="8" w:color="auto"/>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2,214</w:t>
            </w:r>
          </w:p>
        </w:tc>
        <w:tc>
          <w:tcPr>
            <w:tcW w:w="16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1,028</w:t>
            </w:r>
          </w:p>
        </w:tc>
        <w:tc>
          <w:tcPr>
            <w:tcW w:w="12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60,303</w:t>
            </w:r>
          </w:p>
        </w:tc>
      </w:tr>
    </w:tbl>
    <w:p>
      <w:pPr>
        <w:spacing w:after="0" w:line="116" w:lineRule="exact"/>
        <w:rPr>
          <w:sz w:val="20"/>
          <w:szCs w:val="20"/>
          <w:color w:val="auto"/>
        </w:rPr>
      </w:pPr>
    </w:p>
    <w:p>
      <w:pPr>
        <w:ind w:left="380" w:hanging="372"/>
        <w:spacing w:after="0" w:line="223" w:lineRule="auto"/>
        <w:tabs>
          <w:tab w:leader="none" w:pos="38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Net sales in North America and in the United Kingdom, which includes the Republic of Ireland, accounted for 79% and 21%, respectively, of our net sales for Fiscal 2024.</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7" w:lineRule="auto"/>
        <w:tabs>
          <w:tab w:leader="none" w:pos="38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Goodwill impairment of $28.5 million is related to Genesco Brands Group.</w:t>
      </w:r>
    </w:p>
    <w:p>
      <w:pPr>
        <w:spacing w:after="0" w:line="2" w:lineRule="exact"/>
        <w:rPr>
          <w:rFonts w:ascii="Times New Roman" w:cs="Times New Roman" w:eastAsia="Times New Roman" w:hAnsi="Times New Roman"/>
          <w:sz w:val="24"/>
          <w:szCs w:val="24"/>
          <w:color w:val="auto"/>
          <w:vertAlign w:val="superscript"/>
        </w:rPr>
      </w:pPr>
    </w:p>
    <w:p>
      <w:pPr>
        <w:ind w:left="380" w:right="20" w:hanging="372"/>
        <w:spacing w:after="0" w:line="213" w:lineRule="auto"/>
        <w:tabs>
          <w:tab w:leader="none" w:pos="38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Asset impairments and other includes $1.1 million for severance and a $1.0 million charge for asset impairments in the Journeys Group, partially offset by a $0.3 million insurance gain.</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7" w:lineRule="auto"/>
        <w:tabs>
          <w:tab w:leader="none" w:pos="38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$677.2 million of long-lived assets, $89.4 million and $12.3 million relate to long-lived assets in the U.K. and Canada,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 Continued</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Johnston</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2"/>
        </w:trPr>
        <w:tc>
          <w:tcPr>
            <w:tcW w:w="3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6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180" w:type="dxa"/>
            <w:vAlign w:val="bottom"/>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&amp; Murphy</w:t>
            </w:r>
          </w:p>
        </w:tc>
        <w:tc>
          <w:tcPr>
            <w:tcW w:w="20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Genesco</w:t>
            </w:r>
          </w:p>
        </w:tc>
        <w:tc>
          <w:tcPr>
            <w:tcW w:w="160" w:type="dxa"/>
            <w:vAlign w:val="bottom"/>
          </w:tcPr>
          <w:p>
            <w:pPr>
              <w:spacing w:after="0"/>
              <w:rPr>
                <w:sz w:val="17"/>
                <w:szCs w:val="17"/>
                <w:color w:val="auto"/>
              </w:rPr>
            </w:pP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Brands Group</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2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1,482,203</w:t>
            </w:r>
          </w:p>
        </w:tc>
        <w:tc>
          <w:tcPr>
            <w:tcW w:w="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432,002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314,759</w:t>
            </w: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158,684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2,387,648</w:t>
            </w:r>
          </w:p>
        </w:tc>
      </w:tr>
      <w:tr>
        <w:trPr>
          <w:trHeight w:val="22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Intercompany sales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(2,760 )</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(2,760 )</w:t>
            </w:r>
          </w:p>
        </w:tc>
      </w:tr>
      <w:tr>
        <w:trPr>
          <w:trHeight w:val="229"/>
        </w:trPr>
        <w:tc>
          <w:tcPr>
            <w:tcW w:w="3660" w:type="dxa"/>
            <w:vAlign w:val="bottom"/>
            <w:tcBorders>
              <w:bottom w:val="single" w:sz="8" w:color="auto"/>
            </w:tcBorders>
            <w:shd w:val="clear" w:color="auto" w:fill="CFF0FC"/>
          </w:tcPr>
          <w:p>
            <w:pPr>
              <w:ind w:left="20"/>
              <w:spacing w:after="0" w:line="229" w:lineRule="exact"/>
              <w:rPr>
                <w:sz w:val="20"/>
                <w:szCs w:val="20"/>
                <w:color w:val="auto"/>
              </w:rPr>
            </w:pPr>
            <w:r>
              <w:rPr>
                <w:rFonts w:ascii="Times New Roman" w:cs="Times New Roman" w:eastAsia="Times New Roman" w:hAnsi="Times New Roman"/>
                <w:sz w:val="16"/>
                <w:szCs w:val="16"/>
                <w:b w:val="1"/>
                <w:bCs w:val="1"/>
                <w:color w:val="auto"/>
              </w:rPr>
              <w:t>Net sales to external customers</w:t>
            </w:r>
            <w:r>
              <w:rPr>
                <w:rFonts w:ascii="Times New Roman" w:cs="Times New Roman" w:eastAsia="Times New Roman" w:hAnsi="Times New Roman"/>
                <w:sz w:val="21"/>
                <w:szCs w:val="21"/>
                <w:b w:val="1"/>
                <w:bCs w:val="1"/>
                <w:color w:val="auto"/>
                <w:vertAlign w:val="superscript"/>
              </w:rPr>
              <w:t>(1)</w:t>
            </w: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1,482,203</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432,002</w:t>
            </w: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314,759</w:t>
            </w: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155,924</w:t>
            </w: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2,384,888</w:t>
            </w: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94,404</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(678 )</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(31,595 )</w:t>
            </w:r>
          </w:p>
        </w:tc>
        <w:tc>
          <w:tcPr>
            <w:tcW w:w="1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94,096</w:t>
            </w:r>
          </w:p>
        </w:tc>
      </w:tr>
      <w:tr>
        <w:trPr>
          <w:trHeight w:val="239"/>
        </w:trPr>
        <w:tc>
          <w:tcPr>
            <w:tcW w:w="3660" w:type="dxa"/>
            <w:vAlign w:val="bottom"/>
            <w:tcBorders>
              <w:bottom w:val="single" w:sz="8" w:color="auto"/>
            </w:tcBorders>
            <w:shd w:val="clear" w:color="auto" w:fill="CFF0FC"/>
          </w:tcPr>
          <w:p>
            <w:pPr>
              <w:ind w:left="20"/>
              <w:spacing w:after="0" w:line="239" w:lineRule="exact"/>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(2)</w:t>
            </w:r>
          </w:p>
        </w:tc>
        <w:tc>
          <w:tcPr>
            <w:tcW w:w="3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855</w:t>
            </w:r>
          </w:p>
        </w:tc>
        <w:tc>
          <w:tcPr>
            <w:tcW w:w="1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855</w:t>
            </w:r>
          </w:p>
        </w:tc>
      </w:tr>
      <w:tr>
        <w:trPr>
          <w:trHeight w:val="214"/>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94,404</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(678 )</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(32,450 )</w:t>
            </w:r>
          </w:p>
        </w:tc>
        <w:tc>
          <w:tcPr>
            <w:tcW w:w="1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93,241</w:t>
            </w:r>
          </w:p>
        </w:tc>
      </w:tr>
      <w:tr>
        <w:trPr>
          <w:trHeight w:val="238"/>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3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r>
      <w:tr>
        <w:trPr>
          <w:trHeight w:val="22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2,920</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2,920</w:t>
            </w:r>
          </w:p>
        </w:tc>
      </w:tr>
      <w:tr>
        <w:trPr>
          <w:trHeight w:val="200"/>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from continuing operations before</w:t>
            </w:r>
          </w:p>
        </w:tc>
        <w:tc>
          <w:tcPr>
            <w:tcW w:w="3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25"/>
        </w:trPr>
        <w:tc>
          <w:tcPr>
            <w:tcW w:w="3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94,404</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17,601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14,364</w:t>
            </w:r>
          </w:p>
        </w:tc>
        <w:tc>
          <w:tcPr>
            <w:tcW w:w="2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(678 ) $</w:t>
            </w: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(35,618 ) $</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90,073</w:t>
            </w:r>
          </w:p>
        </w:tc>
      </w:tr>
      <w:tr>
        <w:trPr>
          <w:trHeight w:val="229"/>
        </w:trPr>
        <w:tc>
          <w:tcPr>
            <w:tcW w:w="3660" w:type="dxa"/>
            <w:vAlign w:val="bottom"/>
          </w:tcPr>
          <w:p>
            <w:pPr>
              <w:ind w:left="20"/>
              <w:spacing w:after="0" w:line="229" w:lineRule="exact"/>
              <w:rPr>
                <w:sz w:val="20"/>
                <w:szCs w:val="20"/>
                <w:color w:val="auto"/>
              </w:rPr>
            </w:pPr>
            <w:r>
              <w:rPr>
                <w:rFonts w:ascii="Times New Roman" w:cs="Times New Roman" w:eastAsia="Times New Roman" w:hAnsi="Times New Roman"/>
                <w:sz w:val="16"/>
                <w:szCs w:val="16"/>
                <w:color w:val="auto"/>
              </w:rPr>
              <w:t>Total assets at fiscal year end</w:t>
            </w:r>
            <w:r>
              <w:rPr>
                <w:rFonts w:ascii="Times New Roman" w:cs="Times New Roman" w:eastAsia="Times New Roman" w:hAnsi="Times New Roman"/>
                <w:sz w:val="21"/>
                <w:szCs w:val="21"/>
                <w:color w:val="auto"/>
                <w:vertAlign w:val="superscript"/>
              </w:rPr>
              <w:t>(3)</w:t>
            </w:r>
          </w:p>
        </w:tc>
        <w:tc>
          <w:tcPr>
            <w:tcW w:w="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732,124</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198,813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194,417</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74,526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256,546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1,456,426</w:t>
            </w:r>
          </w:p>
        </w:tc>
      </w:tr>
      <w:tr>
        <w:trPr>
          <w:trHeight w:val="22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28,107</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6,134</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4,352</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898</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3,327</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42,818</w:t>
            </w:r>
          </w:p>
        </w:tc>
      </w:tr>
      <w:tr>
        <w:trPr>
          <w:trHeight w:val="22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27,237</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10,330</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8,154</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1,429</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12,784</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59,934</w:t>
            </w: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80" w:hanging="372"/>
        <w:spacing w:after="0" w:line="223" w:lineRule="auto"/>
        <w:tabs>
          <w:tab w:leader="none" w:pos="38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Net sales in North America and in the United Kingdom, which includes the Republic of Ireland, accounted for 82% and 18%, respectively, of our net sales for Fiscal 2023.</w:t>
      </w:r>
    </w:p>
    <w:p>
      <w:pPr>
        <w:spacing w:after="0" w:line="1" w:lineRule="exact"/>
        <w:rPr>
          <w:rFonts w:ascii="Times New Roman" w:cs="Times New Roman" w:eastAsia="Times New Roman" w:hAnsi="Times New Roman"/>
          <w:sz w:val="24"/>
          <w:szCs w:val="24"/>
          <w:color w:val="auto"/>
          <w:vertAlign w:val="superscript"/>
        </w:rPr>
      </w:pPr>
    </w:p>
    <w:p>
      <w:pPr>
        <w:jc w:val="both"/>
        <w:ind w:left="380" w:hanging="372"/>
        <w:spacing w:after="0" w:line="225" w:lineRule="auto"/>
        <w:tabs>
          <w:tab w:leader="none" w:pos="38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Asset impairments and other includes a $1.6 million charge for asset impairments, of which $0.8 million is in the Journeys Group, $0.5 million is in the Johnston &amp; Murphy Group, $0.2 million is in the Schuh Group and $0.1 million is in the Genesco Brands Group, partially offset by a $0.7 million gain on the termination of the pension plan.</w:t>
      </w:r>
    </w:p>
    <w:p>
      <w:pPr>
        <w:spacing w:after="0" w:line="115" w:lineRule="exact"/>
        <w:rPr>
          <w:rFonts w:ascii="Times New Roman" w:cs="Times New Roman" w:eastAsia="Times New Roman" w:hAnsi="Times New Roman"/>
          <w:sz w:val="24"/>
          <w:szCs w:val="24"/>
          <w:color w:val="auto"/>
          <w:vertAlign w:val="superscript"/>
        </w:rPr>
      </w:pPr>
    </w:p>
    <w:p>
      <w:pPr>
        <w:ind w:left="380" w:hanging="372"/>
        <w:spacing w:after="0"/>
        <w:tabs>
          <w:tab w:leader="none" w:pos="38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$704.7 million of long-lived assets, $93.3 million and $18.8 million relate to long-lived assets in the U.K. and Canada, respectively.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 Continued</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Johnston</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2"/>
        </w:trPr>
        <w:tc>
          <w:tcPr>
            <w:tcW w:w="3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60" w:type="dxa"/>
            <w:vAlign w:val="bottom"/>
          </w:tcPr>
          <w:p>
            <w:pPr>
              <w:spacing w:after="0"/>
              <w:rPr>
                <w:sz w:val="17"/>
                <w:szCs w:val="17"/>
                <w:color w:val="auto"/>
              </w:rPr>
            </w:pPr>
          </w:p>
        </w:tc>
        <w:tc>
          <w:tcPr>
            <w:tcW w:w="9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&amp; Murphy</w:t>
            </w:r>
          </w:p>
        </w:tc>
        <w:tc>
          <w:tcPr>
            <w:tcW w:w="20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Genesco</w:t>
            </w:r>
          </w:p>
        </w:tc>
        <w:tc>
          <w:tcPr>
            <w:tcW w:w="160" w:type="dxa"/>
            <w:vAlign w:val="bottom"/>
          </w:tcPr>
          <w:p>
            <w:pPr>
              <w:spacing w:after="0"/>
              <w:rPr>
                <w:sz w:val="17"/>
                <w:szCs w:val="17"/>
                <w:color w:val="auto"/>
              </w:rPr>
            </w:pP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6"/>
              </w:rPr>
              <w:t>Group</w:t>
            </w: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Brands Group</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2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1,576,475</w:t>
            </w:r>
          </w:p>
        </w:tc>
        <w:tc>
          <w:tcPr>
            <w:tcW w:w="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423,560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252,855</w:t>
            </w: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170,619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2,423,509</w:t>
            </w:r>
          </w:p>
        </w:tc>
      </w:tr>
      <w:tr>
        <w:trPr>
          <w:trHeight w:val="22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Intercompany sales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(1,425 )</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(1,425 )</w:t>
            </w:r>
          </w:p>
        </w:tc>
      </w:tr>
      <w:tr>
        <w:trPr>
          <w:trHeight w:val="229"/>
        </w:trPr>
        <w:tc>
          <w:tcPr>
            <w:tcW w:w="3660" w:type="dxa"/>
            <w:vAlign w:val="bottom"/>
            <w:tcBorders>
              <w:bottom w:val="single" w:sz="8" w:color="auto"/>
            </w:tcBorders>
            <w:shd w:val="clear" w:color="auto" w:fill="CFF0FC"/>
          </w:tcPr>
          <w:p>
            <w:pPr>
              <w:ind w:left="20"/>
              <w:spacing w:after="0" w:line="229" w:lineRule="exact"/>
              <w:rPr>
                <w:sz w:val="20"/>
                <w:szCs w:val="20"/>
                <w:color w:val="auto"/>
              </w:rPr>
            </w:pPr>
            <w:r>
              <w:rPr>
                <w:rFonts w:ascii="Times New Roman" w:cs="Times New Roman" w:eastAsia="Times New Roman" w:hAnsi="Times New Roman"/>
                <w:sz w:val="16"/>
                <w:szCs w:val="16"/>
                <w:b w:val="1"/>
                <w:bCs w:val="1"/>
                <w:color w:val="auto"/>
              </w:rPr>
              <w:t>Net sales to external customers</w:t>
            </w:r>
            <w:r>
              <w:rPr>
                <w:rFonts w:ascii="Times New Roman" w:cs="Times New Roman" w:eastAsia="Times New Roman" w:hAnsi="Times New Roman"/>
                <w:sz w:val="21"/>
                <w:szCs w:val="21"/>
                <w:b w:val="1"/>
                <w:bCs w:val="1"/>
                <w:color w:val="auto"/>
                <w:vertAlign w:val="superscript"/>
              </w:rPr>
              <w:t>(1)</w:t>
            </w: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1,576,475</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423,560</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252,855</w:t>
            </w: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169,194</w:t>
            </w: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2,422,084</w:t>
            </w: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165,336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19,257</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7,029</w:t>
            </w:r>
          </w:p>
        </w:tc>
        <w:tc>
          <w:tcPr>
            <w:tcW w:w="20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6,583</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(50,694 )</w:t>
            </w:r>
          </w:p>
        </w:tc>
        <w:tc>
          <w:tcPr>
            <w:tcW w:w="1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147,511</w:t>
            </w:r>
          </w:p>
        </w:tc>
      </w:tr>
      <w:tr>
        <w:trPr>
          <w:trHeight w:val="239"/>
        </w:trPr>
        <w:tc>
          <w:tcPr>
            <w:tcW w:w="3660" w:type="dxa"/>
            <w:vAlign w:val="bottom"/>
            <w:tcBorders>
              <w:bottom w:val="single" w:sz="8" w:color="auto"/>
            </w:tcBorders>
            <w:shd w:val="clear" w:color="auto" w:fill="CFF0FC"/>
          </w:tcPr>
          <w:p>
            <w:pPr>
              <w:ind w:left="20"/>
              <w:spacing w:after="0" w:line="239" w:lineRule="exact"/>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(2)</w:t>
            </w:r>
          </w:p>
        </w:tc>
        <w:tc>
          <w:tcPr>
            <w:tcW w:w="3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(8,056 )</w:t>
            </w:r>
          </w:p>
        </w:tc>
        <w:tc>
          <w:tcPr>
            <w:tcW w:w="1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(8,056 )</w:t>
            </w:r>
          </w:p>
        </w:tc>
      </w:tr>
      <w:tr>
        <w:trPr>
          <w:trHeight w:val="214"/>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165,336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19,257</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7,029</w:t>
            </w:r>
          </w:p>
        </w:tc>
        <w:tc>
          <w:tcPr>
            <w:tcW w:w="20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6,583</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(42,638 )</w:t>
            </w:r>
          </w:p>
        </w:tc>
        <w:tc>
          <w:tcPr>
            <w:tcW w:w="1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155,567</w:t>
            </w:r>
          </w:p>
        </w:tc>
      </w:tr>
      <w:tr>
        <w:trPr>
          <w:trHeight w:val="238"/>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3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r>
      <w:tr>
        <w:trPr>
          <w:trHeight w:val="22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2,448</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2,448</w:t>
            </w:r>
          </w:p>
        </w:tc>
      </w:tr>
      <w:tr>
        <w:trPr>
          <w:trHeight w:val="200"/>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from continuing operations before</w:t>
            </w:r>
          </w:p>
        </w:tc>
        <w:tc>
          <w:tcPr>
            <w:tcW w:w="3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65"/>
        </w:trPr>
        <w:tc>
          <w:tcPr>
            <w:tcW w:w="3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165,336</w:t>
            </w:r>
          </w:p>
        </w:tc>
        <w:tc>
          <w:tcPr>
            <w:tcW w:w="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19,257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7,029</w:t>
            </w:r>
          </w:p>
        </w:tc>
        <w:tc>
          <w:tcPr>
            <w:tcW w:w="2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6,583</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(45,214 ) $</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152,991</w:t>
            </w:r>
          </w:p>
        </w:tc>
      </w:tr>
      <w:tr>
        <w:trPr>
          <w:trHeight w:val="216"/>
        </w:trPr>
        <w:tc>
          <w:tcPr>
            <w:tcW w:w="36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Total assets at fiscal year end</w:t>
            </w:r>
            <w:r>
              <w:rPr>
                <w:rFonts w:ascii="Times New Roman" w:cs="Times New Roman" w:eastAsia="Times New Roman" w:hAnsi="Times New Roman"/>
                <w:sz w:val="21"/>
                <w:szCs w:val="21"/>
                <w:color w:val="auto"/>
                <w:vertAlign w:val="superscript"/>
              </w:rPr>
              <w:t>(3)</w:t>
            </w:r>
          </w:p>
        </w:tc>
        <w:tc>
          <w:tcPr>
            <w:tcW w:w="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678,680</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207,495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128,187</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67,658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480,079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1,562,099</w:t>
            </w:r>
          </w:p>
        </w:tc>
      </w:tr>
      <w:tr>
        <w:trPr>
          <w:trHeight w:val="22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28,903</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4,612</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1,081</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1,431</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42,969</w:t>
            </w:r>
          </w:p>
        </w:tc>
      </w:tr>
      <w:tr>
        <w:trPr>
          <w:trHeight w:val="22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22,438</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3,062</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4,647</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1,071</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22,687</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53,905</w:t>
            </w: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80" w:hanging="372"/>
        <w:spacing w:after="0" w:line="223" w:lineRule="auto"/>
        <w:tabs>
          <w:tab w:leader="none" w:pos="38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Net sales in North America and in the United Kingdom, which includes the Republic of Ireland, accounted for 83% and 17%, respectively, of our net sales for Fiscal 2022.</w:t>
      </w:r>
    </w:p>
    <w:p>
      <w:pPr>
        <w:spacing w:after="0" w:line="1" w:lineRule="exact"/>
        <w:rPr>
          <w:rFonts w:ascii="Times New Roman" w:cs="Times New Roman" w:eastAsia="Times New Roman" w:hAnsi="Times New Roman"/>
          <w:sz w:val="24"/>
          <w:szCs w:val="24"/>
          <w:color w:val="auto"/>
          <w:vertAlign w:val="superscript"/>
        </w:rPr>
      </w:pPr>
    </w:p>
    <w:p>
      <w:pPr>
        <w:jc w:val="both"/>
        <w:ind w:left="380" w:hanging="372"/>
        <w:spacing w:after="0" w:line="225" w:lineRule="auto"/>
        <w:tabs>
          <w:tab w:leader="none" w:pos="38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Asset impairments and other includes an $18.1 million gain on the sale of a warehouse and a $0.6 million insurance gain, partially offset by $8.6 million for professional fees related to the actions of a shareholder activist and a $2.0 million charge for asset impairments, of which $1.0 million is in the Journeys Group, $0.8 million is in the Schuh Group and $0.2 million is in the Johnston &amp; Murphy Group.</w:t>
      </w:r>
    </w:p>
    <w:p>
      <w:pPr>
        <w:ind w:left="380" w:hanging="372"/>
        <w:spacing w:after="0" w:line="187" w:lineRule="auto"/>
        <w:tabs>
          <w:tab w:leader="none" w:pos="38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$760.1 million of long-lived assets, $113.9 million and $26.0 million relate to long-lived assets in the U.K. and Canada,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79" w:name="page80"/>
    <w:bookmarkEnd w:id="79"/>
    <w:p>
      <w:pPr>
        <w:ind w:right="1040"/>
        <w:spacing w:after="0" w:line="461"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established disclosure controls and procedures to ensure that material information relating to us, including our consolidated subsidiaries, is made known to the officers who certify our financial reports and to other members of senior management and Board of Directors.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their evaluation as of February 3, 2024, the principal executive officer and principal financial officer of the Company have concluded that our disclosure controls and procedures as defined in Rules 13a-15(e) and 15d-15(e) under the Securities Exchange Act of 1934, as amended (the "Exchange Act"), were effective to ensure that the information required to be disclosed by us in the reports that we file or submit under the Exchange Act is (i) recorded, processed, summarized and reported, within the time periods specified in the SEC’s rules and forms, and (ii) accumulated and communicated to our management, including the principal executive and principal financial officers, or persons performing similar functions, as appropriate, to allow timely decisions regarding required disclosure.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effective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5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February 3, 2024. In making this assessment, management used the criteria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drafted by the Committee of Sponsoring Organizations of the Treadway Commission (COSO). Based on this assessment, management believes that, as of February 3, 2024, our internal control over financial reporting was effective based on those criteria.</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who also audited our Consolidated Financial Statements, has issued an attestation report on the Company’s effectiveness of internal control over financial reporting which is included herein. The report by Ernst &amp; Young LLP is included in Item 8.</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80" w:name="page81"/>
    <w:bookmarkEnd w:id="80"/>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18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During the fourth quarter of Fiscal 2024, no director or Section 16 officer of the Company adopted or terminated any Rule 10b5-1 trading arrangements or non-Rule 10b5-1 trading arrangements (in each case, as defined in Item 408 (a) of Regulation 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Certain information required by this item is incorporated herein by reference to the sections entitled “Election of Directors,” “Corporate Governance” and “Delinquent Section 16(a) Reports” in our definitive proxy statement for our annual meeting of shareholders to be held June 27, 2024, to be filed with the Securities and Exchange Commission. Pursuant to General Instruction G(3), certain information concerning our executive officers appears under Part I, Item 4A, “Information about Our Executive Officers” in this report.</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We have a code of ethics (the “Code of Ethics”) that applies to all of our directors, officers (including our chief executive officer, chief financial officer and chief accounting officer) and employees. We have made the Code of Ethics available and intend to post any legally required amendments to, or waivers of, such Code of Ethics on our website at </w:t>
      </w:r>
      <w:r>
        <w:rPr>
          <w:rFonts w:ascii="Times New Roman" w:cs="Times New Roman" w:eastAsia="Times New Roman" w:hAnsi="Times New Roman"/>
          <w:sz w:val="18"/>
          <w:szCs w:val="18"/>
          <w:u w:val="single" w:color="auto"/>
          <w:color w:val="auto"/>
        </w:rPr>
        <w:t>http://www.genesco.com</w:t>
      </w:r>
      <w:r>
        <w:rPr>
          <w:rFonts w:ascii="Times New Roman" w:cs="Times New Roman" w:eastAsia="Times New Roman" w:hAnsi="Times New Roman"/>
          <w:sz w:val="18"/>
          <w:szCs w:val="18"/>
          <w:color w:val="auto"/>
        </w:rPr>
        <w:t>. Our website address is provided as an inactive textual reference only. The information provided on our website is not a part of this report, and therefore is not incorporated herein by reference.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“Director Compensation,” “Compensation Committee Report” and “Executive Compensation” in our definitive proxy statement for our annual meeting of shareholders to be held June 27, 2024, to be filed with the Securities and Exchange Commission.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ind w:right="5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1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Certain information required by this item is incorporated herein by reference to the section entitled “Security Ownership of Officers, Directors and Principal Shareholders” in our definitive proxy statement for our annual meeting of shareholders to be held June 27, 2024, to be filed with the Securities and Exchange Commission.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as of February 3, 2024 with respect to our equity compensation plans: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202"/>
        </w:trPr>
        <w:tc>
          <w:tcPr>
            <w:tcW w:w="50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02"/>
        </w:trPr>
        <w:tc>
          <w:tcPr>
            <w:tcW w:w="5080" w:type="dxa"/>
            <w:vAlign w:val="bottom"/>
          </w:tcPr>
          <w:p>
            <w:pPr>
              <w:spacing w:after="0"/>
              <w:rPr>
                <w:sz w:val="17"/>
                <w:szCs w:val="17"/>
                <w:color w:val="auto"/>
              </w:rPr>
            </w:pPr>
          </w:p>
        </w:tc>
        <w:tc>
          <w:tcPr>
            <w:tcW w:w="228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(a)</w:t>
            </w: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202"/>
        </w:trPr>
        <w:tc>
          <w:tcPr>
            <w:tcW w:w="5080" w:type="dxa"/>
            <w:vAlign w:val="bottom"/>
          </w:tcPr>
          <w:p>
            <w:pPr>
              <w:spacing w:after="0"/>
              <w:rPr>
                <w:sz w:val="17"/>
                <w:szCs w:val="17"/>
                <w:color w:val="auto"/>
              </w:rPr>
            </w:pPr>
          </w:p>
        </w:tc>
        <w:tc>
          <w:tcPr>
            <w:tcW w:w="228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remaining available</w:t>
            </w:r>
          </w:p>
        </w:tc>
      </w:tr>
      <w:tr>
        <w:trPr>
          <w:trHeight w:val="202"/>
        </w:trPr>
        <w:tc>
          <w:tcPr>
            <w:tcW w:w="5080" w:type="dxa"/>
            <w:vAlign w:val="bottom"/>
          </w:tcPr>
          <w:p>
            <w:pPr>
              <w:spacing w:after="0"/>
              <w:rPr>
                <w:sz w:val="17"/>
                <w:szCs w:val="17"/>
                <w:color w:val="auto"/>
              </w:rPr>
            </w:pPr>
          </w:p>
        </w:tc>
        <w:tc>
          <w:tcPr>
            <w:tcW w:w="228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securities to</w:t>
            </w:r>
          </w:p>
        </w:tc>
        <w:tc>
          <w:tcPr>
            <w:tcW w:w="400" w:type="dxa"/>
            <w:vAlign w:val="bottom"/>
          </w:tcPr>
          <w:p>
            <w:pPr>
              <w:spacing w:after="0"/>
              <w:rPr>
                <w:sz w:val="17"/>
                <w:szCs w:val="17"/>
                <w:color w:val="auto"/>
              </w:rPr>
            </w:pPr>
          </w:p>
        </w:tc>
        <w:tc>
          <w:tcPr>
            <w:tcW w:w="170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(b)</w:t>
            </w: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for future issuance</w:t>
            </w:r>
          </w:p>
        </w:tc>
      </w:tr>
      <w:tr>
        <w:trPr>
          <w:trHeight w:val="202"/>
        </w:trPr>
        <w:tc>
          <w:tcPr>
            <w:tcW w:w="5080" w:type="dxa"/>
            <w:vAlign w:val="bottom"/>
          </w:tcPr>
          <w:p>
            <w:pPr>
              <w:spacing w:after="0"/>
              <w:rPr>
                <w:sz w:val="17"/>
                <w:szCs w:val="17"/>
                <w:color w:val="auto"/>
              </w:rPr>
            </w:pPr>
          </w:p>
        </w:tc>
        <w:tc>
          <w:tcPr>
            <w:tcW w:w="228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be issued</w:t>
            </w:r>
          </w:p>
        </w:tc>
        <w:tc>
          <w:tcPr>
            <w:tcW w:w="400" w:type="dxa"/>
            <w:vAlign w:val="bottom"/>
          </w:tcPr>
          <w:p>
            <w:pPr>
              <w:spacing w:after="0"/>
              <w:rPr>
                <w:sz w:val="17"/>
                <w:szCs w:val="17"/>
                <w:color w:val="auto"/>
              </w:rPr>
            </w:pPr>
          </w:p>
        </w:tc>
        <w:tc>
          <w:tcPr>
            <w:tcW w:w="170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under equity</w:t>
            </w:r>
          </w:p>
        </w:tc>
      </w:tr>
      <w:tr>
        <w:trPr>
          <w:trHeight w:val="202"/>
        </w:trPr>
        <w:tc>
          <w:tcPr>
            <w:tcW w:w="5080" w:type="dxa"/>
            <w:vAlign w:val="bottom"/>
          </w:tcPr>
          <w:p>
            <w:pPr>
              <w:spacing w:after="0"/>
              <w:rPr>
                <w:sz w:val="17"/>
                <w:szCs w:val="17"/>
                <w:color w:val="auto"/>
              </w:rPr>
            </w:pPr>
          </w:p>
        </w:tc>
        <w:tc>
          <w:tcPr>
            <w:tcW w:w="228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upon exercise of</w:t>
            </w:r>
          </w:p>
        </w:tc>
        <w:tc>
          <w:tcPr>
            <w:tcW w:w="400" w:type="dxa"/>
            <w:vAlign w:val="bottom"/>
          </w:tcPr>
          <w:p>
            <w:pPr>
              <w:spacing w:after="0"/>
              <w:rPr>
                <w:sz w:val="17"/>
                <w:szCs w:val="17"/>
                <w:color w:val="auto"/>
              </w:rPr>
            </w:pPr>
          </w:p>
        </w:tc>
        <w:tc>
          <w:tcPr>
            <w:tcW w:w="170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exercise price of</w:t>
            </w: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202"/>
        </w:trPr>
        <w:tc>
          <w:tcPr>
            <w:tcW w:w="5080" w:type="dxa"/>
            <w:vAlign w:val="bottom"/>
          </w:tcPr>
          <w:p>
            <w:pPr>
              <w:spacing w:after="0"/>
              <w:rPr>
                <w:sz w:val="17"/>
                <w:szCs w:val="17"/>
                <w:color w:val="auto"/>
              </w:rPr>
            </w:pPr>
          </w:p>
        </w:tc>
        <w:tc>
          <w:tcPr>
            <w:tcW w:w="228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400" w:type="dxa"/>
            <w:vAlign w:val="bottom"/>
          </w:tcPr>
          <w:p>
            <w:pPr>
              <w:spacing w:after="0"/>
              <w:rPr>
                <w:sz w:val="17"/>
                <w:szCs w:val="17"/>
                <w:color w:val="auto"/>
              </w:rPr>
            </w:pPr>
          </w:p>
        </w:tc>
        <w:tc>
          <w:tcPr>
            <w:tcW w:w="170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plans (excluding</w:t>
            </w:r>
          </w:p>
        </w:tc>
      </w:tr>
      <w:tr>
        <w:trPr>
          <w:trHeight w:val="202"/>
        </w:trPr>
        <w:tc>
          <w:tcPr>
            <w:tcW w:w="5080" w:type="dxa"/>
            <w:vAlign w:val="bottom"/>
          </w:tcPr>
          <w:p>
            <w:pPr>
              <w:spacing w:after="0"/>
              <w:rPr>
                <w:sz w:val="17"/>
                <w:szCs w:val="17"/>
                <w:color w:val="auto"/>
              </w:rPr>
            </w:pPr>
          </w:p>
        </w:tc>
        <w:tc>
          <w:tcPr>
            <w:tcW w:w="228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warrants and</w:t>
            </w:r>
          </w:p>
        </w:tc>
        <w:tc>
          <w:tcPr>
            <w:tcW w:w="400" w:type="dxa"/>
            <w:vAlign w:val="bottom"/>
          </w:tcPr>
          <w:p>
            <w:pPr>
              <w:spacing w:after="0"/>
              <w:rPr>
                <w:sz w:val="17"/>
                <w:szCs w:val="17"/>
                <w:color w:val="auto"/>
              </w:rPr>
            </w:pPr>
          </w:p>
        </w:tc>
        <w:tc>
          <w:tcPr>
            <w:tcW w:w="170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options, warrants</w:t>
            </w: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securities reflected</w:t>
            </w:r>
          </w:p>
        </w:tc>
      </w:tr>
      <w:tr>
        <w:trPr>
          <w:trHeight w:val="225"/>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Plan Category</w:t>
            </w:r>
          </w:p>
        </w:tc>
        <w:tc>
          <w:tcPr>
            <w:tcW w:w="22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rights(1)</w:t>
            </w:r>
          </w:p>
        </w:tc>
        <w:tc>
          <w:tcPr>
            <w:tcW w:w="4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and rights</w:t>
            </w:r>
          </w:p>
        </w:tc>
        <w:tc>
          <w:tcPr>
            <w:tcW w:w="1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in column (a)) (2)</w:t>
            </w:r>
          </w:p>
        </w:tc>
      </w:tr>
      <w:tr>
        <w:trPr>
          <w:trHeight w:val="24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2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878</w:t>
            </w:r>
          </w:p>
        </w:tc>
        <w:tc>
          <w:tcPr>
            <w:tcW w:w="4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730,381</w:t>
            </w:r>
          </w:p>
        </w:tc>
      </w:tr>
      <w:tr>
        <w:trPr>
          <w:trHeight w:val="238"/>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2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0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878</w:t>
            </w:r>
          </w:p>
        </w:tc>
        <w:tc>
          <w:tcPr>
            <w:tcW w:w="4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730,381</w:t>
            </w:r>
          </w:p>
        </w:tc>
      </w:tr>
    </w:tbl>
    <w:p>
      <w:pPr>
        <w:spacing w:after="0" w:line="215"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Restricted stock units issued to certain employees at no cost.</w:t>
      </w:r>
    </w:p>
    <w:p>
      <w:pPr>
        <w:spacing w:after="0" w:line="19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Such shares may be issued as restricted shares or other forms of stock-based compensation pursuant to our stock incentive plans.</w:t>
      </w:r>
    </w:p>
    <w:p>
      <w:pPr>
        <w:spacing w:after="0" w:line="166" w:lineRule="exact"/>
        <w:rPr>
          <w:sz w:val="20"/>
          <w:szCs w:val="20"/>
          <w:color w:val="auto"/>
        </w:rPr>
      </w:pPr>
    </w:p>
    <w:p>
      <w:pPr>
        <w:ind w:right="1220"/>
        <w:spacing w:after="0" w:line="461" w:lineRule="auto"/>
        <w:rPr>
          <w:sz w:val="20"/>
          <w:szCs w:val="20"/>
          <w:color w:val="auto"/>
        </w:rPr>
      </w:pPr>
      <w:r>
        <w:rPr>
          <w:rFonts w:ascii="Times New Roman" w:cs="Times New Roman" w:eastAsia="Times New Roman" w:hAnsi="Times New Roman"/>
          <w:sz w:val="18"/>
          <w:szCs w:val="18"/>
          <w:color w:val="auto"/>
        </w:rPr>
        <w:t xml:space="preserve">* For additional information concerning our equity compensation plans, see the discussion in Note 14, "Share-Based Compensation Plans". </w:t>
      </w: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“Election of Directors” in our definitive proxy statement for our annual meeting of shareholders to be held June 27, 2024, to be filed with the Securities and Exchange Commission.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ACCOUNTING FEES AND SERVICES</w:t>
      </w:r>
    </w:p>
    <w:p>
      <w:pPr>
        <w:spacing w:after="0" w:line="18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“Audit Matters” in our definitive proxy statement for our annual meeting of shareholders to be held June 27, 2024, to be filed with the Securities and Exchange Commission.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1" w:right="339" w:bottom="1440" w:gutter="0" w:footer="0" w:header="0"/>
        </w:sectPr>
      </w:pPr>
    </w:p>
    <w:bookmarkStart w:id="82" w:name="page83"/>
    <w:bookmarkEnd w:id="82"/>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AND FINANCIAL STATEMENT SCHEDULES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Statements</w:t>
      </w:r>
    </w:p>
    <w:p>
      <w:pPr>
        <w:spacing w:after="0" w:line="202"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The following consolidated financial statements of Genesco Inc. and Subsidiaries are filed as part of this report under Item 8, Financial Statements and Supplementary Data</w:t>
      </w:r>
    </w:p>
    <w:p>
      <w:pPr>
        <w:spacing w:after="0" w:line="122" w:lineRule="exact"/>
        <w:rPr>
          <w:sz w:val="20"/>
          <w:szCs w:val="20"/>
          <w:color w:val="auto"/>
        </w:rPr>
      </w:pPr>
    </w:p>
    <w:p>
      <w:pPr>
        <w:ind w:right="3720"/>
        <w:spacing w:after="0" w:line="461" w:lineRule="auto"/>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 Report of Independent Registered Public Accounting Firm</w:t>
      </w:r>
    </w:p>
    <w:p>
      <w:pPr>
        <w:spacing w:after="0"/>
        <w:rPr>
          <w:sz w:val="20"/>
          <w:szCs w:val="20"/>
          <w:color w:val="auto"/>
        </w:rPr>
      </w:pPr>
      <w:r>
        <w:rPr>
          <w:rFonts w:ascii="Times New Roman" w:cs="Times New Roman" w:eastAsia="Times New Roman" w:hAnsi="Times New Roman"/>
          <w:sz w:val="18"/>
          <w:szCs w:val="18"/>
          <w:color w:val="auto"/>
        </w:rPr>
        <w:t>Consolidated Balance Sheets, February 3, 2024 and January 28,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each of the three fiscal years ended 2024, 2023 and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 each of the three fiscal years ended 2024, 2023 and 2022</w:t>
      </w:r>
    </w:p>
    <w:p>
      <w:pPr>
        <w:spacing w:after="0" w:line="198" w:lineRule="exact"/>
        <w:rPr>
          <w:sz w:val="20"/>
          <w:szCs w:val="20"/>
          <w:color w:val="auto"/>
        </w:rPr>
      </w:pPr>
    </w:p>
    <w:p>
      <w:pPr>
        <w:ind w:right="4140"/>
        <w:spacing w:after="0" w:line="457" w:lineRule="auto"/>
        <w:rPr>
          <w:sz w:val="20"/>
          <w:szCs w:val="20"/>
          <w:color w:val="auto"/>
        </w:rPr>
      </w:pPr>
      <w:r>
        <w:rPr>
          <w:rFonts w:ascii="Times New Roman" w:cs="Times New Roman" w:eastAsia="Times New Roman" w:hAnsi="Times New Roman"/>
          <w:sz w:val="18"/>
          <w:szCs w:val="18"/>
          <w:color w:val="auto"/>
        </w:rPr>
        <w:t>Consolidated Statements of Cash Flows, each of the three fiscal years ended 2024, 2023 and 2022 Consolidated Statements of Equity, each of the three fiscal years ended 2024, 2023 and 2022 Notes to Consolidated Financial Statements</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 Schedules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 Valuation and Qualifying Accounts, each of the three fiscal years ended 2024, 2023 and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are omitted because the required information is either not applicable or is presented in the financial statements or related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schedules begin on page 89.</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42" w:lineRule="exact"/>
        <w:rPr>
          <w:sz w:val="20"/>
          <w:szCs w:val="20"/>
          <w:color w:val="auto"/>
        </w:rPr>
      </w:pPr>
    </w:p>
    <w:p>
      <w:pPr>
        <w:ind w:left="2340" w:right="300" w:hanging="1644"/>
        <w:spacing w:after="0" w:line="257" w:lineRule="auto"/>
        <w:tabs>
          <w:tab w:leader="none" w:pos="1747" w:val="left"/>
        </w:tabs>
        <w:numPr>
          <w:ilvl w:val="0"/>
          <w:numId w:val="2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12">
        <w:r>
          <w:rPr>
            <w:rFonts w:ascii="Times New Roman" w:cs="Times New Roman" w:eastAsia="Times New Roman" w:hAnsi="Times New Roman"/>
            <w:sz w:val="18"/>
            <w:szCs w:val="18"/>
            <w:u w:val="single" w:color="auto"/>
            <w:color w:val="0000FF"/>
          </w:rPr>
          <w:t>Purchase Agreement dated December 14, 2018, among Hat World, Inc., GCO Canada Inc., Flagg Bros. of Puerto Rico,</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Inc., Hat World Corporation, Hat World Services Co., Inc., LSG Guam, Inc., Genesco Inc., Fanzzlids Holding, LLC,</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Fanatics, Inc. and Fanzz Holding, Inc. Incorporated by reference to Exhibit 2.1 to the current report on Form 8-K file</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December 14, 2018 (File No. 1-3083).*</w:t>
        </w:r>
      </w:hyperlink>
    </w:p>
    <w:p>
      <w:pPr>
        <w:spacing w:after="0" w:line="3" w:lineRule="exact"/>
        <w:rPr>
          <w:rFonts w:ascii="Times New Roman" w:cs="Times New Roman" w:eastAsia="Times New Roman" w:hAnsi="Times New Roman"/>
          <w:sz w:val="18"/>
          <w:szCs w:val="18"/>
          <w:u w:val="single" w:color="auto"/>
          <w:color w:val="0000FF"/>
        </w:rPr>
      </w:pPr>
    </w:p>
    <w:p>
      <w:pPr>
        <w:ind w:left="2340" w:right="220" w:hanging="592"/>
        <w:spacing w:after="0" w:line="260" w:lineRule="auto"/>
        <w:tabs>
          <w:tab w:leader="none" w:pos="2340" w:val="left"/>
        </w:tabs>
        <w:numPr>
          <w:ilvl w:val="1"/>
          <w:numId w:val="20"/>
        </w:numPr>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Asset Purchase Agreement dated December 18, 2019, by and among Genesco Brands NY, LLC, Togast LLC, Togast</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Direct, LLC, TGB Design, LLC, Quanzhou TGB Footwear Co. Ltd and Anthony LoConte. Incorporated by reference to</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Exhibit 2.1 to the current report on Form 8-K filed December 18, 2019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160" w:hanging="592"/>
        <w:spacing w:after="0" w:line="257" w:lineRule="auto"/>
        <w:tabs>
          <w:tab w:leader="none" w:pos="2340" w:val="left"/>
        </w:tabs>
        <w:numPr>
          <w:ilvl w:val="1"/>
          <w:numId w:val="20"/>
        </w:numPr>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Amendment to Asset Purchase Agreement dated September 30, 2020, by and among Genesco Brands NY, LLC, Togast</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LLC, Togast Direct, LLC, TGB Design, LLC, Quanzhou TGB Footwear Co. Ltd and Anthony LoConte. Incorporated by</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reference to Exhibit (2)c to the Company's Annual Report on Form 10-K for the fiscal year ended January 30, 2021 (File</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No. 1-3083).</w:t>
        </w:r>
      </w:hyperlink>
    </w:p>
    <w:p>
      <w:pPr>
        <w:spacing w:after="0" w:line="3" w:lineRule="exact"/>
        <w:rPr>
          <w:rFonts w:ascii="Times New Roman" w:cs="Times New Roman" w:eastAsia="Times New Roman" w:hAnsi="Times New Roman"/>
          <w:sz w:val="18"/>
          <w:szCs w:val="18"/>
          <w:u w:val="single" w:color="auto"/>
          <w:color w:val="0000FF"/>
        </w:rPr>
      </w:pPr>
    </w:p>
    <w:p>
      <w:pPr>
        <w:ind w:left="2340" w:right="320" w:hanging="1644"/>
        <w:spacing w:after="0" w:line="265" w:lineRule="auto"/>
        <w:tabs>
          <w:tab w:leader="none" w:pos="1747" w:val="left"/>
        </w:tabs>
        <w:numPr>
          <w:ilvl w:val="0"/>
          <w:numId w:val="2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15">
        <w:r>
          <w:rPr>
            <w:rFonts w:ascii="Times New Roman" w:cs="Times New Roman" w:eastAsia="Times New Roman" w:hAnsi="Times New Roman"/>
            <w:sz w:val="18"/>
            <w:szCs w:val="18"/>
            <w:u w:val="single" w:color="auto"/>
            <w:color w:val="0000FF"/>
          </w:rPr>
          <w:t>Second Amended and Restate Bylaws of Genesco Inc. Incorporated by reference to Exhibit 3.1 to the current report on</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Form 8-K filed November 1, 2022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hanging="592"/>
        <w:spacing w:after="0" w:line="265" w:lineRule="auto"/>
        <w:tabs>
          <w:tab w:leader="none" w:pos="2340" w:val="left"/>
        </w:tabs>
        <w:numPr>
          <w:ilvl w:val="1"/>
          <w:numId w:val="20"/>
        </w:numPr>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Restated Charter of Genesco Inc., as amended. Incorporated by reference to Exhibit 3.3 to the Company's Quarterly Report</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on Form 10-Q filed on December 8, 2022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580" w:hanging="1644"/>
        <w:spacing w:after="0" w:line="265" w:lineRule="auto"/>
        <w:tabs>
          <w:tab w:leader="none" w:pos="1747" w:val="left"/>
        </w:tabs>
        <w:numPr>
          <w:ilvl w:val="0"/>
          <w:numId w:val="2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17">
        <w:r>
          <w:rPr>
            <w:rFonts w:ascii="Times New Roman" w:cs="Times New Roman" w:eastAsia="Times New Roman" w:hAnsi="Times New Roman"/>
            <w:sz w:val="18"/>
            <w:szCs w:val="18"/>
            <w:u w:val="single" w:color="auto"/>
            <w:color w:val="0000FF"/>
          </w:rPr>
          <w:t>Form of Certificate for the Common Stock. Incorporated by reference to Exhibit 3 to the Genesco Inc. Registration</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Statement on Form 8-A/A filed with the SEC on May 1, 2003 (File No.1-3083).</w:t>
        </w:r>
      </w:hyperlink>
    </w:p>
    <w:p>
      <w:pPr>
        <w:spacing w:after="0" w:line="1" w:lineRule="exact"/>
        <w:rPr>
          <w:rFonts w:ascii="Times New Roman" w:cs="Times New Roman" w:eastAsia="Times New Roman" w:hAnsi="Times New Roman"/>
          <w:sz w:val="18"/>
          <w:szCs w:val="18"/>
          <w:u w:val="single" w:color="auto"/>
          <w:color w:val="0000FF"/>
        </w:rPr>
      </w:pPr>
    </w:p>
    <w:p>
      <w:pPr>
        <w:ind w:left="2340" w:hanging="592"/>
        <w:spacing w:after="0"/>
        <w:tabs>
          <w:tab w:leader="none" w:pos="2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Description of Securities.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1486535</wp:posOffset>
            </wp:positionH>
            <wp:positionV relativeFrom="paragraph">
              <wp:posOffset>-2439670</wp:posOffset>
            </wp:positionV>
            <wp:extent cx="54641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546417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-2302510</wp:posOffset>
            </wp:positionV>
            <wp:extent cx="53473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534733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-2165350</wp:posOffset>
            </wp:positionV>
            <wp:extent cx="54000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54000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-2028825</wp:posOffset>
            </wp:positionV>
            <wp:extent cx="18129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181292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-1874520</wp:posOffset>
            </wp:positionV>
            <wp:extent cx="53505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535051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-1737360</wp:posOffset>
            </wp:positionV>
            <wp:extent cx="55175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551751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-1600200</wp:posOffset>
            </wp:positionV>
            <wp:extent cx="40913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409130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-1446530</wp:posOffset>
            </wp:positionV>
            <wp:extent cx="54762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54762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-1309370</wp:posOffset>
            </wp:positionV>
            <wp:extent cx="55511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555117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-1172210</wp:posOffset>
            </wp:positionV>
            <wp:extent cx="55410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554101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-1035050</wp:posOffset>
            </wp:positionV>
            <wp:extent cx="5861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58610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-881380</wp:posOffset>
            </wp:positionV>
            <wp:extent cx="54533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545338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-744220</wp:posOffset>
            </wp:positionV>
            <wp:extent cx="24307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243078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-589915</wp:posOffset>
            </wp:positionV>
            <wp:extent cx="56280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562800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-453390</wp:posOffset>
            </wp:positionV>
            <wp:extent cx="27603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-299085</wp:posOffset>
            </wp:positionV>
            <wp:extent cx="52793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527939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-161925</wp:posOffset>
            </wp:positionV>
            <wp:extent cx="36512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365125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-7620</wp:posOffset>
            </wp:positionV>
            <wp:extent cx="1163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1163320" cy="8255"/>
                    </a:xfrm>
                    <a:prstGeom prst="rect">
                      <a:avLst/>
                    </a:prstGeom>
                    <a:noFill/>
                  </pic:spPr>
                </pic:pic>
              </a:graphicData>
            </a:graphic>
          </wp:anchor>
        </w:drawing>
      </w:r>
    </w:p>
    <w:p>
      <w:pPr>
        <w:spacing w:after="0" w:line="218"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6" w:right="379" w:bottom="1440" w:gutter="0" w:footer="0" w:header="0"/>
        </w:sectPr>
      </w:pPr>
    </w:p>
    <w:bookmarkStart w:id="83" w:name="page84"/>
    <w:bookmarkEnd w:id="83"/>
    <w:p>
      <w:pPr>
        <w:ind w:left="1644" w:right="60" w:hanging="1644"/>
        <w:spacing w:after="0" w:line="257" w:lineRule="auto"/>
        <w:tabs>
          <w:tab w:leader="none" w:pos="1051" w:val="left"/>
        </w:tabs>
        <w:numPr>
          <w:ilvl w:val="0"/>
          <w:numId w:val="2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37">
        <w:r>
          <w:rPr>
            <w:rFonts w:ascii="Times New Roman" w:cs="Times New Roman" w:eastAsia="Times New Roman" w:hAnsi="Times New Roman"/>
            <w:sz w:val="18"/>
            <w:szCs w:val="18"/>
            <w:u w:val="single" w:color="auto"/>
            <w:color w:val="0000FF"/>
          </w:rPr>
          <w:t>Fourth Amended and Restated Credit Agreement, dated as of January 31, 2018, by and among Genesco Inc., certain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subsidiaries of Genesco Inc. party thereto, as other Other Domestic Borrowers, GCO Canada Inc., Genesco (UK) Limited,</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the Lenders party thereto and Bank of America, N.A., as Agent. Incorporated by reference to Exhibit 10.1 to the current</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report on Form 8-K filed February 3, 2018.</w:t>
        </w:r>
      </w:hyperlink>
    </w:p>
    <w:p>
      <w:pPr>
        <w:spacing w:after="0" w:line="3" w:lineRule="exact"/>
        <w:rPr>
          <w:rFonts w:ascii="Times New Roman" w:cs="Times New Roman" w:eastAsia="Times New Roman" w:hAnsi="Times New Roman"/>
          <w:sz w:val="18"/>
          <w:szCs w:val="18"/>
          <w:u w:val="single" w:color="auto"/>
          <w:color w:val="0000FF"/>
        </w:rPr>
      </w:pPr>
    </w:p>
    <w:p>
      <w:pPr>
        <w:ind w:left="1644" w:right="260" w:hanging="592"/>
        <w:spacing w:after="0" w:line="257"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First Amendment to Fourth Amended and Restated Credit Agreement, dated as of February 1, 2019, by and among</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Genesco Inc., certain subsidiaries of Genesco Inc. party thereto, as other Other Domestic Borrowers, GCO Canada Inc.,</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Genesco (UK) Limited, the Lender party thereto and Bank of America, N.A., as Agent. Incorporated by reference to</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Exhibit 10.1 to the current report on Form 8-K filed February 5, 2019 (File No. 1-3083).</w:t>
        </w:r>
      </w:hyperlink>
    </w:p>
    <w:p>
      <w:pPr>
        <w:spacing w:after="0" w:line="3" w:lineRule="exact"/>
        <w:rPr>
          <w:rFonts w:ascii="Times New Roman" w:cs="Times New Roman" w:eastAsia="Times New Roman" w:hAnsi="Times New Roman"/>
          <w:sz w:val="18"/>
          <w:szCs w:val="18"/>
          <w:u w:val="single" w:color="auto"/>
          <w:color w:val="0000FF"/>
        </w:rPr>
      </w:pPr>
    </w:p>
    <w:p>
      <w:pPr>
        <w:ind w:left="1644" w:hanging="592"/>
        <w:spacing w:after="0" w:line="257"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Second Amendment to Fourth Amended and Restated Credit Agreement, dated as of June 5, 2020, by and among Genesco</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Inc., certain subsidiaries of Genesco Inc. party thereto, as other Other Domestic Borrowers, GCO Canada Inc., Genesco</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(UK) Limited, the Lender party thereto and Bank of America, N.A., as Agent.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the current report on Form 8-K filed June 9, 2020. (File No. 1-3083).</w:t>
        </w:r>
      </w:hyperlink>
    </w:p>
    <w:p>
      <w:pPr>
        <w:spacing w:after="0" w:line="3" w:lineRule="exact"/>
        <w:rPr>
          <w:rFonts w:ascii="Times New Roman" w:cs="Times New Roman" w:eastAsia="Times New Roman" w:hAnsi="Times New Roman"/>
          <w:sz w:val="18"/>
          <w:szCs w:val="18"/>
          <w:u w:val="single" w:color="auto"/>
          <w:color w:val="0000FF"/>
        </w:rPr>
      </w:pPr>
    </w:p>
    <w:p>
      <w:pPr>
        <w:ind w:left="1644" w:hanging="592"/>
        <w:spacing w:after="0" w:line="257"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Third Amendment to Fourth Amended and Restated Credit Agreement, dated as of January 28, 2022 by and among</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Genesco Inc., certain subsidiaries of Genesco Inc. party thereto, as Other Domestic Borrowers, GCO Canada Inc., Genesco</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(UK) Limited, the Lender party thereto and Bank of America, N.A., as Agent.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the current report on Form 8-K filed February 3, 2022. (File No. 1-3083).</w:t>
        </w:r>
      </w:hyperlink>
    </w:p>
    <w:p>
      <w:pPr>
        <w:spacing w:after="0" w:line="3" w:lineRule="exact"/>
        <w:rPr>
          <w:rFonts w:ascii="Times New Roman" w:cs="Times New Roman" w:eastAsia="Times New Roman" w:hAnsi="Times New Roman"/>
          <w:sz w:val="18"/>
          <w:szCs w:val="18"/>
          <w:u w:val="single" w:color="auto"/>
          <w:color w:val="0000FF"/>
        </w:rPr>
      </w:pPr>
    </w:p>
    <w:p>
      <w:pPr>
        <w:ind w:left="1644" w:right="440" w:hanging="592"/>
        <w:spacing w:after="0" w:line="265"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Form of Split-Dollar Insurance Agreement with Executive Officers. Incorporated by reference to Exhibit (10)a to the</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Company’s Annual Report on Form 10-K for the fiscal year ended February 1, 1997 (File No.1-3083).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120" w:hanging="592"/>
        <w:spacing w:after="0" w:line="265"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Genesco Inc. Second Amended and Restated 2009 Equity Incentive Plan.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Company’s current report on Form 8-K, filed June 28, 2016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80" w:hanging="592"/>
        <w:spacing w:after="0" w:line="265"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Genesco Inc. Third Amended and Restated EVA Incentive Compensation Plan. Incorporated by reference to Exhibit (10)h</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to the Company’s Annual Report on Form 10-K for the fiscal year ended February 1, 2020. (File No. 1-3083).</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644" w:right="80" w:hanging="592"/>
        <w:spacing w:after="0" w:line="276" w:lineRule="auto"/>
        <w:tabs>
          <w:tab w:leader="none" w:pos="1644" w:val="left"/>
        </w:tabs>
        <w:numPr>
          <w:ilvl w:val="1"/>
          <w:numId w:val="21"/>
        </w:numPr>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First Amendment to the Third Amended and Restated EVA Incentive Compensation Plan of Genesco Inc. Incorporated by</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reference to Exhibit (10)a to the Company's Quarterly Report on Form 10-Q for the quarter ended May 1, 2021. (File No.</w:t>
        </w:r>
      </w:hyperlink>
    </w:p>
    <w:p>
      <w:pPr>
        <w:ind w:left="1644"/>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1-3083).</w:t>
        </w:r>
      </w:hyperlink>
    </w:p>
    <w:p>
      <w:pPr>
        <w:spacing w:after="0" w:line="17" w:lineRule="exact"/>
        <w:rPr>
          <w:rFonts w:ascii="Times New Roman" w:cs="Times New Roman" w:eastAsia="Times New Roman" w:hAnsi="Times New Roman"/>
          <w:sz w:val="18"/>
          <w:szCs w:val="18"/>
          <w:u w:val="single" w:color="auto"/>
          <w:color w:val="0000FF"/>
        </w:rPr>
      </w:pPr>
    </w:p>
    <w:p>
      <w:pPr>
        <w:ind w:left="1644" w:right="100" w:hanging="592"/>
        <w:spacing w:after="0" w:line="260"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Second Amendment to the Third Amended and Restated EVA Incentive Compensation Plan of Genesco Inc. Incorporated</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by reference to Exhibit (10)a to the Company's Quarterly Report on Form 10-Q for the quarter ended October 30, 2021.</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600" w:hanging="592"/>
        <w:spacing w:after="0" w:line="265"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Fourth Amended and Restated EVA Incentive Compensation Plan.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Company's Current Report on Form 8-K filed March 31, 2023.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320" w:hanging="592"/>
        <w:spacing w:after="0" w:line="265"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Genesco Inc. 2020 Equity Incentive Plan. Incorporated by reference to Appendix A to Genesco Inc.’s Definitive Proxy</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Statement on Schedule 14A, filed May 15, 2020.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300" w:hanging="592"/>
        <w:spacing w:after="0" w:line="265"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Genesco Inc. Amended and Restated 2020 Equity Incentive Plan. Incorporated by reference to Appendix A to Genesco</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Inc.'s Definitive Proxy Statement on Schedule 14A, filed May 12, 2023.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20" w:hanging="592"/>
        <w:spacing w:after="0" w:line="265"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Form of Incentive Stock Option Agreement. Incorporated by reference to Exhibit (10)c to the Company’s Quarterly Report</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on Form 10-Q for the quarter ended October 29, 2005 (File No.1-3083).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160" w:hanging="592"/>
        <w:spacing w:after="0" w:line="265"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Form of Non-Qualified Stock Option Agreement. Incorporated by reference to Exhibit (10)d to the Company’s Quarterly</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Report on Form 10-Q for the quarter ended October 29, 2005 (File No.1-3083).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460" w:hanging="592"/>
        <w:spacing w:after="0" w:line="265"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Form of Restricted Share Award Agreement for Executive Officers. Incorporated by reference to Exhibit (10)e to the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Company’s Quarterly Report on Form 10-Q for the quarter ended October 29, 2005 (File No.1-3083).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100" w:hanging="592"/>
        <w:spacing w:after="0" w:line="265"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Form of Restricted Share Award Agreement for Officers and Employees. Incorporated by reference to Exhibit (10)f to the</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Company’s Quarterly Report on Form 10-Q for the quarter ended October 29, 2005 (File No.1-3083).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520" w:hanging="592"/>
        <w:spacing w:after="0" w:line="265"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Form of Restricted Share Award Agreement. Incorporated by reference to Exhibit (10)a to the Company’s Quarterly</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Report on Form 10-Q for the quarter ended August 1, 2009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300" w:hanging="592"/>
        <w:spacing w:after="0" w:line="281" w:lineRule="auto"/>
        <w:tabs>
          <w:tab w:leader="none" w:pos="1644" w:val="left"/>
        </w:tabs>
        <w:numPr>
          <w:ilvl w:val="1"/>
          <w:numId w:val="21"/>
        </w:numPr>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Form of Genesco Inc. Performance Share Unit Agreement.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Quarterly Report on Form 10-Q for the quarter ended April 29, 2023 (File No. 3083).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1044575</wp:posOffset>
            </wp:positionH>
            <wp:positionV relativeFrom="paragraph">
              <wp:posOffset>-6503035</wp:posOffset>
            </wp:positionV>
            <wp:extent cx="5327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532701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-6366510</wp:posOffset>
            </wp:positionV>
            <wp:extent cx="56121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561213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-6229350</wp:posOffset>
            </wp:positionV>
            <wp:extent cx="5529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552958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-6092190</wp:posOffset>
            </wp:positionV>
            <wp:extent cx="19742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197421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-5937885</wp:posOffset>
            </wp:positionV>
            <wp:extent cx="52832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528320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-5801360</wp:posOffset>
            </wp:positionV>
            <wp:extent cx="54946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549465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-5664200</wp:posOffset>
            </wp:positionV>
            <wp:extent cx="53644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536448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-5527040</wp:posOffset>
            </wp:positionV>
            <wp:extent cx="40347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403479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-5372735</wp:posOffset>
            </wp:positionV>
            <wp:extent cx="56280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562800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-5236210</wp:posOffset>
            </wp:positionV>
            <wp:extent cx="54946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549465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-5099050</wp:posOffset>
            </wp:positionV>
            <wp:extent cx="56280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562800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-4961890</wp:posOffset>
            </wp:positionV>
            <wp:extent cx="31502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315023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-4807585</wp:posOffset>
            </wp:positionV>
            <wp:extent cx="52990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529907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-4671060</wp:posOffset>
            </wp:positionV>
            <wp:extent cx="56280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562800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-4533900</wp:posOffset>
            </wp:positionV>
            <wp:extent cx="56248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562483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-4396740</wp:posOffset>
            </wp:positionV>
            <wp:extent cx="33528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335280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-4243070</wp:posOffset>
            </wp:positionV>
            <wp:extent cx="53689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536892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-4105910</wp:posOffset>
            </wp:positionV>
            <wp:extent cx="46780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467804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-3951605</wp:posOffset>
            </wp:positionV>
            <wp:extent cx="55803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558038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-3814445</wp:posOffset>
            </wp:positionV>
            <wp:extent cx="35591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355917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-3660775</wp:posOffset>
            </wp:positionV>
            <wp:extent cx="56070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560705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-3523615</wp:posOffset>
            </wp:positionV>
            <wp:extent cx="50203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502031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-3369310</wp:posOffset>
            </wp:positionV>
            <wp:extent cx="56070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560705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-3232150</wp:posOffset>
            </wp:positionV>
            <wp:extent cx="55727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557276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-3095625</wp:posOffset>
            </wp:positionV>
            <wp:extent cx="389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38989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-2941320</wp:posOffset>
            </wp:positionV>
            <wp:extent cx="55911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559117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-2804160</wp:posOffset>
            </wp:positionV>
            <wp:extent cx="54902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549021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-2667000</wp:posOffset>
            </wp:positionV>
            <wp:extent cx="830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83058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-2513330</wp:posOffset>
            </wp:positionV>
            <wp:extent cx="52711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527113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-2376170</wp:posOffset>
            </wp:positionV>
            <wp:extent cx="37287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372872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-2221865</wp:posOffset>
            </wp:positionV>
            <wp:extent cx="54508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545084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-2085340</wp:posOffset>
            </wp:positionV>
            <wp:extent cx="30899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308991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-1931035</wp:posOffset>
            </wp:positionV>
            <wp:extent cx="54660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546608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-1793875</wp:posOffset>
            </wp:positionV>
            <wp:extent cx="41503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415036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-1639570</wp:posOffset>
            </wp:positionV>
            <wp:extent cx="56280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562800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-1503045</wp:posOffset>
            </wp:positionV>
            <wp:extent cx="32899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328993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-1348740</wp:posOffset>
            </wp:positionV>
            <wp:extent cx="55556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555561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-1211580</wp:posOffset>
            </wp:positionV>
            <wp:extent cx="36290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362902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-1057275</wp:posOffset>
            </wp:positionV>
            <wp:extent cx="53619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536194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-920750</wp:posOffset>
            </wp:positionV>
            <wp:extent cx="46431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464312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-766445</wp:posOffset>
            </wp:positionV>
            <wp:extent cx="55930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559308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-629285</wp:posOffset>
            </wp:positionV>
            <wp:extent cx="46431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464312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-475615</wp:posOffset>
            </wp:positionV>
            <wp:extent cx="53289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532892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-338455</wp:posOffset>
            </wp:positionV>
            <wp:extent cx="35623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356235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-184150</wp:posOffset>
            </wp:positionV>
            <wp:extent cx="54584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545846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-46990</wp:posOffset>
            </wp:positionV>
            <wp:extent cx="39014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390144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color w:val="auto"/>
        </w:rPr>
      </w:pPr>
    </w:p>
    <w:p>
      <w:pPr>
        <w:ind w:left="4844"/>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-448945</wp:posOffset>
            </wp:positionH>
            <wp:positionV relativeFrom="paragraph">
              <wp:posOffset>483870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4"/>
          </w:cols>
          <w:pgMar w:left="1016" w:top="1213" w:right="379" w:bottom="1440" w:gutter="0" w:footer="0" w:header="0"/>
        </w:sectPr>
      </w:pPr>
    </w:p>
    <w:bookmarkStart w:id="84" w:name="page85"/>
    <w:bookmarkEnd w:id="84"/>
    <w:p>
      <w:pPr>
        <w:ind w:left="2340" w:right="380" w:hanging="592"/>
        <w:spacing w:after="0" w:line="265" w:lineRule="auto"/>
        <w:tabs>
          <w:tab w:leader="none" w:pos="2340" w:val="left"/>
        </w:tabs>
        <w:numPr>
          <w:ilvl w:val="0"/>
          <w:numId w:val="22"/>
        </w:numPr>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Form of Genesco Inc. Restricted Share Award Agreement. Incorporated by reference to Exhibit 10.3 to the Company's</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Quarterly Report on Form 10-Q for the quarter ended April 29, 2023 (File No. 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200" w:hanging="592"/>
        <w:spacing w:after="0" w:line="265" w:lineRule="auto"/>
        <w:tabs>
          <w:tab w:leader="none" w:pos="2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Indemnification Agreement For Directors. Incorporated by reference to Exhibit (10)m to the Company’s Annual Report on Form 10-K for the fiscal year ended January 31, 1993 (File No.1-3083). (P)</w:t>
      </w:r>
    </w:p>
    <w:p>
      <w:pPr>
        <w:spacing w:after="0" w:line="1" w:lineRule="exact"/>
        <w:rPr>
          <w:rFonts w:ascii="Times New Roman" w:cs="Times New Roman" w:eastAsia="Times New Roman" w:hAnsi="Times New Roman"/>
          <w:sz w:val="18"/>
          <w:szCs w:val="18"/>
          <w:color w:val="auto"/>
        </w:rPr>
      </w:pPr>
    </w:p>
    <w:p>
      <w:pPr>
        <w:ind w:left="2340" w:right="320" w:hanging="592"/>
        <w:spacing w:after="0" w:line="265" w:lineRule="auto"/>
        <w:tabs>
          <w:tab w:leader="none" w:pos="2340" w:val="left"/>
        </w:tabs>
        <w:numPr>
          <w:ilvl w:val="0"/>
          <w:numId w:val="22"/>
        </w:numPr>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Form of Non-Executive Director Indemnification Agreement. Incorporated by reference to Exhibit (10.1) to the current</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report on Form 8-K filed November 3, 2008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480" w:hanging="592"/>
        <w:spacing w:after="0" w:line="265" w:lineRule="auto"/>
        <w:tabs>
          <w:tab w:leader="none" w:pos="2340" w:val="left"/>
        </w:tabs>
        <w:numPr>
          <w:ilvl w:val="0"/>
          <w:numId w:val="22"/>
        </w:numPr>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Form of Officer Indemnification Agreement. Incorporated by reference to Exhibit (10.2) to the Company’s Quarterly</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Report on Form 10-Q for the quarter ended November 1, 2008 (File No.1-3083).</w:t>
        </w:r>
      </w:hyperlink>
    </w:p>
    <w:p>
      <w:pPr>
        <w:spacing w:after="0" w:line="1" w:lineRule="exact"/>
        <w:rPr>
          <w:rFonts w:ascii="Times New Roman" w:cs="Times New Roman" w:eastAsia="Times New Roman" w:hAnsi="Times New Roman"/>
          <w:sz w:val="18"/>
          <w:szCs w:val="18"/>
          <w:u w:val="single" w:color="auto"/>
          <w:color w:val="0000FF"/>
        </w:rPr>
      </w:pPr>
    </w:p>
    <w:p>
      <w:pPr>
        <w:jc w:val="both"/>
        <w:ind w:left="2340" w:right="120" w:hanging="592"/>
        <w:spacing w:after="0" w:line="260" w:lineRule="auto"/>
        <w:tabs>
          <w:tab w:leader="none" w:pos="2340" w:val="left"/>
        </w:tabs>
        <w:numPr>
          <w:ilvl w:val="0"/>
          <w:numId w:val="22"/>
        </w:numPr>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Form of Employment Protection Agreement between the Company and certain executive officers dated as of February 26,</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1997. Incorporated by reference to Exhibit (10)p to the Company’s Annual 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February 1, 1997 (File No.1-3083).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660" w:hanging="592"/>
        <w:spacing w:after="0" w:line="265" w:lineRule="auto"/>
        <w:tabs>
          <w:tab w:leader="none" w:pos="2340" w:val="left"/>
        </w:tabs>
        <w:numPr>
          <w:ilvl w:val="0"/>
          <w:numId w:val="22"/>
        </w:numPr>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First Amendment to Form of Employment Protection Agreement. Incorporated by reference to Exhibit (10)s to the</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Company’s Annual Report on Form 10-K for the fiscal year ended January 30, 2010 (File No.1-3083).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180" w:hanging="592"/>
        <w:spacing w:after="0" w:line="260" w:lineRule="auto"/>
        <w:tabs>
          <w:tab w:leader="none" w:pos="2340" w:val="left"/>
        </w:tabs>
        <w:numPr>
          <w:ilvl w:val="0"/>
          <w:numId w:val="22"/>
        </w:numPr>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Form of Employment Protection Agreement between the Company and certain executive officers dated as of October 30,</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2019. Incorporated by reference to Exhibit 10.1 to the current report on Form 8-K filed October 31, 2019 (File No. 1-</w:t>
        </w:r>
      </w:hyperlink>
      <w:hyperlink r:id="rId206">
        <w:r>
          <w:rPr>
            <w:rFonts w:ascii="Times New Roman" w:cs="Times New Roman" w:eastAsia="Times New Roman" w:hAnsi="Times New Roman"/>
            <w:sz w:val="18"/>
            <w:szCs w:val="18"/>
            <w:u w:val="single" w:color="auto"/>
            <w:color w:val="0000FF"/>
          </w:rPr>
          <w:t>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120" w:hanging="592"/>
        <w:spacing w:after="0" w:line="257" w:lineRule="auto"/>
        <w:tabs>
          <w:tab w:leader="none" w:pos="2340" w:val="left"/>
        </w:tabs>
        <w:numPr>
          <w:ilvl w:val="0"/>
          <w:numId w:val="22"/>
        </w:numPr>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Genesco Inc. Deferred Income Plan dated as of July 1, 2000. Incorporated by reference to Exhibit (10)p to the Company’s</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Annual Report on Form 10-K for the fiscal year ended January 29, 2005. Amended and Restated Deferred Income Plan</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dated August 22, 2007. Incorporated by reference to Exhibit (10)r to the Company’s Annual Report on Form 10-K for the</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fiscal year ended February 2, 2008 (File No.1-3083).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1486535</wp:posOffset>
            </wp:positionH>
            <wp:positionV relativeFrom="paragraph">
              <wp:posOffset>-2751455</wp:posOffset>
            </wp:positionV>
            <wp:extent cx="54356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543560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-2614295</wp:posOffset>
            </wp:positionV>
            <wp:extent cx="39014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39014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-2169160</wp:posOffset>
            </wp:positionV>
            <wp:extent cx="54787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547878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-2032000</wp:posOffset>
            </wp:positionV>
            <wp:extent cx="28746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287464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-1877695</wp:posOffset>
            </wp:positionV>
            <wp:extent cx="53689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536892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-1741170</wp:posOffset>
            </wp:positionV>
            <wp:extent cx="36855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36855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-1586865</wp:posOffset>
            </wp:positionV>
            <wp:extent cx="56070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560705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-1449705</wp:posOffset>
            </wp:positionV>
            <wp:extent cx="55994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559943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-1312545</wp:posOffset>
            </wp:positionV>
            <wp:extent cx="16129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161290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-1158875</wp:posOffset>
            </wp:positionV>
            <wp:extent cx="52641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526415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-1021715</wp:posOffset>
            </wp:positionV>
            <wp:extent cx="46780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467804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-867410</wp:posOffset>
            </wp:positionV>
            <wp:extent cx="55626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556260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-730250</wp:posOffset>
            </wp:positionV>
            <wp:extent cx="53619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53619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-593725</wp:posOffset>
            </wp:positionV>
            <wp:extent cx="2946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2946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-439420</wp:posOffset>
            </wp:positionV>
            <wp:extent cx="55994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559943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-302260</wp:posOffset>
            </wp:positionV>
            <wp:extent cx="54794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547941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-165100</wp:posOffset>
            </wp:positionV>
            <wp:extent cx="55841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558419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-28575</wp:posOffset>
            </wp:positionV>
            <wp:extent cx="24149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ind w:left="2340" w:right="60" w:hanging="592"/>
        <w:spacing w:after="0" w:line="265" w:lineRule="auto"/>
        <w:tabs>
          <w:tab w:leader="none" w:pos="2340" w:val="left"/>
        </w:tabs>
        <w:numPr>
          <w:ilvl w:val="0"/>
          <w:numId w:val="23"/>
        </w:numPr>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The Schuh Group Limited 2015 Management Bonus Scheme. Incorporated by reference to Exhibit (10)a to the Company’s</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Quarterly Report on Form 10-Q for the quarter ended July 30, 2011 (File No.1-3083).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140" w:hanging="592"/>
        <w:spacing w:after="0" w:line="265" w:lineRule="auto"/>
        <w:tabs>
          <w:tab w:leader="none" w:pos="2340" w:val="left"/>
        </w:tabs>
        <w:numPr>
          <w:ilvl w:val="0"/>
          <w:numId w:val="23"/>
        </w:numPr>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Letter Agreement dated August 30, 2023, by and between the Company and Mario Gallione. Incorporated by reference to</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Exhibit 10.1 to the current report on Form 8-K filed August 31, 2023.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hanging="592"/>
        <w:spacing w:after="0"/>
        <w:tabs>
          <w:tab w:leader="none" w:pos="2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Form of Genesco Inc. Restricted Share Award Agreement.</w:t>
      </w:r>
    </w:p>
    <w:p>
      <w:pPr>
        <w:spacing w:after="0" w:line="35" w:lineRule="exact"/>
        <w:rPr>
          <w:rFonts w:ascii="Times New Roman" w:cs="Times New Roman" w:eastAsia="Times New Roman" w:hAnsi="Times New Roman"/>
          <w:sz w:val="18"/>
          <w:szCs w:val="18"/>
          <w:color w:val="auto"/>
        </w:rPr>
      </w:pPr>
    </w:p>
    <w:p>
      <w:pPr>
        <w:ind w:left="2340" w:right="160" w:hanging="592"/>
        <w:spacing w:after="0" w:line="265" w:lineRule="auto"/>
        <w:tabs>
          <w:tab w:leader="none" w:pos="2340" w:val="left"/>
        </w:tabs>
        <w:numPr>
          <w:ilvl w:val="0"/>
          <w:numId w:val="23"/>
        </w:numPr>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Basic Form of Exchange Agreement (Restricted Stock). Incorporated by reference to Exhibit 10.1 to the current report on</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Form 8-K filed April 29, 2009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220" w:hanging="592"/>
        <w:spacing w:after="0" w:line="265" w:lineRule="auto"/>
        <w:tabs>
          <w:tab w:leader="none" w:pos="2340" w:val="left"/>
        </w:tabs>
        <w:numPr>
          <w:ilvl w:val="0"/>
          <w:numId w:val="23"/>
        </w:numPr>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Basic Form of Exchange Agreement (Unrestricted Stock). Incorporated by reference to Exhibit 10.2 to the current report</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on Form 8-K filed April 29, 2009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700" w:hanging="592"/>
        <w:spacing w:after="0" w:line="265" w:lineRule="auto"/>
        <w:tabs>
          <w:tab w:leader="none" w:pos="2340" w:val="left"/>
        </w:tabs>
        <w:numPr>
          <w:ilvl w:val="0"/>
          <w:numId w:val="23"/>
        </w:numPr>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Form of Conversion Agreement. Incorporated by reference to Exhibit 10.1 to the current report on Form 8-K filed</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November 2, 2009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700" w:hanging="592"/>
        <w:spacing w:after="0" w:line="265" w:lineRule="auto"/>
        <w:tabs>
          <w:tab w:leader="none" w:pos="2340" w:val="left"/>
        </w:tabs>
        <w:numPr>
          <w:ilvl w:val="0"/>
          <w:numId w:val="23"/>
        </w:numPr>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Form of Conversion Agreement. Incorporated by reference to Exhibit 10.1 to the current report on Form 8-K filed</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November 6, 2009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240" w:hanging="592"/>
        <w:spacing w:after="0" w:line="260" w:lineRule="auto"/>
        <w:tabs>
          <w:tab w:leader="none" w:pos="2340" w:val="left"/>
        </w:tabs>
        <w:numPr>
          <w:ilvl w:val="0"/>
          <w:numId w:val="23"/>
        </w:numPr>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Terms and Conditions to Trademark License Agreement dated December 17, 2019, between Levi Strauss &amp; Co. and</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Genesco Inc.* Incorporated by reference to Exhibit (10)bb to the Company’s Annual Report on Form 10-K for the fiscal</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year ended February 1, 2020. (File No. 1-3083).</w:t>
        </w:r>
      </w:hyperlink>
    </w:p>
    <w:p>
      <w:pPr>
        <w:spacing w:after="0" w:line="1" w:lineRule="exact"/>
        <w:rPr>
          <w:rFonts w:ascii="Times New Roman" w:cs="Times New Roman" w:eastAsia="Times New Roman" w:hAnsi="Times New Roman"/>
          <w:sz w:val="18"/>
          <w:szCs w:val="18"/>
          <w:u w:val="single" w:color="auto"/>
          <w:color w:val="0000FF"/>
        </w:rPr>
      </w:pPr>
    </w:p>
    <w:p>
      <w:pPr>
        <w:jc w:val="both"/>
        <w:ind w:left="2340" w:right="240" w:hanging="592"/>
        <w:spacing w:after="0" w:line="260" w:lineRule="auto"/>
        <w:tabs>
          <w:tab w:leader="none" w:pos="2340" w:val="left"/>
        </w:tabs>
        <w:numPr>
          <w:ilvl w:val="0"/>
          <w:numId w:val="23"/>
        </w:numPr>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Schedule to Trademark License Agreement (Levi’s® Brand) dated December 17, 2019, between Levi Strauss &amp; Co. and</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Genesco Inc.* Incorporated by reference to Exhibit (10)cc to the Company’s Annual Report on Form 10-K for the fiscal</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year ended February 1, 2020.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100" w:hanging="592"/>
        <w:spacing w:after="0" w:line="260" w:lineRule="auto"/>
        <w:tabs>
          <w:tab w:leader="none" w:pos="2340" w:val="left"/>
        </w:tabs>
        <w:numPr>
          <w:ilvl w:val="0"/>
          <w:numId w:val="23"/>
        </w:numPr>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Schedule to Trademark License Agreement (Dockers® Brand) dated December 17, 2019, between Levi Strauss &amp; Co. and</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Genesco Inc.* Incorporated by reference to Exhibit (10)dd to the Company’s Annual Report on Form 10-K for the fiscal</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year ended February 1, 2020. (File No. 1-3083).</w:t>
        </w:r>
      </w:hyperlink>
    </w:p>
    <w:p>
      <w:pPr>
        <w:spacing w:after="0" w:line="1" w:lineRule="exact"/>
        <w:rPr>
          <w:rFonts w:ascii="Times New Roman" w:cs="Times New Roman" w:eastAsia="Times New Roman" w:hAnsi="Times New Roman"/>
          <w:sz w:val="18"/>
          <w:szCs w:val="18"/>
          <w:u w:val="single" w:color="auto"/>
          <w:color w:val="0000FF"/>
        </w:rPr>
      </w:pPr>
    </w:p>
    <w:p>
      <w:pPr>
        <w:jc w:val="both"/>
        <w:ind w:left="2340" w:right="100" w:hanging="592"/>
        <w:spacing w:after="0" w:line="260" w:lineRule="auto"/>
        <w:tabs>
          <w:tab w:leader="none" w:pos="2340" w:val="left"/>
        </w:tabs>
        <w:numPr>
          <w:ilvl w:val="0"/>
          <w:numId w:val="23"/>
        </w:numPr>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Amendment No. 1 to Trademark License Agreement, dated December 17, 2019, between Levi Strauss &amp; Co. and Genesco</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Inc.* Incorporated by reference to Exhibit (10)ee to the Company’s Annual 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February 1, 2020. (File No. 1-3083).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1486535</wp:posOffset>
            </wp:positionH>
            <wp:positionV relativeFrom="paragraph">
              <wp:posOffset>-3488690</wp:posOffset>
            </wp:positionV>
            <wp:extent cx="56280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562800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-3351530</wp:posOffset>
            </wp:positionV>
            <wp:extent cx="39128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391287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-3197860</wp:posOffset>
            </wp:positionV>
            <wp:extent cx="55867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558673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-3060700</wp:posOffset>
            </wp:positionV>
            <wp:extent cx="40379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403796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-2906395</wp:posOffset>
            </wp:positionV>
            <wp:extent cx="26670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6">
                      <a:extLst>
                        <a:ext uri="{28A0092B-C50C-407E-A947-70E740481C1C}"/>
                      </a:extLst>
                    </a:blip>
                    <a:srcRect/>
                    <a:stretch>
                      <a:fillRect/>
                    </a:stretch>
                  </pic:blipFill>
                  <pic:spPr bwMode="auto">
                    <a:xfrm>
                      <a:off x="0" y="0"/>
                      <a:ext cx="266700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-2752725</wp:posOffset>
            </wp:positionV>
            <wp:extent cx="55772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7">
                      <a:extLst>
                        <a:ext uri="{28A0092B-C50C-407E-A947-70E740481C1C}"/>
                      </a:extLst>
                    </a:blip>
                    <a:srcRect/>
                    <a:stretch>
                      <a:fillRect/>
                    </a:stretch>
                  </pic:blipFill>
                  <pic:spPr bwMode="auto">
                    <a:xfrm>
                      <a:off x="0" y="0"/>
                      <a:ext cx="557720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-2615565</wp:posOffset>
            </wp:positionV>
            <wp:extent cx="22472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224726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-2461260</wp:posOffset>
            </wp:positionV>
            <wp:extent cx="55359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553593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-2324100</wp:posOffset>
            </wp:positionV>
            <wp:extent cx="23901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23901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-2170430</wp:posOffset>
            </wp:positionV>
            <wp:extent cx="52349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1">
                      <a:extLst>
                        <a:ext uri="{28A0092B-C50C-407E-A947-70E740481C1C}"/>
                      </a:extLst>
                    </a:blip>
                    <a:srcRect/>
                    <a:stretch>
                      <a:fillRect/>
                    </a:stretch>
                  </pic:blipFill>
                  <pic:spPr bwMode="auto">
                    <a:xfrm>
                      <a:off x="0" y="0"/>
                      <a:ext cx="52349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-2033270</wp:posOffset>
            </wp:positionV>
            <wp:extent cx="1711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171132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-1878965</wp:posOffset>
            </wp:positionV>
            <wp:extent cx="52349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52349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-1741805</wp:posOffset>
            </wp:positionV>
            <wp:extent cx="1711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171132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-1588135</wp:posOffset>
            </wp:positionV>
            <wp:extent cx="53308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533082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-1450975</wp:posOffset>
            </wp:positionV>
            <wp:extent cx="55270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55270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-1313815</wp:posOffset>
            </wp:positionV>
            <wp:extent cx="21964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219646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-1159510</wp:posOffset>
            </wp:positionV>
            <wp:extent cx="55270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55270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-1022985</wp:posOffset>
            </wp:positionV>
            <wp:extent cx="55143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55143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-885825</wp:posOffset>
            </wp:positionV>
            <wp:extent cx="21964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219646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-731520</wp:posOffset>
            </wp:positionV>
            <wp:extent cx="56216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562165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-594995</wp:posOffset>
            </wp:positionV>
            <wp:extent cx="55270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55270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-457835</wp:posOffset>
            </wp:positionV>
            <wp:extent cx="21964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219646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-303530</wp:posOffset>
            </wp:positionV>
            <wp:extent cx="56210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562102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-166370</wp:posOffset>
            </wp:positionV>
            <wp:extent cx="56184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561848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-29845</wp:posOffset>
            </wp:positionV>
            <wp:extent cx="16700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2360" w:type="dxa"/>
            <w:vAlign w:val="bottom"/>
          </w:tcPr>
          <w:p>
            <w:pPr>
              <w:ind w:left="700"/>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888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Subsidiaries of the Company</w:t>
            </w: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(23)</w:t>
            </w:r>
          </w:p>
        </w:tc>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 included on page 87.</w:t>
            </w: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60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(24)</w:t>
            </w:r>
          </w:p>
        </w:tc>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Power of Attorney</w:t>
            </w: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(31.1)</w:t>
            </w:r>
          </w:p>
        </w:tc>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Sarbanes-Oxley Act of 2002.</w:t>
            </w:r>
          </w:p>
        </w:tc>
      </w:tr>
      <w:tr>
        <w:trPr>
          <w:trHeight w:val="465"/>
        </w:trPr>
        <w:tc>
          <w:tcPr>
            <w:tcW w:w="2360" w:type="dxa"/>
            <w:vAlign w:val="bottom"/>
          </w:tcPr>
          <w:p>
            <w:pPr>
              <w:spacing w:after="0"/>
              <w:rPr>
                <w:sz w:val="24"/>
                <w:szCs w:val="24"/>
                <w:color w:val="auto"/>
              </w:rPr>
            </w:pPr>
          </w:p>
        </w:tc>
        <w:tc>
          <w:tcPr>
            <w:tcW w:w="7360" w:type="dxa"/>
            <w:vAlign w:val="bottom"/>
            <w:tcBorders>
              <w:top w:val="single" w:sz="8" w:color="0000FF"/>
            </w:tcBorders>
            <w:gridSpan w:val="3"/>
          </w:tcPr>
          <w:p>
            <w:pPr>
              <w:jc w:val="right"/>
              <w:ind w:right="400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r>
      <w:tr>
        <w:trPr>
          <w:trHeight w:val="762"/>
        </w:trPr>
        <w:tc>
          <w:tcPr>
            <w:tcW w:w="2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85" w:name="page86"/>
    <w:bookmarkEnd w:id="85"/>
    <w:tbl>
      <w:tblPr>
        <w:tblLayout w:type="fixed"/>
        <w:tblInd w:w="70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Sarbanes-Oxley Act of 2002.</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53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EE"/>
            </w:tcBorders>
          </w:tcPr>
          <w:p>
            <w:pPr>
              <w:spacing w:after="0" w:line="20" w:lineRule="exact"/>
              <w:rPr>
                <w:sz w:val="1"/>
                <w:szCs w:val="1"/>
                <w:color w:val="auto"/>
              </w:rPr>
            </w:pPr>
          </w:p>
        </w:tc>
      </w:tr>
      <w:tr>
        <w:trPr>
          <w:trHeight w:val="22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18 U.S.C. Section 1350, as Adopted Pursuant to Section 906 of the</w:t>
            </w:r>
          </w:p>
        </w:tc>
      </w:tr>
      <w:tr>
        <w:trPr>
          <w:trHeight w:val="20"/>
        </w:trPr>
        <w:tc>
          <w:tcPr>
            <w:tcW w:w="166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53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84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18 U.S.C. Section 1350, as Adopted Pursuant to Section 906 of the</w:t>
            </w:r>
          </w:p>
        </w:tc>
      </w:tr>
      <w:tr>
        <w:trPr>
          <w:trHeight w:val="20"/>
        </w:trPr>
        <w:tc>
          <w:tcPr>
            <w:tcW w:w="1660" w:type="dxa"/>
            <w:vAlign w:val="bottom"/>
          </w:tcPr>
          <w:p>
            <w:pPr>
              <w:spacing w:after="0" w:line="20" w:lineRule="exact"/>
              <w:rPr>
                <w:sz w:val="1"/>
                <w:szCs w:val="1"/>
                <w:color w:val="auto"/>
              </w:rPr>
            </w:pPr>
          </w:p>
        </w:tc>
        <w:tc>
          <w:tcPr>
            <w:tcW w:w="740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84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Genesco Inc. Amended and Restated Compensation Recoupment Policy, dated as of October 26, 2023.</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7400" w:type="dxa"/>
            <w:vAlign w:val="bottom"/>
            <w:tcBorders>
              <w:right w:val="single" w:sz="8" w:color="0000EE"/>
            </w:tcBorders>
            <w:gridSpan w:val="2"/>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4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materials from Genesco Inc.'s Annual Form on Form 10-K for the year ended February 3, 2024, formatted</w:t>
            </w:r>
          </w:p>
        </w:tc>
      </w:tr>
      <w:tr>
        <w:trPr>
          <w:trHeight w:val="216"/>
        </w:trPr>
        <w:tc>
          <w:tcPr>
            <w:tcW w:w="166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Inline XBRL (eXtensible Business Reporting Language): (i) Consolidated Balance Sheets at February 3, 2024 and</w:t>
            </w:r>
          </w:p>
        </w:tc>
      </w:tr>
      <w:tr>
        <w:trPr>
          <w:trHeight w:val="216"/>
        </w:trPr>
        <w:tc>
          <w:tcPr>
            <w:tcW w:w="166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January 28, 2023, (ii) Consolidated Statements of Operations for each of the three fiscal years ended 2024, 2023 and 2022,</w:t>
            </w:r>
          </w:p>
        </w:tc>
      </w:tr>
      <w:tr>
        <w:trPr>
          <w:trHeight w:val="216"/>
        </w:trPr>
        <w:tc>
          <w:tcPr>
            <w:tcW w:w="166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(iii) Consolidated Statements of Comprehensive Income (Loss) for each of the three fiscal years ended 2024, 2023 and</w:t>
            </w:r>
          </w:p>
        </w:tc>
      </w:tr>
      <w:tr>
        <w:trPr>
          <w:trHeight w:val="216"/>
        </w:trPr>
        <w:tc>
          <w:tcPr>
            <w:tcW w:w="166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2022, (iv) Consolidated Statements of Cash Flows for each of the three fiscal years ended 2024, 2023 and 2022, (v)</w:t>
            </w:r>
          </w:p>
        </w:tc>
      </w:tr>
      <w:tr>
        <w:trPr>
          <w:trHeight w:val="216"/>
        </w:trPr>
        <w:tc>
          <w:tcPr>
            <w:tcW w:w="166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Statements of Equity for each of the three fiscal years ended 2024, 2023 and 2022, and (vi) Notes to</w:t>
            </w:r>
          </w:p>
        </w:tc>
      </w:tr>
      <w:tr>
        <w:trPr>
          <w:trHeight w:val="234"/>
        </w:trPr>
        <w:tc>
          <w:tcPr>
            <w:tcW w:w="1660" w:type="dxa"/>
            <w:vAlign w:val="bottom"/>
          </w:tcPr>
          <w:p>
            <w:pPr>
              <w:spacing w:after="0"/>
              <w:rPr>
                <w:sz w:val="20"/>
                <w:szCs w:val="20"/>
                <w:color w:val="auto"/>
              </w:rPr>
            </w:pP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4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1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Exhibits (10)e through (10)s and (10)v through (10)cc are Management Contracts or Compensatory Plans or Arrangements required to be filed as Exhibits to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portions of this exhibit have been omitted pursuant to a request for confidential treatment.</w:t>
      </w:r>
    </w:p>
    <w:p>
      <w:pPr>
        <w:spacing w:after="0" w:line="198" w:lineRule="exact"/>
        <w:rPr>
          <w:sz w:val="20"/>
          <w:szCs w:val="20"/>
          <w:color w:val="auto"/>
        </w:rPr>
      </w:pPr>
    </w:p>
    <w:p>
      <w:pPr>
        <w:jc w:val="both"/>
        <w:ind w:right="520"/>
        <w:spacing w:after="0" w:line="265" w:lineRule="auto"/>
        <w:rPr>
          <w:sz w:val="20"/>
          <w:szCs w:val="20"/>
          <w:color w:val="auto"/>
        </w:rPr>
      </w:pPr>
      <w:r>
        <w:rPr>
          <w:rFonts w:ascii="Times New Roman" w:cs="Times New Roman" w:eastAsia="Times New Roman" w:hAnsi="Times New Roman"/>
          <w:sz w:val="18"/>
          <w:szCs w:val="18"/>
          <w:color w:val="auto"/>
        </w:rPr>
        <w:t>A copy of any of the above described exhibits will be furnished to the shareholders upon written request, addressed to Director, Corporate Relations, Genesco Inc., 535 Marriott Drive, 12th Floor, Nashville, Tennessee 37215, accompanied by a check in the amount of $15.00 payable to Genesco Inc.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86" w:name="page87"/>
    <w:bookmarkEnd w:id="86"/>
    <w:p>
      <w:pPr>
        <w:ind w:right="2760" w:firstLine="3322"/>
        <w:spacing w:after="0" w:line="463"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333-08463)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333-104908)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333-40249) of Genesco Inc.,</w:t>
      </w:r>
    </w:p>
    <w:p>
      <w:pPr>
        <w:spacing w:after="0" w:line="19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333-128201)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333-160339)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333-180463) of Genesco Inc.,</w:t>
      </w:r>
    </w:p>
    <w:p>
      <w:pPr>
        <w:spacing w:after="0" w:line="19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333-218670)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333-248715) of Genesco Inc., and</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333-274394) of Genesco Inc.</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of our reports dated March 27, 2024, with respect to the consolidated financial statements of Genesco Inc. and Subsidiaries and the effectiveness of internal control over financial reporting of Genesco Inc. and Subsidiaries and included in this Annual Report (Form 10-K) of Genesco Inc. for the year ended February 3, 2024, and the financial statement schedule of Genesco Inc. included herein.</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27, 2024</w:t>
      </w:r>
    </w:p>
    <w:p>
      <w:pPr>
        <w:spacing w:after="0" w:line="200" w:lineRule="exact"/>
        <w:rPr>
          <w:sz w:val="20"/>
          <w:szCs w:val="20"/>
          <w:color w:val="auto"/>
        </w:rPr>
      </w:pPr>
    </w:p>
    <w:p>
      <w:pPr>
        <w:spacing w:after="0" w:line="2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96" w:right="89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GENESCO INC.</w:t>
            </w:r>
          </w:p>
        </w:tc>
      </w:tr>
      <w:tr>
        <w:trPr>
          <w:trHeight w:val="49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/s/Thomas A. George</w:t>
            </w:r>
          </w:p>
        </w:tc>
      </w:tr>
      <w:tr>
        <w:trPr>
          <w:trHeight w:val="234"/>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A. George</w:t>
            </w:r>
          </w:p>
        </w:tc>
      </w:tr>
      <w:tr>
        <w:trPr>
          <w:trHeight w:val="238"/>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 Finance and</w:t>
            </w: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2024</w:t>
      </w:r>
    </w:p>
    <w:p>
      <w:pPr>
        <w:spacing w:after="0" w:line="1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9th day of February,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/s/Mimi Eckel Vaughn</w:t>
            </w: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Chair, President, Chief Executive Officer</w:t>
            </w:r>
          </w:p>
        </w:tc>
      </w:tr>
      <w:tr>
        <w:trPr>
          <w:trHeight w:val="23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Mimi Eckel Vaughn</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7"/>
        </w:trPr>
        <w:tc>
          <w:tcPr>
            <w:tcW w:w="3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/s/Thomas A. George</w:t>
            </w:r>
          </w:p>
        </w:tc>
        <w:tc>
          <w:tcPr>
            <w:tcW w:w="1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 Finance and</w:t>
            </w:r>
          </w:p>
        </w:tc>
      </w:tr>
      <w:tr>
        <w:trPr>
          <w:trHeight w:val="23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A. George</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8"/>
        </w:trPr>
        <w:tc>
          <w:tcPr>
            <w:tcW w:w="6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2"/>
        </w:trPr>
        <w:tc>
          <w:tcPr>
            <w:tcW w:w="3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/s/Brently G. Baxter</w:t>
            </w:r>
          </w:p>
        </w:tc>
        <w:tc>
          <w:tcPr>
            <w:tcW w:w="1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3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Brently G. Baxter</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81"/>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4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Joanna Barsh*</w:t>
            </w: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Angel R. Martinez *</w:t>
            </w:r>
          </w:p>
        </w:tc>
      </w:tr>
      <w:tr>
        <w:trPr>
          <w:trHeight w:val="48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Bilunas*</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Mary Meixelsperger*</w:t>
            </w:r>
          </w:p>
        </w:tc>
      </w:tr>
      <w:tr>
        <w:trPr>
          <w:trHeight w:val="48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Carolyn Bojanowski *</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Gregory A. Sandfort*</w:t>
            </w:r>
          </w:p>
        </w:tc>
      </w:tr>
      <w:tr>
        <w:trPr>
          <w:trHeight w:val="48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F. Lambros.*</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Mimi E. Vaughn*</w:t>
            </w:r>
          </w:p>
        </w:tc>
      </w:tr>
      <w:tr>
        <w:trPr>
          <w:trHeight w:val="48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Thurgood Marshall, Jr.*</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951"/>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/s/Scott E. Becker</w:t>
            </w:r>
          </w:p>
        </w:tc>
        <w:tc>
          <w:tcPr>
            <w:tcW w:w="1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E. Becker</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238"/>
        </w:trPr>
        <w:tc>
          <w:tcPr>
            <w:tcW w:w="68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1119"/>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480" w:type="dxa"/>
            <w:vAlign w:val="bottom"/>
            <w:gridSpan w:val="3"/>
          </w:tcPr>
          <w:p>
            <w:pPr>
              <w:jc w:val="right"/>
              <w:ind w:right="5430"/>
              <w:spacing w:after="0"/>
              <w:rPr>
                <w:sz w:val="20"/>
                <w:szCs w:val="20"/>
                <w:color w:val="auto"/>
              </w:rPr>
            </w:pPr>
            <w:r>
              <w:rPr>
                <w:rFonts w:ascii="Times New Roman" w:cs="Times New Roman" w:eastAsia="Times New Roman" w:hAnsi="Times New Roman"/>
                <w:sz w:val="18"/>
                <w:szCs w:val="18"/>
                <w:color w:val="auto"/>
              </w:rPr>
              <w:t>88</w:t>
            </w:r>
          </w:p>
        </w:tc>
      </w:tr>
      <w:tr>
        <w:trPr>
          <w:trHeight w:val="762"/>
        </w:trPr>
        <w:tc>
          <w:tcPr>
            <w:tcW w:w="6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8" w:name="page89"/>
    <w:bookmarkEnd w:id="88"/>
    <w:p>
      <w:pPr>
        <w:ind w:left="452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27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Financial Statement Schedule</w:t>
      </w:r>
    </w:p>
    <w:p>
      <w:pPr>
        <w:spacing w:after="0" w:line="2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February 3, 2024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2</w:t>
            </w:r>
          </w:p>
        </w:tc>
      </w:tr>
      <w:tr>
        <w:trPr>
          <w:trHeight w:val="369"/>
        </w:trPr>
        <w:tc>
          <w:tcPr>
            <w:tcW w:w="2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Genesco Inc.</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Valuation and Qualifying Accounts</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February 3, 2024</w:t>
            </w: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43"/>
        </w:trPr>
        <w:tc>
          <w:tcPr>
            <w:tcW w:w="226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 Profit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Ending</w:t>
            </w:r>
          </w:p>
        </w:tc>
      </w:tr>
      <w:tr>
        <w:trPr>
          <w:trHeight w:val="245"/>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and Loss</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43"/>
        </w:trPr>
        <w:tc>
          <w:tcPr>
            <w:tcW w:w="4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Allowances deducted from assets in the balance sheet:</w:t>
            </w:r>
          </w:p>
        </w:tc>
        <w:tc>
          <w:tcPr>
            <w:tcW w:w="20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40"/>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Allowances</w:t>
            </w:r>
          </w:p>
        </w:tc>
        <w:tc>
          <w:tcPr>
            <w:tcW w:w="2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3,710</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662</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(106 )</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4,266</w:t>
            </w: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5"/>
        </w:trPr>
        <w:tc>
          <w:tcPr>
            <w:tcW w:w="4140" w:type="dxa"/>
            <w:vAlign w:val="bottom"/>
            <w:tcBorders>
              <w:bottom w:val="single" w:sz="8" w:color="auto"/>
            </w:tcBorders>
            <w:gridSpan w:val="2"/>
            <w:shd w:val="clear" w:color="auto" w:fill="CFF0FC"/>
          </w:tcPr>
          <w:p>
            <w:pPr>
              <w:ind w:left="20"/>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Markdown Allowance </w:t>
            </w:r>
            <w:r>
              <w:rPr>
                <w:rFonts w:ascii="Times New Roman" w:cs="Times New Roman" w:eastAsia="Times New Roman" w:hAnsi="Times New Roman"/>
                <w:sz w:val="24"/>
                <w:szCs w:val="24"/>
                <w:b w:val="1"/>
                <w:bCs w:val="1"/>
                <w:color w:val="auto"/>
                <w:vertAlign w:val="superscript"/>
              </w:rPr>
              <w:t>(1)</w:t>
            </w:r>
          </w:p>
        </w:tc>
        <w:tc>
          <w:tcPr>
            <w:tcW w:w="20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6,018</w:t>
            </w:r>
          </w:p>
        </w:tc>
        <w:tc>
          <w:tcPr>
            <w:tcW w:w="4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3,818</w:t>
            </w:r>
          </w:p>
        </w:tc>
        <w:tc>
          <w:tcPr>
            <w:tcW w:w="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(3,607 )</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6,229</w:t>
            </w:r>
          </w:p>
        </w:tc>
      </w:tr>
      <w:tr>
        <w:trPr>
          <w:trHeight w:val="37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January 28, 2023</w:t>
            </w: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43"/>
        </w:trPr>
        <w:tc>
          <w:tcPr>
            <w:tcW w:w="226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4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 Profit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Ending</w:t>
            </w:r>
          </w:p>
        </w:tc>
      </w:tr>
      <w:tr>
        <w:trPr>
          <w:trHeight w:val="245"/>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and Loss</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43"/>
        </w:trPr>
        <w:tc>
          <w:tcPr>
            <w:tcW w:w="4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Allowances deducted from assets in the balance sheet:</w:t>
            </w:r>
          </w:p>
        </w:tc>
        <w:tc>
          <w:tcPr>
            <w:tcW w:w="20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2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4,656</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(868 )</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3,710</w:t>
            </w: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7"/>
        </w:trPr>
        <w:tc>
          <w:tcPr>
            <w:tcW w:w="4140" w:type="dxa"/>
            <w:vAlign w:val="bottom"/>
            <w:tcBorders>
              <w:bottom w:val="single" w:sz="8" w:color="auto"/>
            </w:tcBorders>
            <w:gridSpan w:val="2"/>
            <w:shd w:val="clear" w:color="auto" w:fill="CFF0FC"/>
          </w:tcPr>
          <w:p>
            <w:pPr>
              <w:ind w:left="20"/>
              <w:spacing w:after="0" w:line="227" w:lineRule="exact"/>
              <w:rPr>
                <w:sz w:val="20"/>
                <w:szCs w:val="20"/>
                <w:color w:val="auto"/>
              </w:rPr>
            </w:pPr>
            <w:r>
              <w:rPr>
                <w:rFonts w:ascii="Times New Roman" w:cs="Times New Roman" w:eastAsia="Times New Roman" w:hAnsi="Times New Roman"/>
                <w:sz w:val="18"/>
                <w:szCs w:val="18"/>
                <w:color w:val="auto"/>
              </w:rPr>
              <w:t xml:space="preserve">Markdown Allowance </w:t>
            </w:r>
            <w:r>
              <w:rPr>
                <w:rFonts w:ascii="Times New Roman" w:cs="Times New Roman" w:eastAsia="Times New Roman" w:hAnsi="Times New Roman"/>
                <w:sz w:val="24"/>
                <w:szCs w:val="24"/>
                <w:color w:val="auto"/>
                <w:vertAlign w:val="superscript"/>
              </w:rPr>
              <w:t>(1)</w:t>
            </w:r>
          </w:p>
        </w:tc>
        <w:tc>
          <w:tcPr>
            <w:tcW w:w="20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3,159</w:t>
            </w:r>
          </w:p>
        </w:tc>
        <w:tc>
          <w:tcPr>
            <w:tcW w:w="4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4,275</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6,018</w:t>
            </w:r>
          </w:p>
        </w:tc>
      </w:tr>
      <w:tr>
        <w:trPr>
          <w:trHeight w:val="37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January 29, 2022</w:t>
            </w: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43"/>
        </w:trPr>
        <w:tc>
          <w:tcPr>
            <w:tcW w:w="226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4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 Profit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Ending</w:t>
            </w:r>
          </w:p>
        </w:tc>
      </w:tr>
      <w:tr>
        <w:trPr>
          <w:trHeight w:val="245"/>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and Loss</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43"/>
        </w:trPr>
        <w:tc>
          <w:tcPr>
            <w:tcW w:w="4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Allowances deducted from assets in the balance sheet:</w:t>
            </w:r>
          </w:p>
        </w:tc>
        <w:tc>
          <w:tcPr>
            <w:tcW w:w="20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2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5,015</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4,656</w:t>
            </w: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7"/>
        </w:trPr>
        <w:tc>
          <w:tcPr>
            <w:tcW w:w="4140" w:type="dxa"/>
            <w:vAlign w:val="bottom"/>
            <w:tcBorders>
              <w:bottom w:val="single" w:sz="8" w:color="auto"/>
            </w:tcBorders>
            <w:gridSpan w:val="2"/>
            <w:shd w:val="clear" w:color="auto" w:fill="CFF0FC"/>
          </w:tcPr>
          <w:p>
            <w:pPr>
              <w:ind w:left="20"/>
              <w:spacing w:after="0" w:line="227" w:lineRule="exact"/>
              <w:rPr>
                <w:sz w:val="20"/>
                <w:szCs w:val="20"/>
                <w:color w:val="auto"/>
              </w:rPr>
            </w:pPr>
            <w:r>
              <w:rPr>
                <w:rFonts w:ascii="Times New Roman" w:cs="Times New Roman" w:eastAsia="Times New Roman" w:hAnsi="Times New Roman"/>
                <w:sz w:val="18"/>
                <w:szCs w:val="18"/>
                <w:color w:val="auto"/>
              </w:rPr>
              <w:t xml:space="preserve">Markdown Allowance </w:t>
            </w:r>
            <w:r>
              <w:rPr>
                <w:rFonts w:ascii="Times New Roman" w:cs="Times New Roman" w:eastAsia="Times New Roman" w:hAnsi="Times New Roman"/>
                <w:sz w:val="24"/>
                <w:szCs w:val="24"/>
                <w:color w:val="auto"/>
                <w:vertAlign w:val="superscript"/>
              </w:rPr>
              <w:t>(1)</w:t>
            </w:r>
          </w:p>
        </w:tc>
        <w:tc>
          <w:tcPr>
            <w:tcW w:w="20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14,951</w:t>
            </w:r>
          </w:p>
        </w:tc>
        <w:tc>
          <w:tcPr>
            <w:tcW w:w="4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(11,792 )</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3,159</w:t>
            </w:r>
          </w:p>
        </w:tc>
      </w:tr>
    </w:tbl>
    <w:p>
      <w:pPr>
        <w:spacing w:after="0" w:line="197" w:lineRule="exact"/>
        <w:rPr>
          <w:sz w:val="20"/>
          <w:szCs w:val="20"/>
          <w:color w:val="auto"/>
        </w:rPr>
      </w:pPr>
    </w:p>
    <w:p>
      <w:pPr>
        <w:ind w:left="380" w:hanging="372"/>
        <w:spacing w:after="0" w:line="223" w:lineRule="auto"/>
        <w:tabs>
          <w:tab w:leader="none" w:pos="38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Reflects adjustment of merchandise inventories to realizable value. Charged to Profit and Loss column represents increases to the allowance and the Reductions column represents decreases to the allowance based on quarterly assessments of the allowance.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90" w:name="page91"/>
    <w:bookmarkEnd w:id="90"/>
    <w:p>
      <w:pPr>
        <w:ind w:left="8840"/>
        <w:spacing w:after="0"/>
        <w:rPr>
          <w:sz w:val="20"/>
          <w:szCs w:val="20"/>
          <w:color w:val="auto"/>
        </w:rPr>
      </w:pPr>
      <w:r>
        <w:rPr>
          <w:rFonts w:ascii="Times New Roman" w:cs="Times New Roman" w:eastAsia="Times New Roman" w:hAnsi="Times New Roman"/>
          <w:sz w:val="18"/>
          <w:szCs w:val="18"/>
          <w:b w:val="1"/>
          <w:bCs w:val="1"/>
          <w:color w:val="auto"/>
        </w:rPr>
        <w:t>Exhibit (4)b.</w:t>
      </w:r>
    </w:p>
    <w:p>
      <w:pPr>
        <w:spacing w:after="0" w:line="3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Genesco Inc. has two classes of securities registered under Section 12 of the Securities Exchange Act of 1934, as amended: our common stock, par value $1.00 per share (“Common Stock”), and our Employees’ Subordinated Convertible Preferred Stock, without nominal or par value (“Employees’ Subordinated Convertible Preferred Stock”).</w:t>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this Exhibit (4)b, when we refer to the “Company,” “we,” “us” or “our” or when we otherwise refer to ourselves, we mean Genesco Inc., excluding, unless otherwise expressly stated, our subsidiaries and affiliates.</w:t>
      </w:r>
    </w:p>
    <w:p>
      <w:pPr>
        <w:spacing w:after="0" w:line="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following description is a summary of the material terms of our Restated Charter, as amended (the “Charter”), and our Second Amended and Restated Bylaws (the “Bylaws”), as currently in effect. This description is subject to, and qualified in its entirety by reference to, our Charter and our Bylaws, each of which are incorporated by reference as an exhibit to the Annual Report on Form 10-K of which this Exhibit (4)b is a part. We encourage you to read our Charter, our Bylaws and the applicable provisions of the Tennessee Business Corporation Act (“TBCA”), for additional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3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Charter authorizes us to issue capital stock consisting of up to 80,000,000 shares of Common Stock, 5,000,000 shares of Employees' Subordinated Convertible Preferred Stock, 3,705 shares of Cumulative Convertible Preferred Stock, without nominal or par value, 499,610 shares of Subordinated Cumulative Convertible Preference Stock, without nominal or par value, 3,000,000 shares of Subordinated Serial Preferred Stock, without nominal or par value, and 5,000,000 shares of Subordinated Cumulative Preferred Stock, without nominal or par value.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ind w:right="18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our Common Stock are entitled to one vote per share on all matters to be voted on by shareholders and, if a quorum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exists, action on any matter, other than the election of directors and except as otherwise required by our Charter or applicable law, is approved if the votes cast in favor of the action exceed the votes cast opposing the action. Should a nominee to serve as a director that is nominated in an uncontested election fail to receive an affirmative vote of a majority of the votes cast at the meeting at which the nominee is up for election, in person or by proxy, then that nominee, if that individual is an incumbent director, must tender his or her resignation to the chairman of our board of directors following the shareholder vote pursuant to our corporate governance guidelines. Subsequently, the nominating and corporate governance committee of our board of directors will consider the relevant facts and circumstances, including the factors that may have given rise to the resulting shareholder vote and the service and qualifications of the impacted director(s), and recommend to the board of directors within ninety days of the shareholder vote as to whether to accept or reject the resignation of the impacted director(s). Our board of directors will also consider the relevant facts and circumstances when considering whether to accept or reject the nominating and corporate governance committee’s recommendation. Subsequently, we will describe a full explanation of the above process and the decisions regarding the impacted director(s) continued service on the board of directors in a Form 8-K filing with the Securities and Exchange Commission (the“SEC”). Any director who tenders his resignation in the manner described in this paragraph will not participate in any discussion or recommendation related to the above process.</w:t>
      </w:r>
    </w:p>
    <w:p>
      <w:pPr>
        <w:spacing w:after="0" w:line="18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After payment, or declaration and setting aside for payment, of the full cumulative dividends for all prior and then current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on all outstanding shares of our preferred stock (other than our Employees’ Subordinated Convertible Preferred Stock) and after setting aside all stock purchase funds or sinking funds required to be set aside with respect to our preferred stock, cash dividends on our Common Stock may be declared and paid when and as determined by the board of directors, subject to certain restrictions imposed by our Charter and certain other agreements. The holders of our Common Stock are entitled to share equally on a per share basis in any dividends or distributions declared by our board of directors in its discretion from legally available funds, subject to any dividend preferences that may be attributable to our preferred stock. Dividends may be payable in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1" w:name="page92"/>
    <w:bookmarkEnd w:id="91"/>
    <w:p>
      <w:pPr>
        <w:spacing w:after="0" w:line="190" w:lineRule="exact"/>
        <w:rPr>
          <w:sz w:val="20"/>
          <w:szCs w:val="20"/>
          <w:color w:val="auto"/>
        </w:rPr>
      </w:pPr>
    </w:p>
    <w:p>
      <w:pPr>
        <w:ind w:right="2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In the event of our liquidation, dissolution, or winding up, holders of Common Stock are entitled to share equally on a per share basis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assets remaining after all prior claims are satisfied and any liquidation preference on our outstanding preferred stock is paid in full.</w:t>
      </w:r>
    </w:p>
    <w:p>
      <w:pPr>
        <w:spacing w:after="0" w:line="159" w:lineRule="exact"/>
        <w:rPr>
          <w:sz w:val="20"/>
          <w:szCs w:val="20"/>
          <w:color w:val="auto"/>
        </w:rPr>
      </w:pPr>
    </w:p>
    <w:p>
      <w:pPr>
        <w:jc w:val="both"/>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Other Rights and Preferences</w:t>
      </w:r>
      <w:r>
        <w:rPr>
          <w:rFonts w:ascii="Times New Roman" w:cs="Times New Roman" w:eastAsia="Times New Roman" w:hAnsi="Times New Roman"/>
          <w:sz w:val="18"/>
          <w:szCs w:val="18"/>
          <w:color w:val="auto"/>
        </w:rPr>
        <w:t>. The holders of our Common Stock do not have any preemptive or similar rights to subscribe for shares of our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Our Charter does not contain any provisions providing for the redemption of our Common Stock or the conversion of our Common Stock into other securities. All of our outstanding shares of Common Stock are fully paid and non-assessable.</w:t>
      </w:r>
    </w:p>
    <w:p>
      <w:pPr>
        <w:spacing w:after="0" w:line="172"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Effect of Issuance of Preferred Stock</w:t>
      </w:r>
      <w:r>
        <w:rPr>
          <w:rFonts w:ascii="Times New Roman" w:cs="Times New Roman" w:eastAsia="Times New Roman" w:hAnsi="Times New Roman"/>
          <w:sz w:val="18"/>
          <w:szCs w:val="18"/>
          <w:color w:val="auto"/>
        </w:rPr>
        <w:t>. The rights, preferences and privileges of holders of common stock are subject to, and may be adversely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the rights of holders of any series of our authorized and issued preferred stock or of any series of preferred stock that we may issue in the future. See “Employees’ Subordinated Convertible Preferred Stock” and “Other Preferred Stock” below.</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Trading Market for Our Common Stock</w:t>
      </w:r>
      <w:r>
        <w:rPr>
          <w:rFonts w:ascii="Times New Roman" w:cs="Times New Roman" w:eastAsia="Times New Roman" w:hAnsi="Times New Roman"/>
          <w:sz w:val="18"/>
          <w:szCs w:val="18"/>
          <w:color w:val="auto"/>
        </w:rPr>
        <w:t>. Our common stock is listed on the New York Stock Exchange under the symbol “GCO.”</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Subordinated Convertible Preferred Stock</w:t>
      </w:r>
    </w:p>
    <w:p>
      <w:pPr>
        <w:spacing w:after="0" w:line="119" w:lineRule="exact"/>
        <w:rPr>
          <w:sz w:val="20"/>
          <w:szCs w:val="20"/>
          <w:color w:val="auto"/>
        </w:rPr>
      </w:pPr>
    </w:p>
    <w:p>
      <w:pPr>
        <w:jc w:val="both"/>
        <w:ind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our Employees’ Subordinated Convertible Preferred Stock are entitled to one vote per share on all matters to be voted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by shareholders.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Employees’ Subordinated Convertible Preferred Stock are not entitled to receive dividends.</w:t>
      </w:r>
    </w:p>
    <w:p>
      <w:pPr>
        <w:spacing w:after="0" w:line="2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In the event of our liquidation, dissolution, or winding up, the holders of Employees' Preferred Stock shall be entitled to be paid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assets (whether capital or surplus) of the Company, before any payment or distribution shall be made to the holders of the Common Stock, but subject to and after prior payment of the amounts payable with respect to the Cumulative Convertible Preferred Stock, Subordinated Cumulative Convertible Preference Stock, Subordinated Serial Preferred Stock and Subordinated Cumulative Preferred Stock, an amount per share equal to 88 times the average quarterly per share dividend paid on our Common Stock for the previous eight quarters (if any), but in no event less than $30 per share; provided, however, that in the event that the Company shall (i) issue shares of Common Stock as a stock dividend, in a stock split, or otherwise subdivide its outstanding shares of Common Stock; or (ii) combine its outstanding shares of Common Stock into a smaller number of shares, the amount payable shall be based upon the aggregate dividends paid on the Common Stock divided by the number of shares of Common Stock which would have been outstanding had such subdivision or combination not taken place. After payment in full of all amounts payable to the holders of the Employees' Preferred Stock, such shareholders, as such, shall have no right or claim to any of the remaining assets of the Corporation, and the same shall be distributed among the holders of the Common Stock.</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Other Rights and Preferences</w:t>
      </w:r>
      <w:r>
        <w:rPr>
          <w:rFonts w:ascii="Times New Roman" w:cs="Times New Roman" w:eastAsia="Times New Roman" w:hAnsi="Times New Roman"/>
          <w:sz w:val="18"/>
          <w:szCs w:val="18"/>
          <w:color w:val="auto"/>
        </w:rPr>
        <w:t>. Holders of our Employees’ Subordinated Convertible Preferred Stock do not have any preemptive or similar rights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subscribe for shares of our capital stock, and Employees’ Subordinated Convertible Preferred Stock are not subject to redemption by the Company. At the option of the holder thereof, each share of Employees' Preferred Stock may be converted into one fully paid and non-assessable share of either (i) the Subordinated Cumulative Preferred Stock, or (ii) Common Stock. Such option to convert may be exercised at any time, provided, however, that in the event that any share of Employees' Preferred Stock shall be issued partly paid, such share shall not be convertible into either Subordinated Cumulative Preferred Stock or Common Stock until it is fully paid. All of our outstanding shares of Employees’ Subordinated Convertible Preferred Stock are fully paid and non-assessable.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Preferred Stock</w:t>
      </w:r>
    </w:p>
    <w:p>
      <w:pPr>
        <w:spacing w:after="0" w:line="3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Series of Preferred Stock. </w:t>
      </w:r>
      <w:r>
        <w:rPr>
          <w:rFonts w:ascii="Times New Roman" w:cs="Times New Roman" w:eastAsia="Times New Roman" w:hAnsi="Times New Roman"/>
          <w:sz w:val="18"/>
          <w:szCs w:val="18"/>
          <w:color w:val="auto"/>
        </w:rPr>
        <w:t>Our Charter permits our board of directors to issue our Subordinated Serial Preferred Stock in as many series,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as many shares and such rights and preferences, as the board may designate. Additionally, our Charter permits our board of directors to issue our Subordinated Cumulative Convertible Preference Stock in three separate classes, Subordinated Cumulative Convertible Preference Stock, Series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Subordinated Cumulative Convertible Preference Stock, Series B, and Subordinated Cumulative Convertible Preference Stock, Series C.</w:t>
      </w:r>
    </w:p>
    <w:p>
      <w:pPr>
        <w:spacing w:after="0" w:line="2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i w:val="1"/>
          <w:iCs w:val="1"/>
          <w:color w:val="auto"/>
        </w:rPr>
        <w:t>Rights and Preferences</w:t>
      </w:r>
      <w:r>
        <w:rPr>
          <w:rFonts w:ascii="Times New Roman" w:cs="Times New Roman" w:eastAsia="Times New Roman" w:hAnsi="Times New Roman"/>
          <w:sz w:val="18"/>
          <w:szCs w:val="18"/>
          <w:color w:val="auto"/>
        </w:rPr>
        <w:t>. The Company has the right to redeem shares of Cumulative Convertible Preferred Stock, Subordinated Cumulative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Preference Stock, Subordinated Serial Preferred Stock and Subordinated Cumulative Preferred Stock (collectively, the “Unregistered Preferred Stock”). Each class of our Unregistered Preferred Stock entitles the holder to receive dividends, participate in distributions and to have the benefit of all other rights of holders of such classes of Unregistered Preferred Stock. Voting rights and other terms of our Unregistered Preferred Stock are governed by our Charter.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w:t>
      </w:r>
    </w:p>
    <w:p>
      <w:pPr>
        <w:spacing w:after="0" w:line="9" w:lineRule="exact"/>
        <w:rPr>
          <w:sz w:val="20"/>
          <w:szCs w:val="20"/>
          <w:color w:val="auto"/>
        </w:rPr>
      </w:pPr>
    </w:p>
    <w:p>
      <w:pPr>
        <w:jc w:val="both"/>
        <w:ind w:right="20"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provisions of our Charter and Bylaws described in this section may delay or make it difficult to effect acquisitions or changes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us that are not approved by our board of directors. We have implemented these provisions to help develop our business in a manner that will foster our long-term growth without the disruptive threat of a takeover that our board of directors believes is not in our best interests or in the best interests of our shareholders.</w:t>
      </w:r>
    </w:p>
    <w:p>
      <w:pPr>
        <w:spacing w:after="0" w:line="21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Prohibition of Certain Transactions with Interested Shareholders. </w:t>
      </w:r>
      <w:r>
        <w:rPr>
          <w:rFonts w:ascii="Times New Roman" w:cs="Times New Roman" w:eastAsia="Times New Roman" w:hAnsi="Times New Roman"/>
          <w:sz w:val="18"/>
          <w:szCs w:val="18"/>
          <w:color w:val="auto"/>
        </w:rPr>
        <w:t>Our Charter provides that, in order to effect certain mergers or other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with a beneficial owner of 10% or more of our voting securities (who we refer to as an “interested shareholder”), the proposed transaction must receive affirmative votes at least equal in number to the sum of the votes entitled to be cast by holders of shares beneficially owned by the interested shareholder plus 67% of the votes entitled to be cast by all other holders of voting stock, voting together as one class. This shareholder approval requirement applies unless:</w:t>
      </w:r>
    </w:p>
    <w:p>
      <w:pPr>
        <w:spacing w:after="0" w:line="4" w:lineRule="exact"/>
        <w:rPr>
          <w:sz w:val="20"/>
          <w:szCs w:val="20"/>
          <w:color w:val="auto"/>
        </w:rPr>
      </w:pPr>
    </w:p>
    <w:p>
      <w:pPr>
        <w:ind w:left="760" w:hanging="378"/>
        <w:spacing w:after="0" w:line="26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a majority of directors who are not affiliated with the interested shareholder and who either were directors before such person became an interested shareholder or were chosen by a majority of such directors; or</w:t>
      </w:r>
    </w:p>
    <w:p>
      <w:pPr>
        <w:spacing w:after="0" w:line="2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fair price, form of consideration and procedural requirements are met.</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for Shareholder Proposals or Nominations of Directors. </w:t>
      </w:r>
      <w:r>
        <w:rPr>
          <w:rFonts w:ascii="Times New Roman" w:cs="Times New Roman" w:eastAsia="Times New Roman" w:hAnsi="Times New Roman"/>
          <w:sz w:val="18"/>
          <w:szCs w:val="18"/>
          <w:color w:val="auto"/>
        </w:rPr>
        <w:t>Our Bylaws provide that shareholders who want to bring business</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before an annual meeting of our shareholders or who want to nominate candidates for election as directors at an annual meeting or special meeting at which directors are to be elected must provide timely notice in writing. Subject to any other applicable requirements, only business that has been brought before the annual meeting by or at the direction of the board of directors or by a shareholder who has given timely written notice of an intention to bring that business before the meeting, in proper form, to our corporate secretary, may be conducted at an annual meeting of shareholders. In addition, the nomination of a person for election as a director at a meeting of shareholders can only be made by the board of directors (or an authorized committee of the board) or by a shareholder who has timely complied with the notice provisions set forth in our bylaws. Our Bylaws also specify requirements as to the content of the notice of a shareholder proposal or shareholder nomination of a director. The presiding officer at a shareholders’ meeting has the authority to make determinations in regard to whether a shareholder has complied with the requisite notice provisions.</w:t>
      </w:r>
    </w:p>
    <w:p>
      <w:pPr>
        <w:spacing w:after="0" w:line="21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Board of Directors. </w:t>
      </w:r>
      <w:r>
        <w:rPr>
          <w:rFonts w:ascii="Times New Roman" w:cs="Times New Roman" w:eastAsia="Times New Roman" w:hAnsi="Times New Roman"/>
          <w:sz w:val="18"/>
          <w:szCs w:val="18"/>
          <w:color w:val="auto"/>
        </w:rPr>
        <w:t>The Bylaws provide for a board of directors of not less than five nor more than twenty members, the exact number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from time to time by resolution adopted by the affirmative vote of a majority of the total number of directors then in office. The Bylaws provide that directors will be elected to hold office for a term expiring at the next annual meeting of shareholders and until a successor is duly elected and qualified or until his or her earlier resignation or removal. Subject to the provisions of the Charter, the board of directors may fill any vacancy occurring on the board of directors, including any vacancy resulting from an increase in the number of directors or from the resignation or removal of a director. If the directors remaining in office constitute fewer than a quorum, the board of directors may fill the vacancy by the affirmative vote of a majority of all the directors remaining in office.</w:t>
      </w:r>
    </w:p>
    <w:p>
      <w:pPr>
        <w:spacing w:after="0" w:line="29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 to Bylaws. </w:t>
      </w:r>
      <w:r>
        <w:rPr>
          <w:rFonts w:ascii="Times New Roman" w:cs="Times New Roman" w:eastAsia="Times New Roman" w:hAnsi="Times New Roman"/>
          <w:sz w:val="18"/>
          <w:szCs w:val="18"/>
          <w:color w:val="auto"/>
        </w:rPr>
        <w:t>The Bylaws provide that the board of directors may amend or repeal the Bylaws, unless (i) the Charter or the TBCA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reserves this power exclusively to shareholders or (ii) the shareholders, in amending or repealing a particular bylaw, provide expressly that the board of directors may not amend or repeal that bylaw. Shareholders may amend or repeal any bylaw, even though the bylaws may also be amended or repealed by the board of directors. Action by the board of directors with respect to the Bylaws shall be taken by an affirmative vote of a majority of all directors then holding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93" w:name="page94"/>
    <w:bookmarkEnd w:id="93"/>
    <w:p>
      <w:pPr>
        <w:spacing w:after="0" w:line="29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Special Meetings of Shareholders. </w:t>
      </w:r>
      <w:r>
        <w:rPr>
          <w:rFonts w:ascii="Times New Roman" w:cs="Times New Roman" w:eastAsia="Times New Roman" w:hAnsi="Times New Roman"/>
          <w:sz w:val="18"/>
          <w:szCs w:val="18"/>
          <w:color w:val="auto"/>
        </w:rPr>
        <w:t>The Bylaws provide that special meetings of the shareholders, for any purpose or purposes, unless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prescribed by law, may be called by the chairman of the Board or the board of directors pursuant to a resolution adopted by a majority of the entire board of directors and shall be called by the chairman of the board of directors or the secretary at the written request of persons holding of record at least 10% of all of the votes entitled to be cast on any issues proposed to be considered at the proposed special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Tennessee Anti-Takeover Law Provisions</w:t>
      </w:r>
    </w:p>
    <w:p>
      <w:pPr>
        <w:spacing w:after="0" w:line="3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Provisions in Tennessee law could also make it harder for someone to acquire us through a tender offer, proxy contest or otherwise.</w:t>
      </w:r>
    </w:p>
    <w:p>
      <w:pPr>
        <w:spacing w:after="0" w:line="2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i w:val="1"/>
          <w:iCs w:val="1"/>
          <w:color w:val="auto"/>
        </w:rPr>
        <w:t>The Tennessee Business Combination Act</w:t>
      </w:r>
      <w:r>
        <w:rPr>
          <w:rFonts w:ascii="Times New Roman" w:cs="Times New Roman" w:eastAsia="Times New Roman" w:hAnsi="Times New Roman"/>
          <w:sz w:val="18"/>
          <w:szCs w:val="18"/>
          <w:color w:val="auto"/>
        </w:rPr>
        <w:t>. The Tennessee Business Combination Act, or the “Combination Act,” provides that any person who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affiliate or associate of a “resident domestic corporation,” or the beneficial owner, directly or indirectly, of 10% or more of the voting power of any class or series of the then outstanding voting shares of a “resident domestic corporation” is an “interested shareholder.” The Company is currently a resident domestic corporation within the meaning of the Combination Act. For purposes of the Combination Act, a “business combination” includes mergers, share exchanges, sales and leases of assets, issuances of securities, and similar transactions. Under the Combination Act, an interested shareholder cannot engage in a business combination with a resident domestic corporation unless the combination:</w:t>
      </w:r>
    </w:p>
    <w:p>
      <w:pPr>
        <w:spacing w:after="0" w:line="1" w:lineRule="exact"/>
        <w:rPr>
          <w:sz w:val="20"/>
          <w:szCs w:val="20"/>
          <w:color w:val="auto"/>
        </w:rPr>
      </w:pPr>
    </w:p>
    <w:p>
      <w:pPr>
        <w:ind w:left="820" w:right="20" w:hanging="462"/>
        <w:spacing w:after="0" w:line="275"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place at least five years after the interested shareholder first acquired 10% or more of the voting power of any class or series of the then outstanding voting shares of the resident domestic corporation; and</w:t>
      </w:r>
    </w:p>
    <w:p>
      <w:pPr>
        <w:spacing w:after="0" w:line="221" w:lineRule="exact"/>
        <w:rPr>
          <w:rFonts w:ascii="Times New Roman" w:cs="Times New Roman" w:eastAsia="Times New Roman" w:hAnsi="Times New Roman"/>
          <w:sz w:val="18"/>
          <w:szCs w:val="18"/>
          <w:color w:val="auto"/>
        </w:rPr>
      </w:pPr>
    </w:p>
    <w:p>
      <w:pPr>
        <w:ind w:left="820" w:right="20" w:hanging="462"/>
        <w:spacing w:after="0" w:line="281"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is approved by at least two-thirds of the non-interested voting shares of the resident domestic corporation or satisfies fairness conditions specified in the Combination Act.</w:t>
      </w:r>
    </w:p>
    <w:p>
      <w:pPr>
        <w:spacing w:after="0" w:line="216"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provisions apply unless one of two events occurs:</w:t>
      </w:r>
    </w:p>
    <w:p>
      <w:pPr>
        <w:spacing w:after="0" w:line="278" w:lineRule="exact"/>
        <w:rPr>
          <w:rFonts w:ascii="Times New Roman" w:cs="Times New Roman" w:eastAsia="Times New Roman" w:hAnsi="Times New Roman"/>
          <w:sz w:val="18"/>
          <w:szCs w:val="18"/>
          <w:color w:val="auto"/>
        </w:rPr>
      </w:pPr>
    </w:p>
    <w:p>
      <w:pPr>
        <w:jc w:val="both"/>
        <w:ind w:left="820" w:right="20" w:hanging="462"/>
        <w:spacing w:after="0" w:line="265"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that resulted in the acquiring shareholder becoming an interested shareholder is approved by the board of directors of the resident domestic corporation prior to the date that the acquiring shareholder becomes an interested shareholder of the resident domestic corporation; or</w:t>
      </w:r>
    </w:p>
    <w:p>
      <w:pPr>
        <w:spacing w:after="0" w:line="231" w:lineRule="exact"/>
        <w:rPr>
          <w:rFonts w:ascii="Times New Roman" w:cs="Times New Roman" w:eastAsia="Times New Roman" w:hAnsi="Times New Roman"/>
          <w:sz w:val="18"/>
          <w:szCs w:val="18"/>
          <w:color w:val="auto"/>
        </w:rPr>
      </w:pPr>
    </w:p>
    <w:p>
      <w:pPr>
        <w:ind w:left="820" w:hanging="462"/>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exempt from the Combination Act because, among other things:</w:t>
      </w:r>
    </w:p>
    <w:p>
      <w:pPr>
        <w:spacing w:after="0" w:line="278" w:lineRule="exact"/>
        <w:rPr>
          <w:rFonts w:ascii="Times New Roman" w:cs="Times New Roman" w:eastAsia="Times New Roman" w:hAnsi="Times New Roman"/>
          <w:sz w:val="18"/>
          <w:szCs w:val="18"/>
          <w:color w:val="auto"/>
        </w:rPr>
      </w:pPr>
    </w:p>
    <w:p>
      <w:pPr>
        <w:ind w:left="820" w:hanging="462"/>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original charter or original bylaws, the resident domestic corporation expressly elects not to be governed by the Combination Act; or</w:t>
      </w:r>
    </w:p>
    <w:p>
      <w:pPr>
        <w:spacing w:after="0" w:line="278" w:lineRule="exact"/>
        <w:rPr>
          <w:rFonts w:ascii="Times New Roman" w:cs="Times New Roman" w:eastAsia="Times New Roman" w:hAnsi="Times New Roman"/>
          <w:sz w:val="18"/>
          <w:szCs w:val="18"/>
          <w:color w:val="auto"/>
        </w:rPr>
      </w:pPr>
    </w:p>
    <w:p>
      <w:pPr>
        <w:jc w:val="both"/>
        <w:ind w:left="820" w:right="20" w:hanging="462"/>
        <w:spacing w:after="0" w:line="257"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resident corporation enacts a charter amendment or bylaw to remove itself entirely from the Combination Act. This charter or bylaw amendment must be approved by a majority of the shareholders who have held shares for more than one year before the vote. In addition, the charter amendment or bylaw cannot become operative until two years after the vote.</w:t>
      </w:r>
    </w:p>
    <w:p>
      <w:pPr>
        <w:spacing w:after="0" w:line="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Combination Act further provides an exemption from liability for officers and directors of resident corporations who do not approve proposed business combinations or charter or bylaw amendments removing their corporations from the Combination Act’s coverage as long as the officers and directors act with the “good faith belief” that the proposed business combination would adversely affect their corporation’s employees, customers, suppliers or the communities in which their corporation operates and such factors are permitted to be considered by the board of directors under the charter.</w:t>
      </w:r>
    </w:p>
    <w:p>
      <w:pPr>
        <w:jc w:val="both"/>
        <w:ind w:right="20" w:firstLine="749"/>
        <w:spacing w:after="0" w:line="260" w:lineRule="auto"/>
        <w:rPr>
          <w:sz w:val="20"/>
          <w:szCs w:val="20"/>
          <w:color w:val="auto"/>
        </w:rPr>
      </w:pPr>
      <w:r>
        <w:rPr>
          <w:rFonts w:ascii="Times New Roman" w:cs="Times New Roman" w:eastAsia="Times New Roman" w:hAnsi="Times New Roman"/>
          <w:sz w:val="18"/>
          <w:szCs w:val="18"/>
          <w:color w:val="auto"/>
        </w:rPr>
        <w:t>We have not adopted a provision in our Charter or Bylaws or any amendment to our Charter or Bylaws removing us from coverage under the Combination Act.</w:t>
      </w:r>
    </w:p>
    <w:p>
      <w:pPr>
        <w:spacing w:after="0" w:line="7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Tennessee Investor Protection Act. </w:t>
      </w:r>
      <w:r>
        <w:rPr>
          <w:rFonts w:ascii="Times New Roman" w:cs="Times New Roman" w:eastAsia="Times New Roman" w:hAnsi="Times New Roman"/>
          <w:sz w:val="18"/>
          <w:szCs w:val="18"/>
          <w:color w:val="auto"/>
        </w:rPr>
        <w:t>The Tennessee Investor Protection Act, or TIPA, provides that unless a Tennessee corporation’s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has recommended a takeover offer to shareholders, no offeror beneficially owning 5% or more of any class of equity securities of the offeree company, any of which was purchased within the preceding year, may make a takeover offer for any class of equity security of the offeree company if after completion the offeror would be a beneficial owner of more than 10% of any class of outstanding equity securities of the company unless the offeror, before making such purchase: (1) makes a public announcement of his or her intention with respect to changing or influencing the management or control of the offeree company; (2) makes a full, fair and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disclosure of such intention to the person from whom he or she intends to acquire such securities; and (3) files with the Tennessee Commissioner of Commerce and Insurance, or the Commissioner, and the offeree company a statement signifying such intentions and containing such additional information as may be prescribed by the Commissioner.</w:t>
      </w:r>
    </w:p>
    <w:p>
      <w:pPr>
        <w:spacing w:after="0" w:line="17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offeror must provide that any equity securities of an offeree company deposited or tendered pursuant to a takeover offer may be withdrawn by an offeree at any time within seven days from the date the offer has become effective following filing with the Commissioner and the offeree company and public announcement of the terms or after 60 days from the date the offer has become effective. If the takeover offer is for less than all the outstanding equity securities of any class, such an offer must also provide for acceptance of securities pro rata if the number of securities tendered is greater than the number the offeror has offered to accept and pay for. If such an offeror varies the terms of the takeover offer before its expiration date by increasing the consideration offered to offerees, the offeror must pay the increased consideration for all equity securities accepted, whether accepted before or after the variation in the terms of the offer.</w:t>
      </w:r>
    </w:p>
    <w:p>
      <w:pPr>
        <w:spacing w:after="0" w:line="18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TIPA does not apply to any offer involving a vote by holders of equity securities of the offeree company, pursuant to its charter or articles of incorporation or the applicable corporation statute, on a merger, consolidation or sale of corporate assets in consideration of the issuance of securities of another corporation, or on a sale of its securities in exchange for cash or securities of another corporation.</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Tennessee Greenmail Act</w:t>
      </w:r>
      <w:r>
        <w:rPr>
          <w:rFonts w:ascii="Times New Roman" w:cs="Times New Roman" w:eastAsia="Times New Roman" w:hAnsi="Times New Roman"/>
          <w:sz w:val="18"/>
          <w:szCs w:val="18"/>
          <w:color w:val="auto"/>
        </w:rPr>
        <w:t>. The Tennessee Greenmail Act applies to a Tennessee corporation that has a class of voting stock registered or traded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national securities exchange or registered with the SEC pursuant to Section 12(g) of the Exchange Act. Under the Tennessee Greenmail Act, we may not purchase any of our shares at a price above the market value of such shares from any person who holds more than 3% of the class of securities to be purchased if such person has held such shares for less than two years, unless the purchase has been approved by the affirmative vote of a majority of the outstanding shares of each class of voting stock issued by us or we make an offer, of at least equal value per share, to all shareholders of such class.</w:t>
      </w:r>
    </w:p>
    <w:p>
      <w:pPr>
        <w:spacing w:after="0" w:line="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i w:val="1"/>
          <w:iCs w:val="1"/>
          <w:color w:val="auto"/>
        </w:rPr>
        <w:t>The Tennessee Control Share Acquisition Act</w:t>
      </w:r>
      <w:r>
        <w:rPr>
          <w:rFonts w:ascii="Times New Roman" w:cs="Times New Roman" w:eastAsia="Times New Roman" w:hAnsi="Times New Roman"/>
          <w:sz w:val="18"/>
          <w:szCs w:val="18"/>
          <w:color w:val="auto"/>
        </w:rPr>
        <w:t>. The Tennessee Control Share Acquisition Act strips a purchaser’s shares of voting rights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acquisition of shares in a Tennessee corporation that has elected to be covered by the Tennessee Control Share Acquisition Act (as we have pursuant to our Bylaws) brings the purchaser’s voting power to one-fifth, one-third or a majority of all voting power. The purchaser’s voting rights can be restored only by a majority vote of the other shareholders. The purchaser may demand a meeting of shareholders to conduct such a vote. The purchaser can demand a meeting for this purpose before acquiring shares in excess of the thresholds described above, which we refer to as a control share acquisition, only if it holds at least 10% of the outstanding shares and announces a good faith intention to make the acquisition of shares having voting power in excess of the thresholds stated above. If a target corporation so elects prior to the date on which a purchaser makes a control share acquisition, a target corporation may redeem the purchaser’s shares if the shares are not granted voting rights.</w:t>
      </w:r>
    </w:p>
    <w:p>
      <w:pPr>
        <w:spacing w:after="0" w:line="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effect of these provisions may make a change of control of the Company more difficult by delaying, deferring or preventing a tender offer or takeover attempt that shareholders might consider to be in their best interest, including those attempts that might result in the payment of a premium over the market price for the Company’s shares.</w:t>
      </w: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TBCA provides that a corporation may indemnify any of its directors and officers against liability incurred in connection with a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w:t>
      </w:r>
    </w:p>
    <w:p>
      <w:pPr>
        <w:spacing w:after="0" w:line="9" w:lineRule="exact"/>
        <w:rPr>
          <w:sz w:val="20"/>
          <w:szCs w:val="20"/>
          <w:color w:val="auto"/>
        </w:rPr>
      </w:pPr>
    </w:p>
    <w:p>
      <w:pPr>
        <w:ind w:left="820" w:hanging="462"/>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officer acted in good faith;</w:t>
      </w:r>
    </w:p>
    <w:p>
      <w:pPr>
        <w:spacing w:after="0" w:line="273" w:lineRule="exact"/>
        <w:rPr>
          <w:rFonts w:ascii="Times New Roman" w:cs="Times New Roman" w:eastAsia="Times New Roman" w:hAnsi="Times New Roman"/>
          <w:sz w:val="18"/>
          <w:szCs w:val="18"/>
          <w:color w:val="auto"/>
        </w:rPr>
      </w:pPr>
    </w:p>
    <w:p>
      <w:pPr>
        <w:ind w:left="820" w:right="380" w:hanging="462"/>
        <w:spacing w:after="0" w:line="281"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conduct in his or her official capacity with the corporation, the director or officer reasonably believed such conduct was in the corporation’s best interest;</w:t>
      </w:r>
    </w:p>
    <w:p>
      <w:pPr>
        <w:spacing w:after="0" w:line="216" w:lineRule="exact"/>
        <w:rPr>
          <w:rFonts w:ascii="Times New Roman" w:cs="Times New Roman" w:eastAsia="Times New Roman" w:hAnsi="Times New Roman"/>
          <w:sz w:val="18"/>
          <w:szCs w:val="18"/>
          <w:color w:val="auto"/>
        </w:rPr>
      </w:pPr>
    </w:p>
    <w:p>
      <w:pPr>
        <w:ind w:left="820" w:hanging="462"/>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director or officer reasonably believed that his or her conduct was not opposed to the best interest of the corporation; and</w:t>
      </w:r>
    </w:p>
    <w:p>
      <w:pPr>
        <w:spacing w:after="0" w:line="278" w:lineRule="exact"/>
        <w:rPr>
          <w:rFonts w:ascii="Times New Roman" w:cs="Times New Roman" w:eastAsia="Times New Roman" w:hAnsi="Times New Roman"/>
          <w:sz w:val="18"/>
          <w:szCs w:val="18"/>
          <w:color w:val="auto"/>
        </w:rPr>
      </w:pPr>
    </w:p>
    <w:p>
      <w:pPr>
        <w:ind w:left="820" w:hanging="462"/>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criminal proceeding, the director or officer had no reasonable cause to believe that his or her conduct was unlawful.</w:t>
      </w:r>
    </w:p>
    <w:p>
      <w:pPr>
        <w:spacing w:after="0" w:line="27"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8"/>
          <w:szCs w:val="18"/>
          <w:color w:val="auto"/>
        </w:rPr>
        <w:t>In actions brought by or in the right of the corporation, however, the TBCA provides that no indemnification may be made if the director or officer was adjudged to be liable to the corporation. In cases where the director or officer is wholly successful, on the merits or otherwise, in the defense of any proceeding instituted because of his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jc w:val="both"/>
        <w:spacing w:after="0" w:line="253" w:lineRule="auto"/>
        <w:rPr>
          <w:sz w:val="20"/>
          <w:szCs w:val="20"/>
          <w:color w:val="auto"/>
        </w:rPr>
      </w:pPr>
      <w:r>
        <w:rPr>
          <w:rFonts w:ascii="Times New Roman" w:cs="Times New Roman" w:eastAsia="Times New Roman" w:hAnsi="Times New Roman"/>
          <w:sz w:val="18"/>
          <w:szCs w:val="18"/>
          <w:color w:val="auto"/>
        </w:rPr>
        <w:t>her status as an officer or director of a corporation, the TBCA mandates that the corporation indemnify the director or officer against reasonable expenses incurred in the proceeding. The TBCA also provides that in connection with any proceeding charging improper personal benefit to an officer or director, no indemnification may be made if the officer or director is adjudged liable on the basis that the personal benefit was improperly received. Notwithstanding the foregoing, the TBCA provides that a court of competent jurisdiction, upon application, may order that an officer or director be indemnified for reasonable expenses if, in consideration of all relevant circumstances, the court determines that the individual is fairly and reasonably entitled to indemnification, notwithstanding the fact that:</w:t>
      </w:r>
    </w:p>
    <w:p>
      <w:pPr>
        <w:spacing w:after="0" w:line="4" w:lineRule="exact"/>
        <w:rPr>
          <w:sz w:val="20"/>
          <w:szCs w:val="20"/>
          <w:color w:val="auto"/>
        </w:rPr>
      </w:pPr>
    </w:p>
    <w:p>
      <w:pPr>
        <w:ind w:left="820" w:hanging="462"/>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 or director was adjudged liable to the corporation in a proceeding by or in the right of the corporation;</w:t>
      </w:r>
    </w:p>
    <w:p>
      <w:pPr>
        <w:spacing w:after="0" w:line="273" w:lineRule="exact"/>
        <w:rPr>
          <w:rFonts w:ascii="Times New Roman" w:cs="Times New Roman" w:eastAsia="Times New Roman" w:hAnsi="Times New Roman"/>
          <w:sz w:val="18"/>
          <w:szCs w:val="18"/>
          <w:color w:val="auto"/>
        </w:rPr>
      </w:pPr>
    </w:p>
    <w:p>
      <w:pPr>
        <w:ind w:left="820" w:hanging="462"/>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 or director was adjudged liable on the basis that personal benefit was improperly received by him or her; or</w:t>
      </w:r>
    </w:p>
    <w:p>
      <w:pPr>
        <w:spacing w:after="0" w:line="278" w:lineRule="exact"/>
        <w:rPr>
          <w:rFonts w:ascii="Times New Roman" w:cs="Times New Roman" w:eastAsia="Times New Roman" w:hAnsi="Times New Roman"/>
          <w:sz w:val="18"/>
          <w:szCs w:val="18"/>
          <w:color w:val="auto"/>
        </w:rPr>
      </w:pPr>
    </w:p>
    <w:p>
      <w:pPr>
        <w:ind w:left="820" w:hanging="462"/>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 or director breached his or her duty of care to the corporation.</w:t>
      </w:r>
    </w:p>
    <w:p>
      <w:pPr>
        <w:spacing w:after="0" w:line="2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Charter provides that no director shall be liable to us or our shareholders for monetary damages for breach of any fiduciary duty as a director, except to the extent provided by the TBCA. Under the TBCA, this provision relieves our directors from personal liability to us or our shareholders for monetary damages for breach of fiduciary duty as a director, except for liability arising from a judgment or other final adjudication establishing:</w:t>
      </w:r>
    </w:p>
    <w:p>
      <w:pPr>
        <w:spacing w:after="0" w:line="1" w:lineRule="exact"/>
        <w:rPr>
          <w:sz w:val="20"/>
          <w:szCs w:val="20"/>
          <w:color w:val="auto"/>
        </w:rPr>
      </w:pPr>
    </w:p>
    <w:p>
      <w:pPr>
        <w:ind w:left="820" w:hanging="462"/>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w:t>
      </w:r>
    </w:p>
    <w:p>
      <w:pPr>
        <w:spacing w:after="0" w:line="273" w:lineRule="exact"/>
        <w:rPr>
          <w:rFonts w:ascii="Times New Roman" w:cs="Times New Roman" w:eastAsia="Times New Roman" w:hAnsi="Times New Roman"/>
          <w:sz w:val="18"/>
          <w:szCs w:val="18"/>
          <w:color w:val="auto"/>
        </w:rPr>
      </w:pPr>
    </w:p>
    <w:p>
      <w:pPr>
        <w:ind w:left="820" w:hanging="462"/>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 or</w:t>
      </w:r>
    </w:p>
    <w:p>
      <w:pPr>
        <w:spacing w:after="0" w:line="278" w:lineRule="exact"/>
        <w:rPr>
          <w:rFonts w:ascii="Times New Roman" w:cs="Times New Roman" w:eastAsia="Times New Roman" w:hAnsi="Times New Roman"/>
          <w:sz w:val="18"/>
          <w:szCs w:val="18"/>
          <w:color w:val="auto"/>
        </w:rPr>
      </w:pPr>
    </w:p>
    <w:p>
      <w:pPr>
        <w:ind w:left="820" w:hanging="462"/>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distributions.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currently have in effect an executive liability insurance policy which provides coverage for our directors and officers.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Computershare is the transfer agent and registrar for our Common Stock and our Employees’ Subordinated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1306195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96" w:name="page97"/>
    <w:bookmarkEnd w:id="96"/>
    <w:p>
      <w:pPr>
        <w:ind w:left="9060"/>
        <w:spacing w:after="0"/>
        <w:rPr>
          <w:sz w:val="20"/>
          <w:szCs w:val="20"/>
          <w:color w:val="auto"/>
        </w:rPr>
      </w:pPr>
      <w:r>
        <w:rPr>
          <w:rFonts w:ascii="Arial" w:cs="Arial" w:eastAsia="Arial" w:hAnsi="Arial"/>
          <w:sz w:val="16"/>
          <w:szCs w:val="16"/>
          <w:b w:val="1"/>
          <w:bCs w:val="1"/>
          <w:color w:val="auto"/>
        </w:rPr>
        <w:t>Exhibit (10)cc.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GENESCO INC.</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RESTRICTED SHARE AWARD AGREEMENT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RESTRICTED SHARE AWARD AGREEMENT </w:t>
      </w:r>
      <w:r>
        <w:rPr>
          <w:rFonts w:ascii="Arial" w:cs="Arial" w:eastAsia="Arial" w:hAnsi="Arial"/>
          <w:sz w:val="16"/>
          <w:szCs w:val="16"/>
          <w:color w:val="auto"/>
        </w:rPr>
        <w:t>(this “Agreement”) is made and entered into as of the ____ day of _______, 20__ (the “Grant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between Genesco Inc., a Tennessee corporation, together with its subsidiaries (the “Company”), and ____________ (the “Grantee”). Capitalized terms not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otherwise defined herein shall have the meaning ascribed to such terms in the Genesco Inc. Amended and Restated 2020 Equity Incentive Plan (the “Plan”).</w:t>
      </w:r>
    </w:p>
    <w:p>
      <w:pPr>
        <w:spacing w:after="0" w:line="205" w:lineRule="exact"/>
        <w:rPr>
          <w:sz w:val="20"/>
          <w:szCs w:val="20"/>
          <w:color w:val="auto"/>
        </w:rPr>
      </w:pPr>
    </w:p>
    <w:p>
      <w:pPr>
        <w:ind w:right="400" w:firstLine="749"/>
        <w:spacing w:after="0" w:line="285"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adopted the Plan, which permits the issuance of restricted shares of the Company’s common stock, par value</w:t>
      </w:r>
      <w:r>
        <w:rPr>
          <w:rFonts w:ascii="Arial" w:cs="Arial" w:eastAsia="Arial" w:hAnsi="Arial"/>
          <w:sz w:val="16"/>
          <w:szCs w:val="16"/>
          <w:b w:val="1"/>
          <w:bCs w:val="1"/>
          <w:color w:val="auto"/>
        </w:rPr>
        <w:t xml:space="preserve"> </w:t>
      </w:r>
      <w:r>
        <w:rPr>
          <w:rFonts w:ascii="Arial" w:cs="Arial" w:eastAsia="Arial" w:hAnsi="Arial"/>
          <w:sz w:val="16"/>
          <w:szCs w:val="16"/>
          <w:color w:val="auto"/>
        </w:rPr>
        <w:t>$1.00 per share (the “Common Stock”); and</w:t>
      </w:r>
    </w:p>
    <w:p>
      <w:pPr>
        <w:spacing w:after="0" w:line="156" w:lineRule="exact"/>
        <w:rPr>
          <w:sz w:val="20"/>
          <w:szCs w:val="20"/>
          <w:color w:val="auto"/>
        </w:rPr>
      </w:pPr>
    </w:p>
    <w:p>
      <w:pPr>
        <w:ind w:right="80" w:firstLine="749"/>
        <w:spacing w:after="0" w:line="285"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the Plan, the Committee responsible for administering the Plan has granted an award of restricted shares to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as provided herein;</w:t>
      </w:r>
    </w:p>
    <w:p>
      <w:pPr>
        <w:spacing w:after="0" w:line="156" w:lineRule="exact"/>
        <w:rPr>
          <w:sz w:val="20"/>
          <w:szCs w:val="20"/>
          <w:color w:val="auto"/>
        </w:rPr>
      </w:pPr>
    </w:p>
    <w:p>
      <w:pPr>
        <w:ind w:right="40" w:firstLine="749"/>
        <w:spacing w:after="0" w:line="285"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hereinafter set forth and for other good and valuable consideration, the receipt and</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sufficiency of which are hereby acknowledged, the parties hereto, intending to be legally bound hereby, agree as follows:</w:t>
      </w:r>
    </w:p>
    <w:p>
      <w:pPr>
        <w:spacing w:after="0" w:line="156"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 of Restricted Shares</w:t>
      </w:r>
      <w:r>
        <w:rPr>
          <w:rFonts w:ascii="Arial" w:cs="Arial" w:eastAsia="Arial" w:hAnsi="Arial"/>
          <w:sz w:val="16"/>
          <w:szCs w:val="16"/>
          <w:b w:val="1"/>
          <w:bCs w:val="1"/>
          <w:color w:val="auto"/>
        </w:rPr>
        <w:t>.</w:t>
      </w:r>
    </w:p>
    <w:p>
      <w:pPr>
        <w:spacing w:after="0" w:line="220" w:lineRule="exact"/>
        <w:rPr>
          <w:rFonts w:ascii="Arial" w:cs="Arial" w:eastAsia="Arial" w:hAnsi="Arial"/>
          <w:sz w:val="16"/>
          <w:szCs w:val="16"/>
          <w:b w:val="1"/>
          <w:bCs w:val="1"/>
          <w:color w:val="auto"/>
        </w:rPr>
      </w:pPr>
    </w:p>
    <w:p>
      <w:pPr>
        <w:ind w:right="540" w:firstLine="757"/>
        <w:spacing w:after="0" w:line="285" w:lineRule="auto"/>
        <w:tabs>
          <w:tab w:leader="none" w:pos="1018"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Company hereby grants to the Grantee an award (the “Award”) of _____ shares of Common Stock (the “Shares” or the “Restricted Shares”) on the terms and conditions set forth in this Agreement and as otherwise provided in the Plan.</w:t>
      </w:r>
    </w:p>
    <w:p>
      <w:pPr>
        <w:spacing w:after="0" w:line="156" w:lineRule="exact"/>
        <w:rPr>
          <w:rFonts w:ascii="Arial" w:cs="Arial" w:eastAsia="Arial" w:hAnsi="Arial"/>
          <w:sz w:val="16"/>
          <w:szCs w:val="16"/>
          <w:color w:val="auto"/>
        </w:rPr>
      </w:pPr>
    </w:p>
    <w:p>
      <w:pPr>
        <w:ind w:right="340" w:firstLine="757"/>
        <w:spacing w:after="0" w:line="285" w:lineRule="auto"/>
        <w:tabs>
          <w:tab w:leader="none" w:pos="1018"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Grantee’s rights with respect to the Award shall remain forfeitable at all times prior to the dates on which the restrictions shall lapse in accordance with Sections 2 and 3 hereof.</w:t>
      </w:r>
    </w:p>
    <w:p>
      <w:pPr>
        <w:spacing w:after="0" w:line="156" w:lineRule="exact"/>
        <w:rPr>
          <w:rFonts w:ascii="Arial" w:cs="Arial" w:eastAsia="Arial" w:hAnsi="Arial"/>
          <w:sz w:val="16"/>
          <w:szCs w:val="16"/>
          <w:color w:val="auto"/>
        </w:rPr>
      </w:pPr>
    </w:p>
    <w:p>
      <w:pPr>
        <w:ind w:left="520" w:hanging="512"/>
        <w:spacing w:after="0"/>
        <w:tabs>
          <w:tab w:leader="none" w:pos="52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Terms and Rights as a Stockholder</w:t>
      </w:r>
      <w:r>
        <w:rPr>
          <w:rFonts w:ascii="Arial" w:cs="Arial" w:eastAsia="Arial" w:hAnsi="Arial"/>
          <w:sz w:val="16"/>
          <w:szCs w:val="16"/>
          <w:b w:val="1"/>
          <w:bCs w:val="1"/>
          <w:color w:val="auto"/>
        </w:rPr>
        <w:t>.</w:t>
      </w:r>
    </w:p>
    <w:p>
      <w:pPr>
        <w:spacing w:after="0" w:line="220" w:lineRule="exact"/>
        <w:rPr>
          <w:rFonts w:ascii="Arial" w:cs="Arial" w:eastAsia="Arial" w:hAnsi="Arial"/>
          <w:sz w:val="16"/>
          <w:szCs w:val="16"/>
          <w:b w:val="1"/>
          <w:bCs w:val="1"/>
          <w:color w:val="auto"/>
        </w:rPr>
      </w:pPr>
    </w:p>
    <w:p>
      <w:pPr>
        <w:ind w:right="340" w:firstLine="757"/>
        <w:spacing w:after="0" w:line="266" w:lineRule="auto"/>
        <w:tabs>
          <w:tab w:leader="none" w:pos="101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Except as provided herein and subject to such other exceptions as may be determined by the Committee in its discretion, the “Restricted Period” shall lapse as to the Restricted Shares in accordance with the following schedule provided that Grantee has been continuously employed by the Company from the date of this Agreement through the lapse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134860" cy="11068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1">
                      <a:extLst>
                        <a:ext uri="{28A0092B-C50C-407E-A947-70E740481C1C}"/>
                      </a:extLst>
                    </a:blip>
                    <a:srcRect/>
                    <a:stretch>
                      <a:fillRect/>
                    </a:stretch>
                  </pic:blipFill>
                  <pic:spPr bwMode="auto">
                    <a:xfrm>
                      <a:off x="0" y="0"/>
                      <a:ext cx="7134860" cy="1106805"/>
                    </a:xfrm>
                    <a:prstGeom prst="rect">
                      <a:avLst/>
                    </a:prstGeom>
                    <a:noFill/>
                  </pic:spPr>
                </pic:pic>
              </a:graphicData>
            </a:graphic>
          </wp:anchor>
        </w:drawing>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Vest Schedule - Share Units (RSA)</w:t>
      </w:r>
    </w:p>
    <w:p>
      <w:pPr>
        <w:spacing w:after="0" w:line="113" w:lineRule="exact"/>
        <w:rPr>
          <w:sz w:val="20"/>
          <w:szCs w:val="20"/>
          <w:color w:val="auto"/>
        </w:rPr>
      </w:pPr>
    </w:p>
    <w:tbl>
      <w:tblPr>
        <w:tblLayout w:type="fixed"/>
        <w:tblInd w:w="2460" w:type="dxa"/>
        <w:tblCellMar>
          <w:top w:w="0" w:type="dxa"/>
          <w:left w:w="0" w:type="dxa"/>
          <w:bottom w:w="0" w:type="dxa"/>
          <w:right w:w="0" w:type="dxa"/>
        </w:tblCellMar>
      </w:tblPr>
      <w:tr>
        <w:trPr>
          <w:trHeight w:val="222"/>
        </w:trPr>
        <w:tc>
          <w:tcPr>
            <w:tcW w:w="3080" w:type="dxa"/>
            <w:vAlign w:val="bottom"/>
          </w:tcPr>
          <w:p>
            <w:pPr>
              <w:spacing w:after="0"/>
              <w:rPr>
                <w:sz w:val="20"/>
                <w:szCs w:val="20"/>
                <w:color w:val="auto"/>
              </w:rPr>
            </w:pPr>
            <w:r>
              <w:rPr>
                <w:rFonts w:ascii="Arial" w:cs="Arial" w:eastAsia="Arial" w:hAnsi="Arial"/>
                <w:sz w:val="16"/>
                <w:szCs w:val="16"/>
                <w:b w:val="1"/>
                <w:bCs w:val="1"/>
                <w:color w:val="auto"/>
              </w:rPr>
              <w:t>Vest Date</w:t>
            </w:r>
          </w:p>
        </w:tc>
        <w:tc>
          <w:tcPr>
            <w:tcW w:w="3400" w:type="dxa"/>
            <w:vAlign w:val="bottom"/>
          </w:tcPr>
          <w:p>
            <w:pPr>
              <w:ind w:left="2380"/>
              <w:spacing w:after="0"/>
              <w:rPr>
                <w:sz w:val="20"/>
                <w:szCs w:val="20"/>
                <w:color w:val="auto"/>
              </w:rPr>
            </w:pPr>
            <w:r>
              <w:rPr>
                <w:rFonts w:ascii="Arial" w:cs="Arial" w:eastAsia="Arial" w:hAnsi="Arial"/>
                <w:sz w:val="16"/>
                <w:szCs w:val="16"/>
                <w:b w:val="1"/>
                <w:bCs w:val="1"/>
                <w:color w:val="auto"/>
                <w:w w:val="96"/>
              </w:rPr>
              <w:t>Vest Quantity</w:t>
            </w:r>
          </w:p>
        </w:tc>
      </w:tr>
    </w:tbl>
    <w:p>
      <w:pPr>
        <w:spacing w:after="0" w:line="74" w:lineRule="exact"/>
        <w:rPr>
          <w:sz w:val="20"/>
          <w:szCs w:val="20"/>
          <w:color w:val="auto"/>
        </w:rPr>
      </w:pPr>
    </w:p>
    <w:p>
      <w:pPr>
        <w:jc w:val="center"/>
        <w:ind w:right="5560"/>
        <w:spacing w:after="0"/>
        <w:rPr>
          <w:sz w:val="20"/>
          <w:szCs w:val="20"/>
          <w:color w:val="auto"/>
        </w:rPr>
      </w:pPr>
      <w:r>
        <w:rPr>
          <w:rFonts w:ascii="Arial" w:cs="Arial" w:eastAsia="Arial" w:hAnsi="Arial"/>
          <w:sz w:val="16"/>
          <w:szCs w:val="16"/>
          <w:color w:val="auto"/>
        </w:rPr>
        <w:t>__, 20__</w:t>
      </w:r>
    </w:p>
    <w:p>
      <w:pPr>
        <w:spacing w:after="0" w:line="113" w:lineRule="exact"/>
        <w:rPr>
          <w:sz w:val="20"/>
          <w:szCs w:val="20"/>
          <w:color w:val="auto"/>
        </w:rPr>
      </w:pPr>
    </w:p>
    <w:p>
      <w:pPr>
        <w:jc w:val="center"/>
        <w:ind w:right="5560"/>
        <w:spacing w:after="0"/>
        <w:rPr>
          <w:sz w:val="20"/>
          <w:szCs w:val="20"/>
          <w:color w:val="auto"/>
        </w:rPr>
      </w:pPr>
      <w:r>
        <w:rPr>
          <w:rFonts w:ascii="Arial" w:cs="Arial" w:eastAsia="Arial" w:hAnsi="Arial"/>
          <w:sz w:val="16"/>
          <w:szCs w:val="16"/>
          <w:color w:val="auto"/>
        </w:rPr>
        <w:t>__, 20__</w:t>
      </w:r>
    </w:p>
    <w:p>
      <w:pPr>
        <w:spacing w:after="0" w:line="113" w:lineRule="exact"/>
        <w:rPr>
          <w:sz w:val="20"/>
          <w:szCs w:val="20"/>
          <w:color w:val="auto"/>
        </w:rPr>
      </w:pPr>
    </w:p>
    <w:p>
      <w:pPr>
        <w:jc w:val="center"/>
        <w:ind w:right="5560"/>
        <w:spacing w:after="0"/>
        <w:rPr>
          <w:sz w:val="20"/>
          <w:szCs w:val="20"/>
          <w:color w:val="auto"/>
        </w:rPr>
      </w:pPr>
      <w:r>
        <w:rPr>
          <w:rFonts w:ascii="Arial" w:cs="Arial" w:eastAsia="Arial" w:hAnsi="Arial"/>
          <w:sz w:val="16"/>
          <w:szCs w:val="16"/>
          <w:color w:val="auto"/>
        </w:rPr>
        <w:t>__, 20__</w:t>
      </w:r>
    </w:p>
    <w:p>
      <w:pPr>
        <w:spacing w:after="0" w:line="113" w:lineRule="exact"/>
        <w:rPr>
          <w:sz w:val="20"/>
          <w:szCs w:val="20"/>
          <w:color w:val="auto"/>
        </w:rPr>
      </w:pPr>
    </w:p>
    <w:p>
      <w:pPr>
        <w:jc w:val="center"/>
        <w:ind w:right="5560"/>
        <w:spacing w:after="0"/>
        <w:rPr>
          <w:sz w:val="20"/>
          <w:szCs w:val="20"/>
          <w:color w:val="auto"/>
        </w:rPr>
      </w:pPr>
      <w:r>
        <w:rPr>
          <w:rFonts w:ascii="Arial" w:cs="Arial" w:eastAsia="Arial" w:hAnsi="Arial"/>
          <w:sz w:val="16"/>
          <w:szCs w:val="16"/>
          <w:b w:val="1"/>
          <w:bCs w:val="1"/>
          <w:color w:val="auto"/>
        </w:rPr>
        <w:t>Total</w:t>
      </w:r>
    </w:p>
    <w:p>
      <w:pPr>
        <w:spacing w:after="0" w:line="200" w:lineRule="exact"/>
        <w:rPr>
          <w:sz w:val="20"/>
          <w:szCs w:val="20"/>
          <w:color w:val="auto"/>
        </w:rPr>
      </w:pPr>
    </w:p>
    <w:p>
      <w:pPr>
        <w:spacing w:after="0" w:line="236" w:lineRule="exact"/>
        <w:rPr>
          <w:sz w:val="20"/>
          <w:szCs w:val="20"/>
          <w:color w:val="auto"/>
        </w:rPr>
      </w:pPr>
    </w:p>
    <w:p>
      <w:pPr>
        <w:ind w:right="20" w:firstLine="757"/>
        <w:spacing w:after="0" w:line="285" w:lineRule="auto"/>
        <w:tabs>
          <w:tab w:leader="none" w:pos="1018"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Grantee shall have all rights of a stockholder with respect to the Restricted Shares, including the right to receive dividends and the right to vote such Shares, subject to the following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7" w:right="379" w:bottom="1440" w:gutter="0" w:footer="0" w:header="0"/>
        </w:sectPr>
      </w:pPr>
    </w:p>
    <w:bookmarkStart w:id="97" w:name="page98"/>
    <w:bookmarkEnd w:id="97"/>
    <w:p>
      <w:pPr>
        <w:ind w:right="20" w:firstLine="1505"/>
        <w:spacing w:after="0" w:line="285" w:lineRule="auto"/>
        <w:tabs>
          <w:tab w:leader="none" w:pos="2037"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Grantee shall not be entitled to delivery of the stock certificate (or other book entry) for any Shares until the expiration of the Restricted Period as to such Shares;</w:t>
      </w:r>
    </w:p>
    <w:p>
      <w:pPr>
        <w:spacing w:after="0" w:line="156" w:lineRule="exact"/>
        <w:rPr>
          <w:rFonts w:ascii="Arial" w:cs="Arial" w:eastAsia="Arial" w:hAnsi="Arial"/>
          <w:sz w:val="16"/>
          <w:szCs w:val="16"/>
          <w:color w:val="auto"/>
        </w:rPr>
      </w:pPr>
    </w:p>
    <w:p>
      <w:pPr>
        <w:ind w:firstLine="1505"/>
        <w:spacing w:after="0" w:line="285" w:lineRule="auto"/>
        <w:tabs>
          <w:tab w:leader="none" w:pos="2037" w:val="left"/>
        </w:tabs>
        <w:numPr>
          <w:ilvl w:val="1"/>
          <w:numId w:val="33"/>
        </w:numPr>
        <w:rPr>
          <w:rFonts w:ascii="Arial" w:cs="Arial" w:eastAsia="Arial" w:hAnsi="Arial"/>
          <w:sz w:val="16"/>
          <w:szCs w:val="16"/>
          <w:color w:val="auto"/>
        </w:rPr>
      </w:pPr>
      <w:r>
        <w:rPr>
          <w:rFonts w:ascii="Arial" w:cs="Arial" w:eastAsia="Arial" w:hAnsi="Arial"/>
          <w:sz w:val="16"/>
          <w:szCs w:val="16"/>
          <w:color w:val="auto"/>
        </w:rPr>
        <w:t>none of the Restricted Shares may be sold, assigned, transferred, pledged, hypothecated or otherwise encumbered or disposed of during the Restricted Period as to such Shares; and</w:t>
      </w:r>
    </w:p>
    <w:p>
      <w:pPr>
        <w:spacing w:after="0" w:line="156" w:lineRule="exact"/>
        <w:rPr>
          <w:rFonts w:ascii="Arial" w:cs="Arial" w:eastAsia="Arial" w:hAnsi="Arial"/>
          <w:sz w:val="16"/>
          <w:szCs w:val="16"/>
          <w:color w:val="auto"/>
        </w:rPr>
      </w:pPr>
    </w:p>
    <w:p>
      <w:pPr>
        <w:ind w:right="380" w:firstLine="1505"/>
        <w:spacing w:after="0" w:line="266" w:lineRule="auto"/>
        <w:tabs>
          <w:tab w:leader="none" w:pos="2037" w:val="left"/>
        </w:tabs>
        <w:numPr>
          <w:ilvl w:val="1"/>
          <w:numId w:val="33"/>
        </w:numPr>
        <w:rPr>
          <w:rFonts w:ascii="Arial" w:cs="Arial" w:eastAsia="Arial" w:hAnsi="Arial"/>
          <w:sz w:val="16"/>
          <w:szCs w:val="16"/>
          <w:color w:val="auto"/>
        </w:rPr>
      </w:pPr>
      <w:r>
        <w:rPr>
          <w:rFonts w:ascii="Arial" w:cs="Arial" w:eastAsia="Arial" w:hAnsi="Arial"/>
          <w:sz w:val="16"/>
          <w:szCs w:val="16"/>
          <w:color w:val="auto"/>
        </w:rPr>
        <w:t>except as otherwise determined by the Committee at or after the grant of the Award hereunder, any Restricted Shares as to which the applicable “Restricted Period” has not expired shall be forfeited, and all rights of the Grantee to such Shares shall terminate, without further obligation on the part of the Company, unless the Grantee remains in the continuous employment of the Company for the entire Restricted Period.</w:t>
      </w:r>
    </w:p>
    <w:p>
      <w:pPr>
        <w:spacing w:after="0" w:line="170" w:lineRule="exact"/>
        <w:rPr>
          <w:rFonts w:ascii="Arial" w:cs="Arial" w:eastAsia="Arial" w:hAnsi="Arial"/>
          <w:sz w:val="16"/>
          <w:szCs w:val="16"/>
          <w:color w:val="auto"/>
        </w:rPr>
      </w:pPr>
    </w:p>
    <w:p>
      <w:pPr>
        <w:ind w:right="120" w:firstLine="1505"/>
        <w:spacing w:after="0" w:line="266" w:lineRule="auto"/>
        <w:tabs>
          <w:tab w:leader="none" w:pos="2037"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shares of Common Stock, cash or any other property distributed as a dividend or otherwise with respect to any Restricted Shares as to which the Restricted Period has not lapsed shall be accumulated or credited, and shall be subject to the same restrictions and risk of forfeiture as such Restricted Shares with respect to which they relate and shall be paid only if and to the extent the Restricted Shares to which they relate vest.</w:t>
      </w:r>
    </w:p>
    <w:p>
      <w:pPr>
        <w:spacing w:after="0" w:line="170" w:lineRule="exact"/>
        <w:rPr>
          <w:rFonts w:ascii="Arial" w:cs="Arial" w:eastAsia="Arial" w:hAnsi="Arial"/>
          <w:sz w:val="16"/>
          <w:szCs w:val="16"/>
          <w:color w:val="auto"/>
        </w:rPr>
      </w:pPr>
    </w:p>
    <w:p>
      <w:pPr>
        <w:ind w:right="100" w:firstLine="757"/>
        <w:spacing w:after="0" w:line="285" w:lineRule="auto"/>
        <w:tabs>
          <w:tab w:leader="none" w:pos="1018"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Notwithstanding the foregoing, the Restricted Period shall automatically terminate as to all Restricted Shares awarded hereunder (as to which such Restricted Period has not previously terminated) upon a Change in Control subject to Sections 13.1 and 13.2 of the Plan.</w:t>
      </w:r>
    </w:p>
    <w:p>
      <w:pPr>
        <w:spacing w:after="0" w:line="15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Notwithstanding the foregoing, the Restricted Period shall automatically terminate as to a portion (to be calculated by the Committee in its sole discretion in proportion to Grantee’s length of employment during the Restricted Period) of the Restricted Shares awarded hereunder (as to which such Restricted Period has not previously terminated) upon Grantee’s death or Disability.</w:t>
      </w:r>
    </w:p>
    <w:p>
      <w:pPr>
        <w:spacing w:after="0" w:line="170"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of Restrictions</w:t>
      </w:r>
      <w:r>
        <w:rPr>
          <w:rFonts w:ascii="Arial" w:cs="Arial" w:eastAsia="Arial" w:hAnsi="Arial"/>
          <w:sz w:val="16"/>
          <w:szCs w:val="16"/>
          <w:b w:val="1"/>
          <w:bCs w:val="1"/>
          <w:color w:val="auto"/>
        </w:rPr>
        <w:t>.</w:t>
      </w:r>
    </w:p>
    <w:p>
      <w:pPr>
        <w:spacing w:after="0" w:line="221"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Following the termination of the Restricted Period, all restrictions set forth in this Agreement or in the Plan relating to such portion or all, as applicable, of the Restricted Shares shall lapse as to such portion or all, as applicable, of the Restricted Shares, and a stock certificate for the appropriate number of Shares, free of the restrictions and restrictive stock legend, shall, as soon as practicable, be delivered to the Grantee pursuant to the terms of this Agreement.</w:t>
      </w:r>
    </w:p>
    <w:p>
      <w:pPr>
        <w:spacing w:after="0" w:line="170"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Delivery of Shares</w:t>
      </w:r>
      <w:r>
        <w:rPr>
          <w:rFonts w:ascii="Arial" w:cs="Arial" w:eastAsia="Arial" w:hAnsi="Arial"/>
          <w:sz w:val="16"/>
          <w:szCs w:val="16"/>
          <w:b w:val="1"/>
          <w:bCs w:val="1"/>
          <w:color w:val="auto"/>
        </w:rPr>
        <w:t>.</w:t>
      </w:r>
    </w:p>
    <w:p>
      <w:pPr>
        <w:spacing w:after="0" w:line="220" w:lineRule="exact"/>
        <w:rPr>
          <w:rFonts w:ascii="Arial" w:cs="Arial" w:eastAsia="Arial" w:hAnsi="Arial"/>
          <w:sz w:val="16"/>
          <w:szCs w:val="16"/>
          <w:b w:val="1"/>
          <w:bCs w:val="1"/>
          <w:color w:val="auto"/>
        </w:rPr>
      </w:pPr>
    </w:p>
    <w:p>
      <w:pPr>
        <w:ind w:right="80" w:firstLine="757"/>
        <w:spacing w:after="0" w:line="259" w:lineRule="auto"/>
        <w:tabs>
          <w:tab w:leader="none" w:pos="1018"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As of the date hereof, certificates representing the Restricted Shares shall be registered in the name of the Grantee and held by the Company or transferred to a custodian appointed by the Company for the account of the Grantee subject to the terms and conditions of the Plan and shall remain in the custody of the Company or such custodian until their delivery to the Grantee as set forth in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hereof or their reversion to the Company as set forth in </w:t>
      </w:r>
      <w:r>
        <w:rPr>
          <w:rFonts w:ascii="Arial" w:cs="Arial" w:eastAsia="Arial" w:hAnsi="Arial"/>
          <w:sz w:val="16"/>
          <w:szCs w:val="16"/>
          <w:u w:val="single" w:color="auto"/>
          <w:color w:val="auto"/>
        </w:rPr>
        <w:t>Section 2(b)(iii</w:t>
      </w:r>
      <w:r>
        <w:rPr>
          <w:rFonts w:ascii="Arial" w:cs="Arial" w:eastAsia="Arial" w:hAnsi="Arial"/>
          <w:sz w:val="16"/>
          <w:szCs w:val="16"/>
          <w:color w:val="auto"/>
        </w:rPr>
        <w:t>) hereof.</w:t>
      </w:r>
    </w:p>
    <w:p>
      <w:pPr>
        <w:spacing w:after="0" w:line="176" w:lineRule="exact"/>
        <w:rPr>
          <w:rFonts w:ascii="Arial" w:cs="Arial" w:eastAsia="Arial" w:hAnsi="Arial"/>
          <w:sz w:val="16"/>
          <w:szCs w:val="16"/>
          <w:color w:val="auto"/>
        </w:rPr>
      </w:pPr>
    </w:p>
    <w:p>
      <w:pPr>
        <w:ind w:right="40" w:firstLine="757"/>
        <w:spacing w:after="0" w:line="266" w:lineRule="auto"/>
        <w:tabs>
          <w:tab w:leader="none" w:pos="1018" w:val="left"/>
        </w:tabs>
        <w:numPr>
          <w:ilvl w:val="1"/>
          <w:numId w:val="36"/>
        </w:numPr>
        <w:rPr>
          <w:rFonts w:ascii="Arial" w:cs="Arial" w:eastAsia="Arial" w:hAnsi="Arial"/>
          <w:sz w:val="16"/>
          <w:szCs w:val="16"/>
          <w:color w:val="auto"/>
        </w:rPr>
      </w:pPr>
      <w:r>
        <w:rPr>
          <w:rFonts w:ascii="Arial" w:cs="Arial" w:eastAsia="Arial" w:hAnsi="Arial"/>
          <w:sz w:val="16"/>
          <w:szCs w:val="16"/>
          <w:color w:val="auto"/>
        </w:rPr>
        <w:t>Certificates representing Restricted Shares in respect of which the applicable Restricted Period has lapsed pursuant to this Agreement shall be delivered to the Grantee (or Grantee’s personal representative, if applicable), or applicable book entry shall be made, as soon as practicable following the date on which the restrictions on such Restricted Shares lapse.</w:t>
      </w:r>
    </w:p>
    <w:p>
      <w:pPr>
        <w:spacing w:after="0" w:line="170" w:lineRule="exact"/>
        <w:rPr>
          <w:rFonts w:ascii="Arial" w:cs="Arial" w:eastAsia="Arial" w:hAnsi="Arial"/>
          <w:sz w:val="16"/>
          <w:szCs w:val="16"/>
          <w:color w:val="auto"/>
        </w:rPr>
      </w:pPr>
    </w:p>
    <w:p>
      <w:pPr>
        <w:ind w:right="100" w:firstLine="757"/>
        <w:spacing w:after="0" w:line="266" w:lineRule="auto"/>
        <w:tabs>
          <w:tab w:leader="none" w:pos="1018" w:val="left"/>
        </w:tabs>
        <w:numPr>
          <w:ilvl w:val="1"/>
          <w:numId w:val="36"/>
        </w:numPr>
        <w:rPr>
          <w:rFonts w:ascii="Arial" w:cs="Arial" w:eastAsia="Arial" w:hAnsi="Arial"/>
          <w:sz w:val="16"/>
          <w:szCs w:val="16"/>
          <w:color w:val="auto"/>
        </w:rPr>
      </w:pPr>
      <w:r>
        <w:rPr>
          <w:rFonts w:ascii="Arial" w:cs="Arial" w:eastAsia="Arial" w:hAnsi="Arial"/>
          <w:sz w:val="16"/>
          <w:szCs w:val="16"/>
          <w:color w:val="auto"/>
        </w:rPr>
        <w:t>Each certificate representing Restricted Shares shall bear a legend in substantially the following form or substance: THIS CERTIFICATE AND THE SHARES OF STOCK REPRESENTED HEREBY ARE SUBJECT TO THE TERMS AND CONDITIONS (INCLUDING FORFEITURE AND RESTRICTIONS AGAINST TRANSFER) CONTAINED IN THE GENESECO INC. AMENDED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823595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sectPr>
      </w:pPr>
    </w:p>
    <w:bookmarkStart w:id="98" w:name="page99"/>
    <w:bookmarkEnd w:id="98"/>
    <w:p>
      <w:pPr>
        <w:ind w:right="80"/>
        <w:spacing w:after="0" w:line="259" w:lineRule="auto"/>
        <w:rPr>
          <w:sz w:val="20"/>
          <w:szCs w:val="20"/>
          <w:color w:val="auto"/>
        </w:rPr>
      </w:pPr>
      <w:r>
        <w:rPr>
          <w:rFonts w:ascii="Arial" w:cs="Arial" w:eastAsia="Arial" w:hAnsi="Arial"/>
          <w:sz w:val="16"/>
          <w:szCs w:val="16"/>
          <w:color w:val="auto"/>
        </w:rPr>
        <w:t>RESTATED 2020 EQUITY INCENTIVE PLAN (THE “PLAN”) AND THE RESTRICTED SHARE AWARD AGREEMENT (THE “AGREEMENT”) BETWEEN THE OWNER OF THE RESTRICTED SHARES REPRESENTED HEREBY AND GENESCO INC. (THE “COMPANY”). THE RELEASE OF SUCH SHARES FROM SUCH TERMS AND CONDITIONS SHALL BE MADE ONLY IN ACCORDANCE WITH THE PROVISIONS OF THE PLAN AND THE AGREEMENT AND ALL OTHER APPLICABLE POLICIES AND PROCEDURES OF THE COMPANY, COPIES OF WHICH ARE ON FILE AT THE COMPANY.</w:t>
      </w:r>
    </w:p>
    <w:p>
      <w:pPr>
        <w:spacing w:after="0" w:line="177"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Effect of Lapse of Restrictions</w:t>
      </w:r>
      <w:r>
        <w:rPr>
          <w:rFonts w:ascii="Arial" w:cs="Arial" w:eastAsia="Arial" w:hAnsi="Arial"/>
          <w:sz w:val="16"/>
          <w:szCs w:val="16"/>
          <w:b w:val="1"/>
          <w:bCs w:val="1"/>
          <w:color w:val="auto"/>
        </w:rPr>
        <w:t>.</w:t>
      </w:r>
    </w:p>
    <w:p>
      <w:pPr>
        <w:spacing w:after="0" w:line="221"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To the extent that the Restricted Period applicable to any Restricted Shares shall have lapsed, the Grantee may receive, hold, sell or otherwise dispose of such Shares free and clear of the restrictions imposed under the Plan and this Agreement.</w:t>
      </w:r>
    </w:p>
    <w:p>
      <w:pPr>
        <w:spacing w:after="0" w:line="156"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Right to Continued Employment</w:t>
      </w:r>
      <w:r>
        <w:rPr>
          <w:rFonts w:ascii="Arial" w:cs="Arial" w:eastAsia="Arial" w:hAnsi="Arial"/>
          <w:sz w:val="16"/>
          <w:szCs w:val="16"/>
          <w:b w:val="1"/>
          <w:bCs w:val="1"/>
          <w:color w:val="auto"/>
        </w:rPr>
        <w:t>.</w:t>
      </w:r>
    </w:p>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This Agreement shall not be construed as giving Grantee the right to be retained in the employ of the Company, and the Company may at any time dismiss Grantee from employment, free from any liability or any claim under the Plan but subject to the terms of any employment agreement or other contractual provision between the Company and Grantee.</w:t>
      </w:r>
    </w:p>
    <w:p>
      <w:pPr>
        <w:spacing w:after="0" w:line="170"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Adjustments</w:t>
      </w:r>
      <w:r>
        <w:rPr>
          <w:rFonts w:ascii="Arial" w:cs="Arial" w:eastAsia="Arial" w:hAnsi="Arial"/>
          <w:sz w:val="16"/>
          <w:szCs w:val="16"/>
          <w:b w:val="1"/>
          <w:bCs w:val="1"/>
          <w:color w:val="auto"/>
        </w:rPr>
        <w:t>.</w:t>
      </w:r>
    </w:p>
    <w:p>
      <w:pPr>
        <w:spacing w:after="0" w:line="221" w:lineRule="exact"/>
        <w:rPr>
          <w:sz w:val="20"/>
          <w:szCs w:val="20"/>
          <w:color w:val="auto"/>
        </w:rPr>
      </w:pPr>
    </w:p>
    <w:p>
      <w:pPr>
        <w:ind w:right="120" w:firstLine="45"/>
        <w:spacing w:after="0" w:line="266" w:lineRule="auto"/>
        <w:rPr>
          <w:sz w:val="20"/>
          <w:szCs w:val="20"/>
          <w:color w:val="auto"/>
        </w:rPr>
      </w:pPr>
      <w:r>
        <w:rPr>
          <w:rFonts w:ascii="Arial" w:cs="Arial" w:eastAsia="Arial" w:hAnsi="Arial"/>
          <w:sz w:val="16"/>
          <w:szCs w:val="16"/>
          <w:color w:val="auto"/>
        </w:rPr>
        <w:t>The Committee shall make equitable and proportionate adjustments in the terms and conditions of, and the criteria included in, this Award in recognition of unusual and non-recurring events (including without limitation, the events described in Section 4.2 of the Plan) affecting the Company, or the financial statements of the Company, or of any changes in applicable laws, regulations, or accounting principles in accordance with the Plan.</w:t>
      </w:r>
    </w:p>
    <w:p>
      <w:pPr>
        <w:spacing w:after="0" w:line="170"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to Award</w:t>
      </w:r>
      <w:r>
        <w:rPr>
          <w:rFonts w:ascii="Arial" w:cs="Arial" w:eastAsia="Arial" w:hAnsi="Arial"/>
          <w:sz w:val="16"/>
          <w:szCs w:val="16"/>
          <w:b w:val="1"/>
          <w:bCs w:val="1"/>
          <w:color w:val="auto"/>
        </w:rPr>
        <w:t>.</w:t>
      </w: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Subject to the restrictions contained in the Plan, the Committee may waive any conditions or rights under, amend any terms of, or alter, suspend, discontinue, cancel or terminate the Award, prospectively or retroactively; provided that any such waiver, amendment, alteration, suspension, discontinuance, cancellation or termination that would materially and adversely affect the rights of the Grantee or any holder or beneficiary of the Award shall not to that extent be effective without the consent of the Grantee, holder or beneficiary affected.</w:t>
      </w:r>
    </w:p>
    <w:p>
      <w:pPr>
        <w:spacing w:after="0" w:line="177"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Withholding of Taxes</w:t>
      </w:r>
      <w:r>
        <w:rPr>
          <w:rFonts w:ascii="Arial" w:cs="Arial" w:eastAsia="Arial" w:hAnsi="Arial"/>
          <w:sz w:val="16"/>
          <w:szCs w:val="16"/>
          <w:b w:val="1"/>
          <w:bCs w:val="1"/>
          <w:color w:val="auto"/>
        </w:rPr>
        <w:t>.</w:t>
      </w:r>
    </w:p>
    <w:p>
      <w:pPr>
        <w:spacing w:after="0" w:line="22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If the Grantee makes an election under Section 83(b) of the Code with respect to the Award, the Award made pursuant to this Agreement shall be conditioned upon the prompt payment to the Company of any applicable withholding obligations or withholding taxes by the Grantee (“Withholding Taxes”). Failure by the Grantee to pay such Withholding Taxes will render this Agreement and the Award granted hereunder null and void ab initio and the Restricted Shares granted hereunder will be immediately cancelled. If the Grantee does not make an election under Section 83(b) of the Code with respect to the Award, upon the lapse of the Restricted Period with respect to any portion of Restricted Shares (or property distributed with respect thereto), the Company shall satisfy the required Withholding Taxes as set forth by Internal Revenue Service guidelines for the employer’s statutory withholding obligations with respect to Grantee and issue vested shares to the Grantee without restriction. The Company shall satisfy the required Withholding Taxes by taking such action as it deems appropriate, including (a) by withholding from the Shares included in the Award that number of whole shares necessary to satisfy such taxes as of the date the restrictions lapse with respect to such Shares based on the Fair Market Value of the Shares, (b) by receiving a cash payment from Grantee, or (c) by withholding from other wages otherwise payable to Grantee.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834390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7" w:right="37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t>Shares shall be released to the Grantee unless and until such Withholding Taxes have been satisfied as determined by the Company in its sole discretion.</w:t>
      </w:r>
    </w:p>
    <w:p>
      <w:pPr>
        <w:spacing w:after="0" w:line="221"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Plan Governs</w:t>
      </w:r>
      <w:r>
        <w:rPr>
          <w:rFonts w:ascii="Arial" w:cs="Arial" w:eastAsia="Arial" w:hAnsi="Arial"/>
          <w:sz w:val="16"/>
          <w:szCs w:val="16"/>
          <w:b w:val="1"/>
          <w:bCs w:val="1"/>
          <w:color w:val="auto"/>
        </w:rPr>
        <w:t>.</w:t>
      </w:r>
    </w:p>
    <w:p>
      <w:pPr>
        <w:spacing w:after="0" w:line="22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Grantee hereby acknowledges receipt of a copy of the Plan and agrees to be bound by all the terms and provisions thereof. The terms of this Agreement are governed by the terms of the Plan, and in the case of any inconsistency between the terms of this Agreement and the terms of the Plan, the terms of the Plan shall govern.</w:t>
      </w:r>
    </w:p>
    <w:p>
      <w:pPr>
        <w:spacing w:after="0" w:line="170"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w:t>
      </w:r>
    </w:p>
    <w:p>
      <w:pPr>
        <w:spacing w:after="0" w:line="22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78"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w:t>
      </w:r>
    </w:p>
    <w:p>
      <w:pPr>
        <w:spacing w:after="0" w:line="2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All notices required to be given in connection with the Award shall be deemed to be received if delivered or mailed as provided for herein, to the parties at the following addresses, or to such other address as either party may provide in writing from time to time.</w:t>
      </w:r>
    </w:p>
    <w:p>
      <w:pPr>
        <w:sectPr>
          <w:pgSz w:w="11900" w:h="16838" w:orient="portrait"/>
          <w:cols w:equalWidth="0" w:num="1">
            <w:col w:w="11240"/>
          </w:cols>
          <w:pgMar w:left="320" w:top="1177" w:right="339" w:bottom="1440" w:gutter="0" w:footer="0" w:header="0"/>
        </w:sectPr>
      </w:pPr>
    </w:p>
    <w:p>
      <w:pPr>
        <w:spacing w:after="0" w:line="158" w:lineRule="exact"/>
        <w:rPr>
          <w:sz w:val="20"/>
          <w:szCs w:val="20"/>
          <w:color w:val="auto"/>
        </w:rPr>
      </w:pPr>
    </w:p>
    <w:p>
      <w:pPr>
        <w:ind w:left="760"/>
        <w:spacing w:after="0"/>
        <w:rPr>
          <w:sz w:val="20"/>
          <w:szCs w:val="20"/>
          <w:color w:val="auto"/>
        </w:rPr>
      </w:pPr>
      <w:r>
        <w:rPr>
          <w:rFonts w:ascii="Arial" w:cs="Arial" w:eastAsia="Arial" w:hAnsi="Arial"/>
          <w:sz w:val="15"/>
          <w:szCs w:val="15"/>
          <w:i w:val="1"/>
          <w:iCs w:val="1"/>
          <w:color w:val="auto"/>
        </w:rPr>
        <w:t>To the Company:</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Genesco Inc.</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535 Marriott Drive</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Nashville, TN 37214</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Attn: General Counsel</w:t>
      </w:r>
    </w:p>
    <w:p>
      <w:pPr>
        <w:spacing w:after="0" w:line="200" w:lineRule="exact"/>
        <w:rPr>
          <w:sz w:val="20"/>
          <w:szCs w:val="20"/>
          <w:color w:val="auto"/>
        </w:rPr>
      </w:pPr>
    </w:p>
    <w:p>
      <w:pPr>
        <w:sectPr>
          <w:pgSz w:w="11900" w:h="16838" w:orient="portrait"/>
          <w:cols w:equalWidth="0" w:num="2">
            <w:col w:w="1980" w:space="580"/>
            <w:col w:w="8680"/>
          </w:cols>
          <w:pgMar w:left="320" w:top="1177" w:right="339" w:bottom="1440" w:gutter="0" w:footer="0" w:header="0"/>
          <w:type w:val="continuous"/>
        </w:sectPr>
      </w:pPr>
    </w:p>
    <w:p>
      <w:pPr>
        <w:spacing w:after="0" w:line="7" w:lineRule="exact"/>
        <w:rPr>
          <w:sz w:val="20"/>
          <w:szCs w:val="20"/>
          <w:color w:val="auto"/>
        </w:rPr>
      </w:pPr>
    </w:p>
    <w:p>
      <w:pPr>
        <w:jc w:val="center"/>
        <w:ind w:left="760"/>
        <w:spacing w:after="0"/>
        <w:rPr>
          <w:sz w:val="20"/>
          <w:szCs w:val="20"/>
          <w:color w:val="auto"/>
        </w:rPr>
      </w:pPr>
      <w:r>
        <w:rPr>
          <w:rFonts w:ascii="Arial" w:cs="Arial" w:eastAsia="Arial" w:hAnsi="Arial"/>
          <w:sz w:val="15"/>
          <w:szCs w:val="15"/>
          <w:i w:val="1"/>
          <w:iCs w:val="1"/>
          <w:color w:val="auto"/>
        </w:rPr>
        <w:t>To the Grantee: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address then maintained with respect to the Grantee in the Company’s records.</w:t>
      </w:r>
    </w:p>
    <w:p>
      <w:pPr>
        <w:spacing w:after="0" w:line="200" w:lineRule="exact"/>
        <w:rPr>
          <w:sz w:val="20"/>
          <w:szCs w:val="20"/>
          <w:color w:val="auto"/>
        </w:rPr>
      </w:pPr>
    </w:p>
    <w:p>
      <w:pPr>
        <w:sectPr>
          <w:pgSz w:w="11900" w:h="16838" w:orient="portrait"/>
          <w:cols w:equalWidth="0" w:num="2">
            <w:col w:w="1880" w:space="680"/>
            <w:col w:w="8680"/>
          </w:cols>
          <w:pgMar w:left="320" w:top="1177" w:right="339" w:bottom="1440" w:gutter="0" w:footer="0" w:header="0"/>
          <w:type w:val="continuous"/>
        </w:sectPr>
      </w:pPr>
    </w:p>
    <w:p>
      <w:pPr>
        <w:spacing w:after="0" w:line="21"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w:t>
      </w:r>
    </w:p>
    <w:p>
      <w:pPr>
        <w:spacing w:after="0" w:line="221" w:lineRule="exact"/>
        <w:rPr>
          <w:sz w:val="20"/>
          <w:szCs w:val="20"/>
          <w:color w:val="auto"/>
        </w:rPr>
      </w:pPr>
    </w:p>
    <w:p>
      <w:pPr>
        <w:ind w:right="400"/>
        <w:spacing w:after="0" w:line="285" w:lineRule="auto"/>
        <w:rPr>
          <w:sz w:val="20"/>
          <w:szCs w:val="20"/>
          <w:color w:val="auto"/>
        </w:rPr>
      </w:pPr>
      <w:r>
        <w:rPr>
          <w:rFonts w:ascii="Arial" w:cs="Arial" w:eastAsia="Arial" w:hAnsi="Arial"/>
          <w:sz w:val="16"/>
          <w:szCs w:val="16"/>
          <w:color w:val="auto"/>
        </w:rPr>
        <w:t>The validity, construction and effect of this Agreement shall be determined in accordance with the laws of the State of Tennessee without giving effect to conflicts of laws principles.</w:t>
      </w:r>
    </w:p>
    <w:p>
      <w:pPr>
        <w:spacing w:after="0" w:line="156"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 in Interest</w:t>
      </w:r>
      <w:r>
        <w:rPr>
          <w:rFonts w:ascii="Arial" w:cs="Arial" w:eastAsia="Arial" w:hAnsi="Arial"/>
          <w:sz w:val="16"/>
          <w:szCs w:val="16"/>
          <w:b w:val="1"/>
          <w:bCs w:val="1"/>
          <w:color w:val="auto"/>
        </w:rPr>
        <w:t>.</w:t>
      </w:r>
    </w:p>
    <w:p>
      <w:pPr>
        <w:spacing w:after="0" w:line="22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70"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Resolution of Disputes</w:t>
      </w:r>
      <w:r>
        <w:rPr>
          <w:rFonts w:ascii="Arial" w:cs="Arial" w:eastAsia="Arial" w:hAnsi="Arial"/>
          <w:sz w:val="16"/>
          <w:szCs w:val="16"/>
          <w:b w:val="1"/>
          <w:bCs w:val="1"/>
          <w:color w:val="auto"/>
        </w:rPr>
        <w:t>.</w:t>
      </w:r>
    </w:p>
    <w:p>
      <w:pPr>
        <w:spacing w:after="0" w:line="221" w:lineRule="exact"/>
        <w:rPr>
          <w:sz w:val="20"/>
          <w:szCs w:val="20"/>
          <w:color w:val="auto"/>
        </w:rPr>
      </w:pPr>
    </w:p>
    <w:p>
      <w:pPr>
        <w:ind w:right="660"/>
        <w:spacing w:after="0" w:line="266" w:lineRule="auto"/>
        <w:rPr>
          <w:sz w:val="20"/>
          <w:szCs w:val="20"/>
          <w:color w:val="auto"/>
        </w:rPr>
      </w:pPr>
      <w:r>
        <w:rPr>
          <w:rFonts w:ascii="Arial" w:cs="Arial" w:eastAsia="Arial" w:hAnsi="Arial"/>
          <w:sz w:val="16"/>
          <w:szCs w:val="16"/>
          <w:color w:val="auto"/>
        </w:rPr>
        <w:t>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960755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type w:val="continuous"/>
        </w:sectPr>
      </w:pPr>
    </w:p>
    <w:bookmarkStart w:id="100" w:name="page101"/>
    <w:bookmarkEnd w:id="100"/>
    <w:p>
      <w:pPr>
        <w:spacing w:after="0" w:line="285"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Restricted Share Award Agreement to be duly executed effective as of the day and year first above</w:t>
      </w:r>
      <w:r>
        <w:rPr>
          <w:rFonts w:ascii="Arial" w:cs="Arial" w:eastAsia="Arial" w:hAnsi="Arial"/>
          <w:sz w:val="16"/>
          <w:szCs w:val="16"/>
          <w:b w:val="1"/>
          <w:bCs w:val="1"/>
          <w:color w:val="auto"/>
        </w:rPr>
        <w:t xml:space="preserve"> </w:t>
      </w:r>
      <w:r>
        <w:rPr>
          <w:rFonts w:ascii="Arial" w:cs="Arial" w:eastAsia="Arial" w:hAnsi="Arial"/>
          <w:sz w:val="16"/>
          <w:szCs w:val="16"/>
          <w:color w:val="auto"/>
        </w:rPr>
        <w:t>written.</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GENESCO INC.</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11931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6">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Scott E. Becker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General Counsel and Secretary</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GRANTEE: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1266825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7" w:right="5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82"/>
        </w:trPr>
        <w:tc>
          <w:tcPr>
            <w:tcW w:w="27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21</w:t>
            </w:r>
          </w:p>
        </w:tc>
      </w:tr>
      <w:tr>
        <w:trPr>
          <w:trHeight w:val="485"/>
        </w:trPr>
        <w:tc>
          <w:tcPr>
            <w:tcW w:w="7620" w:type="dxa"/>
            <w:vAlign w:val="bottom"/>
            <w:gridSpan w:val="2"/>
          </w:tcPr>
          <w:p>
            <w:pPr>
              <w:ind w:left="2480"/>
              <w:spacing w:after="0"/>
              <w:rPr>
                <w:sz w:val="20"/>
                <w:szCs w:val="20"/>
                <w:color w:val="auto"/>
              </w:rPr>
            </w:pPr>
            <w:r>
              <w:rPr>
                <w:rFonts w:ascii="Times New Roman" w:cs="Times New Roman" w:eastAsia="Times New Roman" w:hAnsi="Times New Roman"/>
                <w:sz w:val="22"/>
                <w:szCs w:val="22"/>
                <w:color w:val="auto"/>
              </w:rPr>
              <w:t>SUBSIDIARIES OF THE REGISTRANT</w:t>
            </w:r>
          </w:p>
        </w:tc>
        <w:tc>
          <w:tcPr>
            <w:tcW w:w="3620" w:type="dxa"/>
            <w:vAlign w:val="bottom"/>
          </w:tcPr>
          <w:p>
            <w:pPr>
              <w:spacing w:after="0"/>
              <w:rPr>
                <w:sz w:val="24"/>
                <w:szCs w:val="24"/>
                <w:color w:val="auto"/>
              </w:rPr>
            </w:pPr>
          </w:p>
        </w:tc>
      </w:tr>
      <w:tr>
        <w:trPr>
          <w:trHeight w:val="676"/>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Subsidiaries of the Company:</w:t>
            </w:r>
          </w:p>
        </w:tc>
        <w:tc>
          <w:tcPr>
            <w:tcW w:w="48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32"/>
        </w:trPr>
        <w:tc>
          <w:tcPr>
            <w:tcW w:w="7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Names of Subsidiary</w:t>
            </w:r>
            <w:r>
              <w:rPr>
                <w:rFonts w:ascii="Times New Roman" w:cs="Times New Roman" w:eastAsia="Times New Roman" w:hAnsi="Times New Roman"/>
                <w:sz w:val="9"/>
                <w:szCs w:val="9"/>
                <w:b w:val="1"/>
                <w:bCs w:val="1"/>
                <w:color w:val="auto"/>
              </w:rPr>
              <w:t>(1)</w:t>
            </w:r>
          </w:p>
        </w:tc>
        <w:tc>
          <w:tcPr>
            <w:tcW w:w="3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Place of Incorporation</w:t>
            </w:r>
          </w:p>
        </w:tc>
      </w:tr>
      <w:tr>
        <w:trPr>
          <w:trHeight w:val="385"/>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Flagg Bros. of Puerto Rico, Inc.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Genesco Brands, LLC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Genesco Brands NY, LLC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GVI, Inc.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Hat World Corporation</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GCO Canada ULC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Canada</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Genesco Footwear LLC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Tennessee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Genesco Services LLC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Tennessee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Lids Properties, LLC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Genesco (Quanzhou) Footwear Co., Ltd.</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China</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Genesco (UK) Limited</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Schuh Group Limited</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Schuh (Holdings) Limited</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Schuh Limited</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Schuh (ROI) Limited</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Republic of Ireland</w:t>
            </w:r>
          </w:p>
        </w:tc>
      </w:tr>
      <w:tr>
        <w:trPr>
          <w:trHeight w:val="283"/>
        </w:trPr>
        <w:tc>
          <w:tcPr>
            <w:tcW w:w="7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Genesco (Jersey) Limited</w:t>
            </w:r>
          </w:p>
        </w:tc>
        <w:tc>
          <w:tcPr>
            <w:tcW w:w="3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Jersey</w:t>
            </w: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100% of the equity of each listed subsidiary is owned either by the registrant or by a wholly-owned subsidiary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1932305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color w:val="auto"/>
        </w:rPr>
        <w:t>Exhibit 24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undersigned directors of Genesco Inc., a Tennessee corporation (“Genesco”), do hereby constitute and appoint Scott E. Becker and Thomas A. George, and any one of them, to act severally as attorneys -in-fact for and in their respective names, places and steads, with full power of substitution, to execute, sign and file with the Securities and Exchange Commission the Annual Report on Form 10-K of Genesco for the fiscal year ended February 3, 2024, and any and all amendments thereto; granting to said attorneys-in-fact, and each of them, full power and authority to do and perform every act and thing whatsoever requisite or necessary to be done in and about the premises as fully to all intents and purposes as the undersigned or any of them might or could do if personally present, and the undersigned do hereby ratify and confirm all that said attorney-in-fact or any of them, or their substitute or substitutes, may lawfully do or cause to be done by virtue 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Executed this 9th day of February,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/s/Joanna Barsh</w:t>
            </w:r>
          </w:p>
        </w:tc>
        <w:tc>
          <w:tcPr>
            <w:tcW w:w="12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7"/>
              </w:rPr>
              <w:t>/s/Angel R. Martinez</w:t>
            </w:r>
          </w:p>
        </w:tc>
        <w:tc>
          <w:tcPr>
            <w:tcW w:w="6540" w:type="dxa"/>
            <w:vAlign w:val="bottom"/>
            <w:gridSpan w:val="2"/>
          </w:tcPr>
          <w:p>
            <w:pPr>
              <w:spacing w:after="0"/>
              <w:rPr>
                <w:sz w:val="19"/>
                <w:szCs w:val="19"/>
                <w:color w:val="auto"/>
              </w:rPr>
            </w:pPr>
          </w:p>
        </w:tc>
      </w:tr>
      <w:tr>
        <w:trPr>
          <w:trHeight w:val="256"/>
        </w:trPr>
        <w:tc>
          <w:tcPr>
            <w:tcW w:w="2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Joanna Barsh, Director</w:t>
            </w:r>
          </w:p>
        </w:tc>
        <w:tc>
          <w:tcPr>
            <w:tcW w:w="200" w:type="dxa"/>
            <w:vAlign w:val="bottom"/>
          </w:tcPr>
          <w:p>
            <w:pPr>
              <w:spacing w:after="0"/>
              <w:rPr>
                <w:sz w:val="22"/>
                <w:szCs w:val="22"/>
                <w:color w:val="auto"/>
              </w:rPr>
            </w:pPr>
          </w:p>
        </w:tc>
        <w:tc>
          <w:tcPr>
            <w:tcW w:w="830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Angel R. Martinez, Director</w:t>
            </w:r>
          </w:p>
        </w:tc>
      </w:tr>
      <w:tr>
        <w:trPr>
          <w:trHeight w:val="412"/>
        </w:trPr>
        <w:tc>
          <w:tcPr>
            <w:tcW w:w="2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/s/Matthew M. Bilunas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0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/s/Mary Meixelsperger</w:t>
            </w:r>
          </w:p>
        </w:tc>
      </w:tr>
      <w:tr>
        <w:trPr>
          <w:trHeight w:val="20"/>
        </w:trPr>
        <w:tc>
          <w:tcPr>
            <w:tcW w:w="200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56"/>
        </w:trPr>
        <w:tc>
          <w:tcPr>
            <w:tcW w:w="2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Matthew M. Bilunas, Director</w:t>
            </w:r>
          </w:p>
        </w:tc>
        <w:tc>
          <w:tcPr>
            <w:tcW w:w="200" w:type="dxa"/>
            <w:vAlign w:val="bottom"/>
          </w:tcPr>
          <w:p>
            <w:pPr>
              <w:spacing w:after="0"/>
              <w:rPr>
                <w:sz w:val="22"/>
                <w:szCs w:val="22"/>
                <w:color w:val="auto"/>
              </w:rPr>
            </w:pPr>
          </w:p>
        </w:tc>
        <w:tc>
          <w:tcPr>
            <w:tcW w:w="83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Mary Meixelsperger, Director</w:t>
            </w:r>
          </w:p>
        </w:tc>
      </w:tr>
      <w:tr>
        <w:trPr>
          <w:trHeight w:val="412"/>
        </w:trPr>
        <w:tc>
          <w:tcPr>
            <w:tcW w:w="2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/s/Carolyn Bojanowski</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0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/s/Gregory A. Sandfort</w:t>
            </w:r>
          </w:p>
        </w:tc>
      </w:tr>
      <w:tr>
        <w:trPr>
          <w:trHeight w:val="20"/>
        </w:trPr>
        <w:tc>
          <w:tcPr>
            <w:tcW w:w="200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56"/>
        </w:trPr>
        <w:tc>
          <w:tcPr>
            <w:tcW w:w="2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Carolyn Bojanowski, Director</w:t>
            </w:r>
          </w:p>
        </w:tc>
        <w:tc>
          <w:tcPr>
            <w:tcW w:w="200" w:type="dxa"/>
            <w:vAlign w:val="bottom"/>
          </w:tcPr>
          <w:p>
            <w:pPr>
              <w:spacing w:after="0"/>
              <w:rPr>
                <w:sz w:val="22"/>
                <w:szCs w:val="22"/>
                <w:color w:val="auto"/>
              </w:rPr>
            </w:pPr>
          </w:p>
        </w:tc>
        <w:tc>
          <w:tcPr>
            <w:tcW w:w="83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Gregory A. Sandfort, Director</w:t>
            </w:r>
          </w:p>
        </w:tc>
      </w:tr>
      <w:tr>
        <w:trPr>
          <w:trHeight w:val="412"/>
        </w:trPr>
        <w:tc>
          <w:tcPr>
            <w:tcW w:w="2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/s/John F. Lambros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/s/Mimi E. Vaughn</w:t>
            </w:r>
          </w:p>
        </w:tc>
      </w:tr>
      <w:tr>
        <w:trPr>
          <w:trHeight w:val="20"/>
        </w:trPr>
        <w:tc>
          <w:tcPr>
            <w:tcW w:w="2000" w:type="dxa"/>
            <w:vAlign w:val="bottom"/>
            <w:gridSpan w:val="2"/>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r>
      <w:tr>
        <w:trPr>
          <w:trHeight w:val="256"/>
        </w:trPr>
        <w:tc>
          <w:tcPr>
            <w:tcW w:w="2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John F. Lambros, Director</w:t>
            </w:r>
          </w:p>
        </w:tc>
        <w:tc>
          <w:tcPr>
            <w:tcW w:w="850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Mimi E. Vaughn, Director</w:t>
            </w:r>
          </w:p>
        </w:tc>
      </w:tr>
      <w:tr>
        <w:trPr>
          <w:trHeight w:val="412"/>
        </w:trPr>
        <w:tc>
          <w:tcPr>
            <w:tcW w:w="2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/s/Thurgood Marshall, Jr.</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20" w:type="dxa"/>
            <w:vAlign w:val="bottom"/>
          </w:tcPr>
          <w:p>
            <w:pPr>
              <w:spacing w:after="0"/>
              <w:rPr>
                <w:sz w:val="24"/>
                <w:szCs w:val="24"/>
                <w:color w:val="auto"/>
              </w:rPr>
            </w:pPr>
          </w:p>
        </w:tc>
      </w:tr>
      <w:tr>
        <w:trPr>
          <w:trHeight w:val="20"/>
        </w:trPr>
        <w:tc>
          <w:tcPr>
            <w:tcW w:w="200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56"/>
        </w:trPr>
        <w:tc>
          <w:tcPr>
            <w:tcW w:w="2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Thurgood Marshall, Jr., Director</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20" w:type="dxa"/>
            <w:vAlign w:val="bottom"/>
          </w:tcPr>
          <w:p>
            <w:pPr>
              <w:spacing w:after="0"/>
              <w:rPr>
                <w:sz w:val="22"/>
                <w:szCs w:val="22"/>
                <w:color w:val="auto"/>
              </w:rPr>
            </w:pPr>
          </w:p>
        </w:tc>
      </w:tr>
      <w:tr>
        <w:trPr>
          <w:trHeight w:val="2536"/>
        </w:trPr>
        <w:tc>
          <w:tcPr>
            <w:tcW w:w="1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Mimi E. Vaughn, certify that:</w:t>
      </w:r>
    </w:p>
    <w:p>
      <w:pPr>
        <w:spacing w:after="0" w:line="117" w:lineRule="exact"/>
        <w:rPr>
          <w:sz w:val="20"/>
          <w:szCs w:val="20"/>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Genesco Inc.;</w:t>
      </w:r>
    </w:p>
    <w:p>
      <w:pPr>
        <w:spacing w:after="0" w:line="116"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right="100" w:firstLine="8"/>
        <w:spacing w:after="0" w:line="265"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right="360" w:firstLine="507"/>
        <w:spacing w:after="0" w:line="265" w:lineRule="auto"/>
        <w:tabs>
          <w:tab w:leader="none" w:pos="68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700" w:hanging="193"/>
        <w:spacing w:after="0"/>
        <w:tabs>
          <w:tab w:leader="none" w:pos="7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Times New Roman" w:cs="Times New Roman" w:eastAsia="Times New Roman" w:hAnsi="Times New Roman"/>
          <w:sz w:val="18"/>
          <w:szCs w:val="18"/>
          <w:color w:val="auto"/>
        </w:rPr>
      </w:pPr>
    </w:p>
    <w:p>
      <w:pPr>
        <w:ind w:right="880" w:firstLine="507"/>
        <w:spacing w:after="0" w:line="281" w:lineRule="auto"/>
        <w:tabs>
          <w:tab w:leader="none" w:pos="68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firstLine="507"/>
        <w:spacing w:after="0" w:line="265" w:lineRule="auto"/>
        <w:tabs>
          <w:tab w:leader="none" w:pos="69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right="320" w:firstLine="8"/>
        <w:spacing w:after="0" w:line="281"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right="260" w:firstLine="507"/>
        <w:spacing w:after="0" w:line="281" w:lineRule="auto"/>
        <w:tabs>
          <w:tab w:leader="none" w:pos="68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right="220" w:firstLine="507"/>
        <w:spacing w:after="0" w:line="281" w:lineRule="auto"/>
        <w:tabs>
          <w:tab w:leader="none" w:pos="69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22860</wp:posOffset>
            </wp:positionV>
            <wp:extent cx="35617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1">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Mimi E. Vaughn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George, certify that:</w:t>
      </w:r>
    </w:p>
    <w:p>
      <w:pPr>
        <w:spacing w:after="0" w:line="117"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Genesco Inc.;</w:t>
      </w:r>
    </w:p>
    <w:p>
      <w:pPr>
        <w:spacing w:after="0" w:line="116"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right="100" w:firstLine="8"/>
        <w:spacing w:after="0" w:line="265"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right="360" w:firstLine="507"/>
        <w:spacing w:after="0" w:line="265" w:lineRule="auto"/>
        <w:tabs>
          <w:tab w:leader="none" w:pos="68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700" w:hanging="193"/>
        <w:spacing w:after="0"/>
        <w:tabs>
          <w:tab w:leader="none" w:pos="7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Times New Roman" w:cs="Times New Roman" w:eastAsia="Times New Roman" w:hAnsi="Times New Roman"/>
          <w:sz w:val="18"/>
          <w:szCs w:val="18"/>
          <w:color w:val="auto"/>
        </w:rPr>
      </w:pPr>
    </w:p>
    <w:p>
      <w:pPr>
        <w:ind w:right="880" w:firstLine="507"/>
        <w:spacing w:after="0" w:line="281" w:lineRule="auto"/>
        <w:tabs>
          <w:tab w:leader="none" w:pos="68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firstLine="507"/>
        <w:spacing w:after="0" w:line="265" w:lineRule="auto"/>
        <w:tabs>
          <w:tab w:leader="none" w:pos="69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right="320" w:firstLine="8"/>
        <w:spacing w:after="0" w:line="281"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right="260" w:firstLine="507"/>
        <w:spacing w:after="0" w:line="281" w:lineRule="auto"/>
        <w:tabs>
          <w:tab w:leader="none" w:pos="68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right="220" w:firstLine="507"/>
        <w:spacing w:after="0" w:line="281" w:lineRule="auto"/>
        <w:tabs>
          <w:tab w:leader="none" w:pos="69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2024</w:t>
      </w:r>
    </w:p>
    <w:p>
      <w:pPr>
        <w:spacing w:after="0" w:line="2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Thomas A.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3">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A. George</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5" w:name="page106"/>
    <w:bookmarkEnd w:id="105"/>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2"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Genesco Inc. (the “Company”) on Form 10-K for the period ending February 3, 2024, as filed with the Securities and Exchange Commission on the date hereof (the “Report”), I, Mimi E. Vaughn, Chief Executive Officer of the Company, certify, pursuant to 18 U.S.C. Section 1350, as adopted pursuant to Section 906 of the Sarbanes-Oxley Act of 2002, that:</w:t>
      </w:r>
    </w:p>
    <w:p>
      <w:pPr>
        <w:spacing w:after="0" w:line="123" w:lineRule="exact"/>
        <w:rPr>
          <w:sz w:val="20"/>
          <w:szCs w:val="20"/>
          <w:color w:val="auto"/>
        </w:rPr>
      </w:pPr>
    </w:p>
    <w:p>
      <w:pPr>
        <w:ind w:left="760" w:hanging="253"/>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0"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5">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Mimi E. Vaughn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March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Genesco Inc. (the “Company”) on Form 10-K for the period ending February 3, 2024, as filed with the Securities and Exchange Commission on the date hereof (the “Report”), I, Thomas A. George, Senior Vice President and Chief Financial Officer of the Company, certify, pursuant to 18 U.S.C. Section 1350, as adopted pursuant to Section 906 of the Sarbanes-Oxley Act of 2002, that:</w:t>
      </w:r>
    </w:p>
    <w:p>
      <w:pPr>
        <w:spacing w:after="0" w:line="123" w:lineRule="exact"/>
        <w:rPr>
          <w:sz w:val="20"/>
          <w:szCs w:val="20"/>
          <w:color w:val="auto"/>
        </w:rPr>
      </w:pPr>
    </w:p>
    <w:p>
      <w:pPr>
        <w:ind w:left="760" w:hanging="253"/>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0"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Thomas A.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7">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A. George</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March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color w:val="auto"/>
        </w:rPr>
        <w:t>Exhibit 97</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Genesco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Compensation Recoupment Policy</w:t>
      </w:r>
    </w:p>
    <w:p>
      <w:pPr>
        <w:spacing w:after="0" w:line="202" w:lineRule="exact"/>
        <w:rPr>
          <w:sz w:val="20"/>
          <w:szCs w:val="20"/>
          <w:color w:val="auto"/>
        </w:rPr>
      </w:pPr>
    </w:p>
    <w:p>
      <w:pPr>
        <w:ind w:right="180"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Section 1. Overview. </w:t>
      </w:r>
      <w:r>
        <w:rPr>
          <w:rFonts w:ascii="Times New Roman" w:cs="Times New Roman" w:eastAsia="Times New Roman" w:hAnsi="Times New Roman"/>
          <w:sz w:val="20"/>
          <w:szCs w:val="20"/>
          <w:color w:val="auto"/>
        </w:rPr>
        <w:t>The purpose of this Amended and Restated Compensation Recoupment Policy of the Company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from time to time,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dated as of October 26, 2023 (the “</w:t>
      </w:r>
      <w:r>
        <w:rPr>
          <w:rFonts w:ascii="Times New Roman" w:cs="Times New Roman" w:eastAsia="Times New Roman" w:hAnsi="Times New Roman"/>
          <w:sz w:val="20"/>
          <w:szCs w:val="20"/>
          <w:u w:val="single" w:color="auto"/>
          <w:color w:val="auto"/>
        </w:rPr>
        <w:t>Adoption Date</w:t>
      </w:r>
      <w:r>
        <w:rPr>
          <w:rFonts w:ascii="Times New Roman" w:cs="Times New Roman" w:eastAsia="Times New Roman" w:hAnsi="Times New Roman"/>
          <w:sz w:val="20"/>
          <w:szCs w:val="20"/>
          <w:color w:val="auto"/>
        </w:rPr>
        <w:t>”) is to describe the circumstances in which current and former Executive Officers will be required to repay or return Erroneously Awarded Compensation to members of the Company Group. The Company has adopted this Policy to comply with Section 954 of the Dodd-Frank Wall Street Reform and Consumer Protection Act of 2010, as codified by Section 10D of the Exchange Act, Exchange Act Rule 10D-1 promulgated thereunder, and the rules and requirements of the NYSE (including Section 303A.14 of the NYSE Listed Company Manual) (such legal requirements, and rules and requirements of the NYSE, collectively, the “</w:t>
      </w:r>
      <w:r>
        <w:rPr>
          <w:rFonts w:ascii="Times New Roman" w:cs="Times New Roman" w:eastAsia="Times New Roman" w:hAnsi="Times New Roman"/>
          <w:sz w:val="20"/>
          <w:szCs w:val="20"/>
          <w:u w:val="single" w:color="auto"/>
          <w:color w:val="auto"/>
        </w:rPr>
        <w:t>SEC/NYSE Clawback Rules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 xml:space="preserve">Definitions. </w:t>
      </w:r>
      <w:r>
        <w:rPr>
          <w:rFonts w:ascii="Times New Roman" w:cs="Times New Roman" w:eastAsia="Times New Roman" w:hAnsi="Times New Roman"/>
          <w:sz w:val="19"/>
          <w:szCs w:val="19"/>
          <w:color w:val="auto"/>
        </w:rPr>
        <w:t>For purposes of this Policy, the following capitalized terms shall have the meanings set forth below:</w:t>
      </w:r>
    </w:p>
    <w:p>
      <w:pPr>
        <w:spacing w:after="0" w:line="232" w:lineRule="exact"/>
        <w:rPr>
          <w:sz w:val="20"/>
          <w:szCs w:val="20"/>
          <w:color w:val="auto"/>
        </w:rPr>
      </w:pPr>
    </w:p>
    <w:p>
      <w:pPr>
        <w:ind w:right="120" w:firstLine="757"/>
        <w:spacing w:after="0" w:line="266" w:lineRule="auto"/>
        <w:tabs>
          <w:tab w:leader="none" w:pos="1144"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Accounting Restatement</w:t>
      </w:r>
      <w:r>
        <w:rPr>
          <w:rFonts w:ascii="Times New Roman" w:cs="Times New Roman" w:eastAsia="Times New Roman" w:hAnsi="Times New Roman"/>
          <w:sz w:val="19"/>
          <w:szCs w:val="19"/>
          <w:color w:val="auto"/>
        </w:rPr>
        <w:t>” shall mean an accounting restatement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(a “Big R” restatement), or (ii) that would result in a material misstatement if the error were corrected in the current period or left uncorrected in the current period (a “little r” restatement).</w:t>
      </w:r>
    </w:p>
    <w:p>
      <w:pPr>
        <w:spacing w:after="0" w:line="177" w:lineRule="exact"/>
        <w:rPr>
          <w:rFonts w:ascii="Times New Roman" w:cs="Times New Roman" w:eastAsia="Times New Roman" w:hAnsi="Times New Roman"/>
          <w:sz w:val="19"/>
          <w:szCs w:val="19"/>
          <w:color w:val="auto"/>
        </w:rPr>
      </w:pPr>
    </w:p>
    <w:p>
      <w:pPr>
        <w:ind w:left="1160" w:hanging="403"/>
        <w:spacing w:after="0"/>
        <w:tabs>
          <w:tab w:leader="none" w:pos="11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shall mean the Board of Directors of the Company.</w:t>
      </w:r>
    </w:p>
    <w:p>
      <w:pPr>
        <w:spacing w:after="0" w:line="228" w:lineRule="exact"/>
        <w:rPr>
          <w:rFonts w:ascii="Times New Roman" w:cs="Times New Roman" w:eastAsia="Times New Roman" w:hAnsi="Times New Roman"/>
          <w:sz w:val="20"/>
          <w:szCs w:val="20"/>
          <w:color w:val="auto"/>
        </w:rPr>
      </w:pPr>
    </w:p>
    <w:p>
      <w:pPr>
        <w:jc w:val="both"/>
        <w:ind w:right="140" w:firstLine="757"/>
        <w:spacing w:after="0" w:line="253" w:lineRule="auto"/>
        <w:tabs>
          <w:tab w:leader="none" w:pos="114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Clawback Period</w:t>
      </w:r>
      <w:r>
        <w:rPr>
          <w:rFonts w:ascii="Times New Roman" w:cs="Times New Roman" w:eastAsia="Times New Roman" w:hAnsi="Times New Roman"/>
          <w:sz w:val="20"/>
          <w:szCs w:val="20"/>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90" w:lineRule="exact"/>
        <w:rPr>
          <w:sz w:val="20"/>
          <w:szCs w:val="20"/>
          <w:color w:val="auto"/>
        </w:rPr>
      </w:pPr>
    </w:p>
    <w:p>
      <w:pPr>
        <w:ind w:left="1160" w:hanging="403"/>
        <w:spacing w:after="0"/>
        <w:tabs>
          <w:tab w:leader="none" w:pos="11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shall mean the Compensation Committee of the Board.</w:t>
      </w:r>
    </w:p>
    <w:p>
      <w:pPr>
        <w:spacing w:after="0" w:line="22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shall mean the common stock, par value $1.00 per share, of the Company.</w:t>
      </w:r>
    </w:p>
    <w:p>
      <w:pPr>
        <w:spacing w:after="0" w:line="22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shall mean Genesco Inc., a Tennessee corporation.</w:t>
      </w:r>
    </w:p>
    <w:p>
      <w:pPr>
        <w:spacing w:after="0" w:line="22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Group</w:t>
      </w:r>
      <w:r>
        <w:rPr>
          <w:rFonts w:ascii="Times New Roman" w:cs="Times New Roman" w:eastAsia="Times New Roman" w:hAnsi="Times New Roman"/>
          <w:sz w:val="20"/>
          <w:szCs w:val="20"/>
          <w:color w:val="auto"/>
        </w:rPr>
        <w:t>” shall mean the Company, together with each of its direct and indirect subsidiaries.</w:t>
      </w:r>
    </w:p>
    <w:p>
      <w:pPr>
        <w:spacing w:after="0" w:line="22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shall mean October 2, 2023 (which is the effective date of the final NYSE listing standards).</w:t>
      </w:r>
    </w:p>
    <w:p>
      <w:pPr>
        <w:spacing w:after="0" w:line="228" w:lineRule="exact"/>
        <w:rPr>
          <w:sz w:val="20"/>
          <w:szCs w:val="20"/>
          <w:color w:val="auto"/>
        </w:rPr>
      </w:pPr>
    </w:p>
    <w:p>
      <w:pPr>
        <w:ind w:firstLine="757"/>
        <w:spacing w:after="0" w:line="246" w:lineRule="auto"/>
        <w:tabs>
          <w:tab w:leader="none" w:pos="114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shall mean with respect to any current or former Executive Officer in connection with any Accounting Restatement, the amount of NYSE Clawback Eligible Incentive Compensation Received by such current or former Executive Officer that exceeds the amount of NYSE Clawback Eligible Incentive Compensation that otherwise would have been Received by such current or former Executive Officer had such NYSE Clawback Eligible Incentive Compensation been determined based on the restated amounts as reflected in such Accounting Restatements, computed without regard to any taxes paid.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8" w:name="page109"/>
    <w:bookmarkEnd w:id="108"/>
    <w:p>
      <w:pPr>
        <w:ind w:left="1160" w:hanging="403"/>
        <w:spacing w:after="0"/>
        <w:tabs>
          <w:tab w:leader="none" w:pos="11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28" w:lineRule="exact"/>
        <w:rPr>
          <w:rFonts w:ascii="Times New Roman" w:cs="Times New Roman" w:eastAsia="Times New Roman" w:hAnsi="Times New Roman"/>
          <w:sz w:val="20"/>
          <w:szCs w:val="20"/>
          <w:color w:val="auto"/>
        </w:rPr>
      </w:pPr>
    </w:p>
    <w:p>
      <w:pPr>
        <w:ind w:right="220" w:firstLine="757"/>
        <w:spacing w:after="0" w:line="268" w:lineRule="auto"/>
        <w:tabs>
          <w:tab w:leader="none" w:pos="11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shall mean any officer of the Company as defined in Rule 10D-1(d) (or any successor provision thereof) under the Exchange Act.</w:t>
      </w:r>
    </w:p>
    <w:p>
      <w:pPr>
        <w:spacing w:after="0" w:line="174" w:lineRule="exact"/>
        <w:rPr>
          <w:rFonts w:ascii="Times New Roman" w:cs="Times New Roman" w:eastAsia="Times New Roman" w:hAnsi="Times New Roman"/>
          <w:sz w:val="20"/>
          <w:szCs w:val="20"/>
          <w:color w:val="auto"/>
        </w:rPr>
      </w:pPr>
    </w:p>
    <w:p>
      <w:pPr>
        <w:ind w:right="160" w:firstLine="757"/>
        <w:spacing w:after="0" w:line="246" w:lineRule="auto"/>
        <w:tabs>
          <w:tab w:leader="none" w:pos="11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Reporting Measures</w:t>
      </w:r>
      <w:r>
        <w:rPr>
          <w:rFonts w:ascii="Times New Roman" w:cs="Times New Roman" w:eastAsia="Times New Roman" w:hAnsi="Times New Roman"/>
          <w:sz w:val="20"/>
          <w:szCs w:val="20"/>
          <w:color w:val="auto"/>
        </w:rPr>
        <w:t>” shall mean measures that are determined and presented in accordance with the accounting principles used in preparing the Company’s financial statements, and any other measures that are derived wholly or in part from such measures. For purposes of this Policy, stock price and total shareholder return (and any measures that are derived wholly or in part from stock price or total shareholder return) shall be considered Financial Reporting Measures. For the avoidance of doubt, a Financial Reporting Measure need not be presented within the Company’s financial statements or included in a filing with the SEC.</w:t>
      </w:r>
    </w:p>
    <w:p>
      <w:pPr>
        <w:spacing w:after="0" w:line="196" w:lineRule="exact"/>
        <w:rPr>
          <w:rFonts w:ascii="Times New Roman" w:cs="Times New Roman" w:eastAsia="Times New Roman" w:hAnsi="Times New Roman"/>
          <w:sz w:val="20"/>
          <w:szCs w:val="20"/>
          <w:color w:val="auto"/>
        </w:rPr>
      </w:pPr>
    </w:p>
    <w:p>
      <w:pPr>
        <w:ind w:right="180" w:firstLine="757"/>
        <w:spacing w:after="0" w:line="268" w:lineRule="auto"/>
        <w:tabs>
          <w:tab w:leader="none" w:pos="11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shall mean any compensation that is granted, earned or vested based wholly or in part upon the attainment of a Financial Reporting Measure.</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NYSE</w:t>
      </w:r>
      <w:r>
        <w:rPr>
          <w:rFonts w:ascii="Times New Roman" w:cs="Times New Roman" w:eastAsia="Times New Roman" w:hAnsi="Times New Roman"/>
          <w:sz w:val="20"/>
          <w:szCs w:val="20"/>
          <w:color w:val="auto"/>
        </w:rPr>
        <w:t>” shall mean the New York Stock Exchange.</w:t>
      </w:r>
    </w:p>
    <w:p>
      <w:pPr>
        <w:spacing w:after="0" w:line="228" w:lineRule="exact"/>
        <w:rPr>
          <w:rFonts w:ascii="Times New Roman" w:cs="Times New Roman" w:eastAsia="Times New Roman" w:hAnsi="Times New Roman"/>
          <w:sz w:val="20"/>
          <w:szCs w:val="20"/>
          <w:color w:val="auto"/>
        </w:rPr>
      </w:pPr>
    </w:p>
    <w:p>
      <w:pPr>
        <w:ind w:right="40" w:firstLine="757"/>
        <w:spacing w:after="0" w:line="268" w:lineRule="auto"/>
        <w:tabs>
          <w:tab w:leader="none" w:pos="11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NYSE Clawback Eligible Incentive Compensation</w:t>
      </w:r>
      <w:r>
        <w:rPr>
          <w:rFonts w:ascii="Times New Roman" w:cs="Times New Roman" w:eastAsia="Times New Roman" w:hAnsi="Times New Roman"/>
          <w:sz w:val="20"/>
          <w:szCs w:val="20"/>
          <w:color w:val="auto"/>
        </w:rPr>
        <w:t>” shall mean all Incentive-Based Compensation Received by any current or former Executive Officer on or after the Effective Date, provided that:</w:t>
      </w:r>
    </w:p>
    <w:p>
      <w:pPr>
        <w:spacing w:after="0" w:line="174"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Incentive-Based Compensation is Received after such individual began serving as an Executive Officer;</w:t>
      </w:r>
    </w:p>
    <w:p>
      <w:pPr>
        <w:spacing w:after="0" w:line="228" w:lineRule="exact"/>
        <w:rPr>
          <w:rFonts w:ascii="Times New Roman" w:cs="Times New Roman" w:eastAsia="Times New Roman" w:hAnsi="Times New Roman"/>
          <w:sz w:val="20"/>
          <w:szCs w:val="20"/>
          <w:color w:val="auto"/>
        </w:rPr>
      </w:pPr>
    </w:p>
    <w:p>
      <w:pPr>
        <w:ind w:left="2260" w:right="380" w:hanging="755"/>
        <w:spacing w:after="0" w:line="268" w:lineRule="auto"/>
        <w:tabs>
          <w:tab w:leader="none" w:pos="2260"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individual served as an Executive Officer at any time during the performance period for such Incentive-Based Compensation;</w:t>
      </w:r>
    </w:p>
    <w:p>
      <w:pPr>
        <w:spacing w:after="0" w:line="174" w:lineRule="exact"/>
        <w:rPr>
          <w:rFonts w:ascii="Times New Roman" w:cs="Times New Roman" w:eastAsia="Times New Roman" w:hAnsi="Times New Roman"/>
          <w:sz w:val="20"/>
          <w:szCs w:val="20"/>
          <w:color w:val="auto"/>
        </w:rPr>
      </w:pPr>
    </w:p>
    <w:p>
      <w:pPr>
        <w:ind w:left="2260" w:hanging="755"/>
        <w:spacing w:after="0" w:line="268" w:lineRule="auto"/>
        <w:tabs>
          <w:tab w:leader="none" w:pos="2260"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Incentive-Based Compensation is Received while the Company has a class of securities listed on the NYSE; and</w:t>
      </w:r>
    </w:p>
    <w:p>
      <w:pPr>
        <w:spacing w:after="0" w:line="174"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Incentive-Based Compensation is Received during the applicable Clawback Period.</w:t>
      </w:r>
    </w:p>
    <w:p>
      <w:pPr>
        <w:spacing w:after="0" w:line="228" w:lineRule="exact"/>
        <w:rPr>
          <w:rFonts w:ascii="Times New Roman" w:cs="Times New Roman" w:eastAsia="Times New Roman" w:hAnsi="Times New Roman"/>
          <w:sz w:val="20"/>
          <w:szCs w:val="20"/>
          <w:color w:val="auto"/>
        </w:rPr>
      </w:pPr>
    </w:p>
    <w:p>
      <w:pPr>
        <w:ind w:right="40" w:firstLine="757"/>
        <w:spacing w:after="0" w:line="253" w:lineRule="auto"/>
        <w:tabs>
          <w:tab w:leader="none" w:pos="11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Received</w:t>
      </w:r>
      <w:r>
        <w:rPr>
          <w:rFonts w:ascii="Times New Roman" w:cs="Times New Roman" w:eastAsia="Times New Roman" w:hAnsi="Times New Roman"/>
          <w:sz w:val="20"/>
          <w:szCs w:val="20"/>
          <w:color w:val="auto"/>
        </w:rPr>
        <w:t>” shall mean when Incentive-Based Compensation is received,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89" w:lineRule="exact"/>
        <w:rPr>
          <w:rFonts w:ascii="Times New Roman" w:cs="Times New Roman" w:eastAsia="Times New Roman" w:hAnsi="Times New Roman"/>
          <w:sz w:val="20"/>
          <w:szCs w:val="20"/>
          <w:color w:val="auto"/>
        </w:rPr>
      </w:pPr>
    </w:p>
    <w:p>
      <w:pPr>
        <w:ind w:right="20" w:firstLine="806"/>
        <w:spacing w:after="0" w:line="249" w:lineRule="auto"/>
        <w:tabs>
          <w:tab w:leader="none" w:pos="114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 Date</w:t>
      </w:r>
      <w:r>
        <w:rPr>
          <w:rFonts w:ascii="Times New Roman" w:cs="Times New Roman" w:eastAsia="Times New Roman" w:hAnsi="Times New Roman"/>
          <w:sz w:val="20"/>
          <w:szCs w:val="20"/>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91"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shall mean the U.S. Securities and Exchange Commission.</w:t>
      </w:r>
    </w:p>
    <w:p>
      <w:pPr>
        <w:spacing w:after="0" w:line="2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Clawback Provisions.</w:t>
      </w:r>
    </w:p>
    <w:p>
      <w:pPr>
        <w:spacing w:after="0" w:line="228" w:lineRule="exact"/>
        <w:rPr>
          <w:sz w:val="20"/>
          <w:szCs w:val="20"/>
          <w:color w:val="auto"/>
        </w:rPr>
      </w:pPr>
    </w:p>
    <w:p>
      <w:pPr>
        <w:ind w:right="140"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3.1. Recoupment of Erroneously Awarded Compensation from Executive Officers. </w:t>
      </w:r>
      <w:r>
        <w:rPr>
          <w:rFonts w:ascii="Times New Roman" w:cs="Times New Roman" w:eastAsia="Times New Roman" w:hAnsi="Times New Roman"/>
          <w:sz w:val="20"/>
          <w:szCs w:val="20"/>
          <w:color w:val="auto"/>
        </w:rPr>
        <w:t>In the event that the Company is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prepare an Accounting Restatement, (i) the Committee shall</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9" w:name="page110"/>
    <w:bookmarkEnd w:id="109"/>
    <w:p>
      <w:pPr>
        <w:ind w:right="60"/>
        <w:spacing w:after="0" w:line="245" w:lineRule="auto"/>
        <w:rPr>
          <w:sz w:val="20"/>
          <w:szCs w:val="20"/>
          <w:color w:val="auto"/>
        </w:rPr>
      </w:pPr>
      <w:r>
        <w:rPr>
          <w:rFonts w:ascii="Times New Roman" w:cs="Times New Roman" w:eastAsia="Times New Roman" w:hAnsi="Times New Roman"/>
          <w:sz w:val="20"/>
          <w:szCs w:val="20"/>
          <w:color w:val="auto"/>
        </w:rPr>
        <w:t>determine the amount of any Erroneously Awarded Compensation for each applicable current or former Executive Officer (whether or not such individual is serving as an Executive Officer at such time) (the “</w:t>
      </w:r>
      <w:r>
        <w:rPr>
          <w:rFonts w:ascii="Times New Roman" w:cs="Times New Roman" w:eastAsia="Times New Roman" w:hAnsi="Times New Roman"/>
          <w:sz w:val="20"/>
          <w:szCs w:val="20"/>
          <w:u w:val="single" w:color="auto"/>
          <w:color w:val="auto"/>
        </w:rPr>
        <w:t>Applicable Executives</w:t>
      </w:r>
      <w:r>
        <w:rPr>
          <w:rFonts w:ascii="Times New Roman" w:cs="Times New Roman" w:eastAsia="Times New Roman" w:hAnsi="Times New Roman"/>
          <w:sz w:val="20"/>
          <w:szCs w:val="20"/>
          <w:color w:val="auto"/>
        </w:rPr>
        <w:t>”) in connection with such Accounting Restatement, and (ii) the Company will reasonably promptly require the recoupment of the amount of such Erroneously Awarded Compensation from any such Applicable Executive, and any such Applicable Executive shall surrender such Erroneously Awarded Compensation to the Company, at such time(s), and via such method(s), as determined by the Committee in accordance with the terms of this Policy.</w:t>
      </w:r>
    </w:p>
    <w:p>
      <w:pPr>
        <w:spacing w:after="0" w:line="192" w:lineRule="exact"/>
        <w:rPr>
          <w:sz w:val="20"/>
          <w:szCs w:val="20"/>
          <w:color w:val="auto"/>
        </w:rPr>
      </w:pPr>
    </w:p>
    <w:p>
      <w:pPr>
        <w:jc w:val="both"/>
        <w:ind w:right="40"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3.2 Impracticability Exceptions. </w:t>
      </w:r>
      <w:r>
        <w:rPr>
          <w:rFonts w:ascii="Times New Roman" w:cs="Times New Roman" w:eastAsia="Times New Roman" w:hAnsi="Times New Roman"/>
          <w:sz w:val="20"/>
          <w:szCs w:val="20"/>
          <w:color w:val="auto"/>
        </w:rPr>
        <w:t>Notwithstanding anything herein to the contrary, the Company shall not be required to recover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Erroneously Awarded Compensation from any Applicable Executive pursuant to the terms of this Policy if (1) the Committee determines that such recovery would be impracticable, and (2) any of the following conditions is met:</w:t>
      </w:r>
    </w:p>
    <w:p>
      <w:pPr>
        <w:spacing w:after="0" w:line="188" w:lineRule="exact"/>
        <w:rPr>
          <w:sz w:val="20"/>
          <w:szCs w:val="20"/>
          <w:color w:val="auto"/>
        </w:rPr>
      </w:pPr>
    </w:p>
    <w:p>
      <w:pPr>
        <w:jc w:val="both"/>
        <w:ind w:right="300" w:firstLine="757"/>
        <w:spacing w:after="0" w:line="249" w:lineRule="auto"/>
        <w:tabs>
          <w:tab w:leader="none" w:pos="114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expenses paid to a third party to assist in enforcing the Policy would exceed the amount to be recovered, provided that, before concluding that it would be impracticable to recover any amount of Erroneously Awarded Compensation based on expense of enforcement pursuant to this clause (a), the Company has (x) made a reasonable attempt to recover such Erroneously Awarded Compensation, (y) documented such reasonable attempt(s) to recover, and (z) provided such documentation to the NYSE;</w:t>
      </w:r>
    </w:p>
    <w:p>
      <w:pPr>
        <w:spacing w:after="0" w:line="191" w:lineRule="exact"/>
        <w:rPr>
          <w:rFonts w:ascii="Times New Roman" w:cs="Times New Roman" w:eastAsia="Times New Roman" w:hAnsi="Times New Roman"/>
          <w:sz w:val="20"/>
          <w:szCs w:val="20"/>
          <w:color w:val="auto"/>
        </w:rPr>
      </w:pPr>
    </w:p>
    <w:p>
      <w:pPr>
        <w:ind w:right="20" w:firstLine="757"/>
        <w:spacing w:after="0" w:line="249" w:lineRule="auto"/>
        <w:tabs>
          <w:tab w:leader="none" w:pos="114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the NYSE, that recovery would result in such a violation, has provided copy of the opinion is provided to the NYSE; or</w:t>
      </w:r>
    </w:p>
    <w:p>
      <w:pPr>
        <w:spacing w:after="0" w:line="191" w:lineRule="exact"/>
        <w:rPr>
          <w:rFonts w:ascii="Times New Roman" w:cs="Times New Roman" w:eastAsia="Times New Roman" w:hAnsi="Times New Roman"/>
          <w:sz w:val="20"/>
          <w:szCs w:val="20"/>
          <w:color w:val="auto"/>
        </w:rPr>
      </w:pPr>
    </w:p>
    <w:p>
      <w:pPr>
        <w:ind w:right="200" w:firstLine="757"/>
        <w:spacing w:after="0" w:line="295" w:lineRule="auto"/>
        <w:tabs>
          <w:tab w:leader="none" w:pos="1144"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147"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3.3 Acknowledgment. </w:t>
      </w:r>
      <w:r>
        <w:rPr>
          <w:rFonts w:ascii="Times New Roman" w:cs="Times New Roman" w:eastAsia="Times New Roman" w:hAnsi="Times New Roman"/>
          <w:sz w:val="20"/>
          <w:szCs w:val="20"/>
          <w:color w:val="auto"/>
        </w:rPr>
        <w:t>Each Executive Officer shall be required to sign and return to the Company the form of acknowledgment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this Policy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pursuant to which such Executive Officer will agree to be bound by the terms and comply with this Policy.</w:t>
      </w:r>
    </w:p>
    <w:p>
      <w:pPr>
        <w:spacing w:after="0" w:line="1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General Terms.</w:t>
      </w:r>
    </w:p>
    <w:p>
      <w:pPr>
        <w:spacing w:after="0" w:line="228"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4.1. Administration. </w:t>
      </w:r>
      <w:r>
        <w:rPr>
          <w:rFonts w:ascii="Times New Roman" w:cs="Times New Roman" w:eastAsia="Times New Roman" w:hAnsi="Times New Roman"/>
          <w:sz w:val="20"/>
          <w:szCs w:val="20"/>
          <w:color w:val="auto"/>
        </w:rPr>
        <w:t>This Policy shall be administered by the Committee. The Committee is authorized to interpret and construe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Policy and to make all determinations necessary, appropriate, or advisable for the administration of this Policy, and any such determinations made by the Committee shall be in the Committee’s sole discretion, and shall be final and binding on all affected individuals. Except as otherwise required by applicable legal requirements or the rules and regulations of the NYSE, any determinations of the Committee hereunder need not be uniform with respect to one or more current or former Executive Officers.</w:t>
      </w:r>
    </w:p>
    <w:p>
      <w:pPr>
        <w:spacing w:after="0" w:line="192" w:lineRule="exact"/>
        <w:rPr>
          <w:sz w:val="20"/>
          <w:szCs w:val="20"/>
          <w:color w:val="auto"/>
        </w:rPr>
      </w:pPr>
    </w:p>
    <w:p>
      <w:pPr>
        <w:ind w:right="6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4.2 Stock Price/TSR. </w:t>
      </w:r>
      <w:r>
        <w:rPr>
          <w:rFonts w:ascii="Times New Roman" w:cs="Times New Roman" w:eastAsia="Times New Roman" w:hAnsi="Times New Roman"/>
          <w:sz w:val="20"/>
          <w:szCs w:val="20"/>
          <w:color w:val="auto"/>
        </w:rPr>
        <w:t>Notwithstanding anything contained herein to the contrary, for Incentive-Based Compensation based 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derived from) stock price or total shareholder return where the amount of Erroneously Awarded Compensation is not subject to mathematical recalculation directly from the information in the applicable Accounting Restatement, (i) such amount shall be determined by the Committee based on a reasonable estimate of the effect of the Accounting Restatement on the stock price or total shareholder return upon which the Incentive-Based Compensation was Received, and (ii) the Company will maintain documentation of the determination of that reasonable estimate and provide such documentation to the NYSE.</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0" w:name="page111"/>
    <w:bookmarkEnd w:id="110"/>
    <w:p>
      <w:pPr>
        <w:spacing w:after="0" w:line="197" w:lineRule="exact"/>
        <w:rPr>
          <w:sz w:val="20"/>
          <w:szCs w:val="20"/>
          <w:color w:val="auto"/>
        </w:rPr>
      </w:pPr>
    </w:p>
    <w:p>
      <w:pPr>
        <w:ind w:right="380"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4.3 Method of Recovery. </w:t>
      </w:r>
      <w:r>
        <w:rPr>
          <w:rFonts w:ascii="Times New Roman" w:cs="Times New Roman" w:eastAsia="Times New Roman" w:hAnsi="Times New Roman"/>
          <w:sz w:val="20"/>
          <w:szCs w:val="20"/>
          <w:color w:val="auto"/>
        </w:rPr>
        <w:t>The Committee shall determine, in its sole discretion, the method(s) for recouping any Erroneously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Awarded Compensation from any Applicable Executive subject to such recoupment, which may include:</w:t>
      </w:r>
    </w:p>
    <w:p>
      <w:pPr>
        <w:spacing w:after="0" w:line="170" w:lineRule="exact"/>
        <w:rPr>
          <w:sz w:val="20"/>
          <w:szCs w:val="20"/>
          <w:color w:val="auto"/>
        </w:rPr>
      </w:pPr>
    </w:p>
    <w:p>
      <w:pPr>
        <w:ind w:left="760" w:right="420" w:firstLine="745"/>
        <w:spacing w:after="0" w:line="253" w:lineRule="auto"/>
        <w:tabs>
          <w:tab w:leader="none" w:pos="190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one or more cash payments to the Company Group from such Applicable Executive, including, but not limited to, the repayment of cash Incentive-Based Compensation previously paid by the Company Group to such Applicable Executive;</w:t>
      </w:r>
    </w:p>
    <w:p>
      <w:pPr>
        <w:spacing w:after="0" w:line="189" w:lineRule="exact"/>
        <w:rPr>
          <w:rFonts w:ascii="Times New Roman" w:cs="Times New Roman" w:eastAsia="Times New Roman" w:hAnsi="Times New Roman"/>
          <w:sz w:val="20"/>
          <w:szCs w:val="20"/>
          <w:color w:val="auto"/>
        </w:rPr>
      </w:pPr>
    </w:p>
    <w:p>
      <w:pPr>
        <w:ind w:left="760" w:right="120" w:firstLine="745"/>
        <w:spacing w:after="0" w:line="253" w:lineRule="auto"/>
        <w:tabs>
          <w:tab w:leader="none" w:pos="190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recovery of any gain realized on the vesting, exercise, settlement, sale, transfer or other disposition of any equity-based awards previously made by the Company to such Applicable Executive and/or otherwise requiring the delivery to the Company of shares of Common Stock held by such Applicable Executive;</w:t>
      </w:r>
    </w:p>
    <w:p>
      <w:pPr>
        <w:spacing w:after="0" w:line="189" w:lineRule="exact"/>
        <w:rPr>
          <w:rFonts w:ascii="Times New Roman" w:cs="Times New Roman" w:eastAsia="Times New Roman" w:hAnsi="Times New Roman"/>
          <w:sz w:val="20"/>
          <w:szCs w:val="20"/>
          <w:color w:val="auto"/>
        </w:rPr>
      </w:pPr>
    </w:p>
    <w:p>
      <w:pPr>
        <w:ind w:left="760" w:right="200" w:firstLine="745"/>
        <w:spacing w:after="0" w:line="268" w:lineRule="auto"/>
        <w:tabs>
          <w:tab w:leader="none" w:pos="190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or eliminating, or offsetting against, future cash compensation (including cash incentive payments) and/or future equity awards otherwise to be made by the Company Group to such Applicable Executive;</w:t>
      </w:r>
    </w:p>
    <w:p>
      <w:pPr>
        <w:spacing w:after="0" w:line="174" w:lineRule="exact"/>
        <w:rPr>
          <w:rFonts w:ascii="Times New Roman" w:cs="Times New Roman" w:eastAsia="Times New Roman" w:hAnsi="Times New Roman"/>
          <w:sz w:val="20"/>
          <w:szCs w:val="20"/>
          <w:color w:val="auto"/>
        </w:rPr>
      </w:pPr>
    </w:p>
    <w:p>
      <w:pPr>
        <w:ind w:left="760" w:right="700" w:firstLine="745"/>
        <w:spacing w:after="0" w:line="268" w:lineRule="auto"/>
        <w:tabs>
          <w:tab w:leader="none" w:pos="190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offsetting amounts against compensation or other amounts otherwise payable by the Company Group to such Applicable Executive;</w:t>
      </w:r>
    </w:p>
    <w:p>
      <w:pPr>
        <w:spacing w:after="0" w:line="174" w:lineRule="exact"/>
        <w:rPr>
          <w:rFonts w:ascii="Times New Roman" w:cs="Times New Roman" w:eastAsia="Times New Roman" w:hAnsi="Times New Roman"/>
          <w:sz w:val="20"/>
          <w:szCs w:val="20"/>
          <w:color w:val="auto"/>
        </w:rPr>
      </w:pPr>
    </w:p>
    <w:p>
      <w:pPr>
        <w:ind w:left="760" w:right="160" w:firstLine="745"/>
        <w:spacing w:after="0" w:line="268" w:lineRule="auto"/>
        <w:tabs>
          <w:tab w:leader="none" w:pos="190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cancelling, adjusting or offsetting against some or all outstanding vested or unvested equity awards of the Company held by such Applicable Executive; and/or</w:t>
      </w:r>
    </w:p>
    <w:p>
      <w:pPr>
        <w:spacing w:after="0" w:line="174" w:lineRule="exact"/>
        <w:rPr>
          <w:rFonts w:ascii="Times New Roman" w:cs="Times New Roman" w:eastAsia="Times New Roman" w:hAnsi="Times New Roman"/>
          <w:sz w:val="20"/>
          <w:szCs w:val="20"/>
          <w:color w:val="auto"/>
        </w:rPr>
      </w:pPr>
    </w:p>
    <w:p>
      <w:pPr>
        <w:ind w:left="760" w:right="320" w:firstLine="745"/>
        <w:spacing w:after="0" w:line="268" w:lineRule="auto"/>
        <w:tabs>
          <w:tab w:leader="none" w:pos="190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any other remedial and recovery actions with respect to such Applicable Executive permitted by applicable legal requirements and the rules and regulations of the NYSE, as determined by the Committee.</w:t>
      </w:r>
    </w:p>
    <w:p>
      <w:pPr>
        <w:spacing w:after="0" w:line="170" w:lineRule="exact"/>
        <w:rPr>
          <w:sz w:val="20"/>
          <w:szCs w:val="20"/>
          <w:color w:val="auto"/>
        </w:rPr>
      </w:pPr>
    </w:p>
    <w:p>
      <w:pPr>
        <w:ind w:right="10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4.4. Supersedure. </w:t>
      </w:r>
      <w:r>
        <w:rPr>
          <w:rFonts w:ascii="Times New Roman" w:cs="Times New Roman" w:eastAsia="Times New Roman" w:hAnsi="Times New Roman"/>
          <w:sz w:val="20"/>
          <w:szCs w:val="20"/>
          <w:color w:val="auto"/>
        </w:rPr>
        <w:t>This Policy will supersede any provisions in (x) any agreement, plan or other arrangement applicable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current or former Executive Officer, and (y) any organizational documents of any entity that is part of the Company Group, in any such case that (a) exempt any Incentive-Based Compensation from the application of this Policy, (b) prohibit or restrict the Company Group’s right to recover any Erroneously Awarded Compensation from any current or former Executive Officer, including, without limitation, in connection with exercising any right of setoff of the Company Group as provided in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above, and/or (c) require or provide for indemnification to the extent that such indemnification is prohibited under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below.</w:t>
      </w:r>
    </w:p>
    <w:p>
      <w:pPr>
        <w:spacing w:after="0" w:line="196"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4.5. Amendment; Termination; Interpretation. </w:t>
      </w:r>
      <w:r>
        <w:rPr>
          <w:rFonts w:ascii="Times New Roman" w:cs="Times New Roman" w:eastAsia="Times New Roman" w:hAnsi="Times New Roman"/>
          <w:sz w:val="20"/>
          <w:szCs w:val="20"/>
          <w:color w:val="auto"/>
        </w:rPr>
        <w:t>The Committee may amend or terminate this Policy at any time,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compliance with all applicable legal requirements, and the rules and requirements of the NYSE. It is intended that this Policy be interpreted in a manner that is consistent with the SEC/NYSE Clawback Rules. This Policy amends and restates in its entirety, and supersedes, the clawback policy of the Company adopted on May 1, 2014, as in effect prior to the adoption of this Policy (the “</w:t>
      </w:r>
      <w:r>
        <w:rPr>
          <w:rFonts w:ascii="Times New Roman" w:cs="Times New Roman" w:eastAsia="Times New Roman" w:hAnsi="Times New Roman"/>
          <w:sz w:val="20"/>
          <w:szCs w:val="20"/>
          <w:u w:val="single" w:color="auto"/>
          <w:color w:val="auto"/>
        </w:rPr>
        <w:t>Prior Policy</w:t>
      </w:r>
      <w:r>
        <w:rPr>
          <w:rFonts w:ascii="Times New Roman" w:cs="Times New Roman" w:eastAsia="Times New Roman" w:hAnsi="Times New Roman"/>
          <w:sz w:val="20"/>
          <w:szCs w:val="20"/>
          <w:color w:val="auto"/>
        </w:rPr>
        <w:t xml:space="preserve">”), which will be of no further force and effect except as set forth in the following proviso; provided, however, that, to the extent that the Company has a right of recoupment against any Covered Executive (as defined under the Prior Policy) where there is not a right of recoupment under this Policy (without giving effect to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of this Policy) and relates to compensation associated with a performance period of the Company ending prior to the Effective Date (or, if such compensation is not associated with a performance period, relates to compensation received prior to the Effective Date), the Company may recover under the Prior Policy in accordance with the terms thereof as in effect immediately prior to the adoption of this Policy.</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1" w:name="page112"/>
    <w:bookmarkEnd w:id="111"/>
    <w:p>
      <w:pPr>
        <w:ind w:left="760"/>
        <w:spacing w:after="0"/>
        <w:rPr>
          <w:sz w:val="20"/>
          <w:szCs w:val="20"/>
          <w:color w:val="auto"/>
        </w:rPr>
      </w:pPr>
      <w:r>
        <w:rPr>
          <w:rFonts w:ascii="Times New Roman" w:cs="Times New Roman" w:eastAsia="Times New Roman" w:hAnsi="Times New Roman"/>
          <w:sz w:val="20"/>
          <w:szCs w:val="20"/>
          <w:b w:val="1"/>
          <w:bCs w:val="1"/>
          <w:color w:val="auto"/>
        </w:rPr>
        <w:t>4.6. Other Recoupment Rights; No Additional Payments.</w:t>
      </w:r>
    </w:p>
    <w:p>
      <w:pPr>
        <w:spacing w:after="0" w:line="232" w:lineRule="exact"/>
        <w:rPr>
          <w:sz w:val="20"/>
          <w:szCs w:val="20"/>
          <w:color w:val="auto"/>
        </w:rPr>
      </w:pPr>
    </w:p>
    <w:p>
      <w:pPr>
        <w:ind w:right="40" w:firstLine="757"/>
        <w:spacing w:after="0" w:line="266" w:lineRule="auto"/>
        <w:tabs>
          <w:tab w:leader="none" w:pos="1144"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right of recoupment under this Policy is in addition to, and not in lieu of, any other remedies or rights of recoupment that may be available to the Company Group pursuant to (i) the terms of any recoupment provisions in any cash incentive or equity compensation plan or award agreement, or any other agreement or plan, (ii) any other legal requirements, including, but not limited to, Section 304 of Sarbanes-Oxley Act of 2002 (subject to </w:t>
      </w:r>
      <w:r>
        <w:rPr>
          <w:rFonts w:ascii="Times New Roman" w:cs="Times New Roman" w:eastAsia="Times New Roman" w:hAnsi="Times New Roman"/>
          <w:sz w:val="19"/>
          <w:szCs w:val="19"/>
          <w:u w:val="single" w:color="auto"/>
          <w:color w:val="auto"/>
        </w:rPr>
        <w:t>Section 4.6(b)</w:t>
      </w:r>
      <w:r>
        <w:rPr>
          <w:rFonts w:ascii="Times New Roman" w:cs="Times New Roman" w:eastAsia="Times New Roman" w:hAnsi="Times New Roman"/>
          <w:sz w:val="19"/>
          <w:szCs w:val="19"/>
          <w:color w:val="auto"/>
        </w:rPr>
        <w:t xml:space="preserve"> below), and (iii) any other legal rights or remedies available to the Company.</w:t>
      </w:r>
    </w:p>
    <w:p>
      <w:pPr>
        <w:spacing w:after="0" w:line="177" w:lineRule="exact"/>
        <w:rPr>
          <w:rFonts w:ascii="Times New Roman" w:cs="Times New Roman" w:eastAsia="Times New Roman" w:hAnsi="Times New Roman"/>
          <w:sz w:val="19"/>
          <w:szCs w:val="19"/>
          <w:color w:val="auto"/>
        </w:rPr>
      </w:pPr>
    </w:p>
    <w:p>
      <w:pPr>
        <w:ind w:firstLine="403"/>
        <w:spacing w:after="0" w:line="246" w:lineRule="auto"/>
        <w:tabs>
          <w:tab w:leader="none" w:pos="79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to the extent that any Erroneously Awarded Compensation includes any amounts that have been actually reimbursed to the Company Group from any Applicable Executive pursuant to Section 304 of the Sarbanes-Oxley Act (any such amounts that have been reimbursed to the Company Group, the “</w:t>
      </w:r>
      <w:r>
        <w:rPr>
          <w:rFonts w:ascii="Times New Roman" w:cs="Times New Roman" w:eastAsia="Times New Roman" w:hAnsi="Times New Roman"/>
          <w:sz w:val="20"/>
          <w:szCs w:val="20"/>
          <w:u w:val="single" w:color="auto"/>
          <w:color w:val="auto"/>
        </w:rPr>
        <w:t>Applicable SOX Recoupment Amount</w:t>
      </w:r>
      <w:r>
        <w:rPr>
          <w:rFonts w:ascii="Times New Roman" w:cs="Times New Roman" w:eastAsia="Times New Roman" w:hAnsi="Times New Roman"/>
          <w:sz w:val="20"/>
          <w:szCs w:val="20"/>
          <w:color w:val="auto"/>
        </w:rPr>
        <w:t>”), in order to prevent duplicative recovery, the amount of any Erroneously Awarded Compensation to be recovered from any such Applicable Executive shall be reduced by the Applicable SOX Recoupment Amount.</w:t>
      </w:r>
    </w:p>
    <w:p>
      <w:pPr>
        <w:spacing w:after="0" w:line="193" w:lineRule="exact"/>
        <w:rPr>
          <w:sz w:val="20"/>
          <w:szCs w:val="20"/>
          <w:color w:val="auto"/>
        </w:rPr>
      </w:pPr>
    </w:p>
    <w:p>
      <w:pPr>
        <w:ind w:right="24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4.7 No Indemnification, Etc. </w:t>
      </w:r>
      <w:r>
        <w:rPr>
          <w:rFonts w:ascii="Times New Roman" w:cs="Times New Roman" w:eastAsia="Times New Roman" w:hAnsi="Times New Roman"/>
          <w:sz w:val="20"/>
          <w:szCs w:val="20"/>
          <w:color w:val="auto"/>
        </w:rPr>
        <w:t>No entity that is part of the Company Group shall (x) indemnify any current or former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against (i) the loss of any Erroneously Awarded Compensation that is repaid, returned or recovered pursuant to the terms of this Policy, or (ii) any claims by any such current or former Executive Officer relating to the Company Group’s enforcement of its rights under this Policy (and any current or former Executive Officer waives any right to such indemnification pursuant to this clause (x)) or (y) pay or reimburse any current or former Executive Officer for insurance premiums to recover losses incurred under this Policy.</w:t>
      </w:r>
    </w:p>
    <w:p>
      <w:pPr>
        <w:spacing w:after="0" w:line="192" w:lineRule="exact"/>
        <w:rPr>
          <w:sz w:val="20"/>
          <w:szCs w:val="20"/>
          <w:color w:val="auto"/>
        </w:rPr>
      </w:pPr>
    </w:p>
    <w:p>
      <w:pPr>
        <w:ind w:right="1000"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4.8. Successors. </w:t>
      </w:r>
      <w:r>
        <w:rPr>
          <w:rFonts w:ascii="Times New Roman" w:cs="Times New Roman" w:eastAsia="Times New Roman" w:hAnsi="Times New Roman"/>
          <w:sz w:val="20"/>
          <w:szCs w:val="20"/>
          <w:color w:val="auto"/>
        </w:rPr>
        <w:t>This Policy shall be binding and enforceable against all current or former Executive Officers and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beneficiaries, heirs, executors, administrators or other legal representatives.</w:t>
      </w:r>
    </w:p>
    <w:p>
      <w:pPr>
        <w:spacing w:after="0" w:line="166"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20"/>
          <w:szCs w:val="20"/>
          <w:b w:val="1"/>
          <w:bCs w:val="1"/>
          <w:color w:val="auto"/>
        </w:rPr>
        <w:t>Originally adopted by the Board of Directors of Genesco Inc. on May 1, 2014. Amended and restated policy recommended by the Compensation Committee of the Board of Directors on October 25, 2023, and approved by the Board of Directors on October 26, 2023.</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Form of Acknowledgment</w:t>
      </w:r>
    </w:p>
    <w:p>
      <w:pPr>
        <w:spacing w:after="0" w:line="23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Genesco Inc. Amended and Restated Compensation Recoupment Policy (as amended from time to time,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Capitalized terms used but not otherwise defined in this acknowledgment shall have the meanings ascribed to such terms in the Policy.</w:t>
      </w:r>
    </w:p>
    <w:p>
      <w:pPr>
        <w:spacing w:after="0" w:line="190"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By signing this acknowledgment,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 including, without limitation, by returning the amount of any Erroneously Awarded Compensation to the Company Group to the extent required by the Policy.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Print Name</w:t>
      </w:r>
    </w:p>
    <w:p>
      <w:pPr>
        <w:spacing w:after="0" w:line="200" w:lineRule="exact"/>
        <w:rPr>
          <w:sz w:val="20"/>
          <w:szCs w:val="20"/>
          <w:color w:val="auto"/>
        </w:rPr>
      </w:pPr>
    </w:p>
    <w:p>
      <w:pPr>
        <w:spacing w:after="0" w:line="23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Date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3" w:name="page114"/>
    <w:bookmarkEnd w:id="1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4"/>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lvl w:ilvl="1">
      <w:lvlJc w:val="left"/>
      <w:lvlText w:val="•"/>
      <w:numFmt w:val="bullet"/>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2"/>
    </w:lvl>
    <w:lvl w:ilvl="1">
      <w:lvlJc w:val="left"/>
      <w:lvlText w:val="%2."/>
      <w:numFmt w:val="lowerLetter"/>
      <w:start w:val="2"/>
    </w:lvl>
  </w:abstractNum>
  <w:abstractNum w:abstractNumId="20">
    <w:nsid w:val="2D517796"/>
    <w:multiLevelType w:val="hybridMultilevel"/>
    <w:lvl w:ilvl="0">
      <w:lvlJc w:val="left"/>
      <w:lvlText w:val="(%1)"/>
      <w:numFmt w:val="decimal"/>
      <w:start w:val="10"/>
    </w:lvl>
    <w:lvl w:ilvl="1">
      <w:lvlJc w:val="left"/>
      <w:lvlText w:val="%2."/>
      <w:numFmt w:val="lowerLetter"/>
      <w:start w:val="2"/>
    </w:lvl>
  </w:abstractNum>
  <w:abstractNum w:abstractNumId="21">
    <w:nsid w:val="580BD78F"/>
    <w:multiLevelType w:val="hybridMultilevel"/>
    <w:lvl w:ilvl="0">
      <w:lvlJc w:val="left"/>
      <w:lvlText w:val="%1."/>
      <w:numFmt w:val="lowerLetter"/>
      <w:start w:val="19"/>
    </w:lvl>
  </w:abstractNum>
  <w:abstractNum w:abstractNumId="22">
    <w:nsid w:val="153EA438"/>
    <w:multiLevelType w:val="hybridMultilevel"/>
    <w:lvl w:ilvl="0">
      <w:lvlJc w:val="left"/>
      <w:lvlText w:val="%1."/>
      <w:numFmt w:val="lowerLetter"/>
      <w:start w:val="27"/>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1."/>
      <w:numFmt w:val="decimal"/>
      <w:start w:val="1"/>
    </w:lvl>
    <w:lvl w:ilvl="1">
      <w:lvlJc w:val="left"/>
      <w:lvlText w:val="(%2)"/>
      <w:numFmt w:val="lowerLetter"/>
      <w:start w:val="1"/>
    </w:lvl>
  </w:abstractNum>
  <w:abstractNum w:abstractNumId="31">
    <w:nsid w:val="7A6D8D3C"/>
    <w:multiLevelType w:val="hybridMultilevel"/>
    <w:lvl w:ilvl="0">
      <w:lvlJc w:val="left"/>
      <w:lvlText w:val="(%1)"/>
      <w:numFmt w:val="lowerLetter"/>
      <w:start w:val="2"/>
    </w:lvl>
  </w:abstractNum>
  <w:abstractNum w:abstractNumId="32">
    <w:nsid w:val="4B588F54"/>
    <w:multiLevelType w:val="hybridMultilevel"/>
    <w:lvl w:ilvl="0">
      <w:lvlJc w:val="left"/>
      <w:lvlText w:val="%1"/>
      <w:numFmt w:val="lowerLetter"/>
      <w:start w:val="1"/>
    </w:lvl>
    <w:lvl w:ilvl="1">
      <w:lvlJc w:val="left"/>
      <w:lvlText w:val="(%2)"/>
      <w:numFmt w:val="lowerRoman"/>
      <w:start w:val="1"/>
    </w:lvl>
  </w:abstractNum>
  <w:abstractNum w:abstractNumId="33">
    <w:nsid w:val="542289EC"/>
    <w:multiLevelType w:val="hybridMultilevel"/>
    <w:lvl w:ilvl="0">
      <w:lvlJc w:val="left"/>
      <w:lvlText w:val="(%1)"/>
      <w:numFmt w:val="lowerLetter"/>
      <w:start w:val="3"/>
    </w:lvl>
    <w:lvl w:ilvl="1">
      <w:lvlJc w:val="left"/>
      <w:lvlText w:val="%2"/>
      <w:numFmt w:val="lowerRoman"/>
      <w:start w:val="1"/>
    </w:lvl>
  </w:abstractNum>
  <w:abstractNum w:abstractNumId="34">
    <w:nsid w:val="6DE91B18"/>
    <w:multiLevelType w:val="hybridMultilevel"/>
    <w:lvl w:ilvl="0">
      <w:lvlJc w:val="left"/>
      <w:lvlText w:val="%1."/>
      <w:numFmt w:val="decimal"/>
      <w:start w:val="3"/>
    </w:lvl>
  </w:abstractNum>
  <w:abstractNum w:abstractNumId="35">
    <w:nsid w:val="38437FDB"/>
    <w:multiLevelType w:val="hybridMultilevel"/>
    <w:lvl w:ilvl="0">
      <w:lvlJc w:val="left"/>
      <w:lvlText w:val="%1."/>
      <w:numFmt w:val="decimal"/>
      <w:start w:val="4"/>
    </w:lvl>
    <w:lvl w:ilvl="1">
      <w:lvlJc w:val="left"/>
      <w:lvlText w:val="(%2)"/>
      <w:numFmt w:val="lowerLetter"/>
      <w:start w:val="1"/>
    </w:lvl>
  </w:abstractNum>
  <w:abstractNum w:abstractNumId="36">
    <w:nsid w:val="7644A45C"/>
    <w:multiLevelType w:val="hybridMultilevel"/>
    <w:lvl w:ilvl="0">
      <w:lvlJc w:val="left"/>
      <w:lvlText w:val="%1."/>
      <w:numFmt w:val="decimal"/>
      <w:start w:val="5"/>
    </w:lvl>
  </w:abstractNum>
  <w:abstractNum w:abstractNumId="37">
    <w:nsid w:val="32FFF902"/>
    <w:multiLevelType w:val="hybridMultilevel"/>
    <w:lvl w:ilvl="0">
      <w:lvlJc w:val="left"/>
      <w:lvlText w:val="%1."/>
      <w:numFmt w:val="decimal"/>
      <w:start w:val="6"/>
    </w:lvl>
  </w:abstractNum>
  <w:abstractNum w:abstractNumId="38">
    <w:nsid w:val="684A481A"/>
    <w:multiLevelType w:val="hybridMultilevel"/>
    <w:lvl w:ilvl="0">
      <w:lvlJc w:val="left"/>
      <w:lvlText w:val="%1."/>
      <w:numFmt w:val="decimal"/>
      <w:start w:val="7"/>
    </w:lvl>
  </w:abstractNum>
  <w:abstractNum w:abstractNumId="39">
    <w:nsid w:val="579478FE"/>
    <w:multiLevelType w:val="hybridMultilevel"/>
    <w:lvl w:ilvl="0">
      <w:lvlJc w:val="left"/>
      <w:lvlText w:val="%1."/>
      <w:numFmt w:val="decimal"/>
      <w:start w:val="8"/>
    </w:lvl>
  </w:abstractNum>
  <w:abstractNum w:abstractNumId="40">
    <w:nsid w:val="749ABB43"/>
    <w:multiLevelType w:val="hybridMultilevel"/>
    <w:lvl w:ilvl="0">
      <w:lvlJc w:val="left"/>
      <w:lvlText w:val="%1."/>
      <w:numFmt w:val="decimal"/>
      <w:start w:val="9"/>
    </w:lvl>
  </w:abstractNum>
  <w:abstractNum w:abstractNumId="41">
    <w:nsid w:val="3DC240FB"/>
    <w:multiLevelType w:val="hybridMultilevel"/>
    <w:lvl w:ilvl="0">
      <w:lvlJc w:val="left"/>
      <w:lvlText w:val="%1."/>
      <w:numFmt w:val="decimal"/>
      <w:start w:val="10"/>
    </w:lvl>
  </w:abstractNum>
  <w:abstractNum w:abstractNumId="42">
    <w:nsid w:val="1BA026FA"/>
    <w:multiLevelType w:val="hybridMultilevel"/>
    <w:lvl w:ilvl="0">
      <w:lvlJc w:val="left"/>
      <w:lvlText w:val="%1."/>
      <w:numFmt w:val="decimal"/>
      <w:start w:val="11"/>
    </w:lvl>
  </w:abstractNum>
  <w:abstractNum w:abstractNumId="43">
    <w:nsid w:val="79A1DEAA"/>
    <w:multiLevelType w:val="hybridMultilevel"/>
    <w:lvl w:ilvl="0">
      <w:lvlJc w:val="left"/>
      <w:lvlText w:val="%1."/>
      <w:numFmt w:val="decimal"/>
      <w:start w:val="12"/>
    </w:lvl>
  </w:abstractNum>
  <w:abstractNum w:abstractNumId="44">
    <w:nsid w:val="75C6C33A"/>
    <w:multiLevelType w:val="hybridMultilevel"/>
    <w:lvl w:ilvl="0">
      <w:lvlJc w:val="left"/>
      <w:lvlText w:val="%1."/>
      <w:numFmt w:val="decimal"/>
      <w:start w:val="13"/>
    </w:lvl>
  </w:abstractNum>
  <w:abstractNum w:abstractNumId="45">
    <w:nsid w:val="12E685FB"/>
    <w:multiLevelType w:val="hybridMultilevel"/>
    <w:lvl w:ilvl="0">
      <w:lvlJc w:val="left"/>
      <w:lvlText w:val="%1."/>
      <w:numFmt w:val="decimal"/>
      <w:start w:val="14"/>
    </w:lvl>
  </w:abstractNum>
  <w:abstractNum w:abstractNumId="46">
    <w:nsid w:val="70C6A529"/>
    <w:multiLevelType w:val="hybridMultilevel"/>
    <w:lvl w:ilvl="0">
      <w:lvlJc w:val="left"/>
      <w:lvlText w:val="%1."/>
      <w:numFmt w:val="decimal"/>
      <w:start w:val="15"/>
    </w:lvl>
  </w:abstractNum>
  <w:abstractNum w:abstractNumId="47">
    <w:nsid w:val="520EEDD1"/>
    <w:multiLevelType w:val="hybridMultilevel"/>
    <w:lvl w:ilvl="0">
      <w:lvlJc w:val="left"/>
      <w:lvlText w:val="%1."/>
      <w:numFmt w:val="decimal"/>
      <w:start w:val="1"/>
    </w:lvl>
    <w:lvl w:ilvl="1">
      <w:lvlJc w:val="left"/>
      <w:lvlText w:val="%2)"/>
      <w:numFmt w:val="lowerLetter"/>
      <w:start w:val="1"/>
    </w:lvl>
  </w:abstractNum>
  <w:abstractNum w:abstractNumId="48">
    <w:nsid w:val="374A3FE6"/>
    <w:multiLevelType w:val="hybridMultilevel"/>
    <w:lvl w:ilvl="0">
      <w:lvlJc w:val="left"/>
      <w:lvlText w:val="%1."/>
      <w:numFmt w:val="decimal"/>
      <w:start w:val="1"/>
    </w:lvl>
    <w:lvl w:ilvl="1">
      <w:lvlJc w:val="left"/>
      <w:lvlText w:val="%2)"/>
      <w:numFmt w:val="lowerLetter"/>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lowerLetter"/>
      <w:start w:val="5"/>
    </w:lvl>
  </w:abstractNum>
  <w:abstractNum w:abstractNumId="53">
    <w:nsid w:val="39386575"/>
    <w:multiLevelType w:val="hybridMultilevel"/>
    <w:lvl w:ilvl="0">
      <w:lvlJc w:val="left"/>
      <w:lvlText w:val="(%1)"/>
      <w:numFmt w:val="lowerLetter"/>
      <w:start w:val="12"/>
    </w:lvl>
  </w:abstractNum>
  <w:abstractNum w:abstractNumId="54">
    <w:nsid w:val="1CF10FD8"/>
    <w:multiLevelType w:val="hybridMultilevel"/>
    <w:lvl w:ilvl="0">
      <w:lvlJc w:val="left"/>
      <w:lvlText w:val="(%1)"/>
      <w:numFmt w:val="lowerLetter"/>
      <w:start w:val="13"/>
    </w:lvl>
    <w:lvl w:ilvl="1">
      <w:lvlJc w:val="left"/>
      <w:lvlText w:val="(%2)"/>
      <w:numFmt w:val="lowerLetter"/>
      <w:start w:val="20"/>
    </w:lvl>
    <w:lvl w:ilvl="2">
      <w:lvlJc w:val="left"/>
      <w:lvlText w:val="(%3)"/>
      <w:numFmt w:val="lowerRoman"/>
      <w:start w:val="1"/>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lowerRoman"/>
      <w:start w:val="1"/>
    </w:lvl>
  </w:abstractNum>
  <w:abstractNum w:abstractNumId="57">
    <w:nsid w:val="47398C89"/>
    <w:multiLevelType w:val="hybridMultilevel"/>
    <w:lvl w:ilvl="0">
      <w:lvlJc w:val="left"/>
      <w:lvlText w:val="%1"/>
      <w:numFmt w:val="lowerLetter"/>
      <w:start w:val="1"/>
    </w:lvl>
    <w:lvl w:ilvl="1">
      <w:lvlJc w:val="left"/>
      <w:lvlText w:val="(%2)"/>
      <w:numFmt w:val="lowerLetter"/>
      <w:start w:val="1"/>
    </w:lvl>
  </w:abstractNum>
  <w:abstractNum w:abstractNumId="58">
    <w:nsid w:val="354FE9F9"/>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4" Type="http://schemas.openxmlformats.org/officeDocument/2006/relationships/image" Target="media/image191.png"/><Relationship Id="rId235" Type="http://schemas.openxmlformats.org/officeDocument/2006/relationships/image" Target="media/image192.png"/><Relationship Id="rId236" Type="http://schemas.openxmlformats.org/officeDocument/2006/relationships/image" Target="media/image193.png"/><Relationship Id="rId237" Type="http://schemas.openxmlformats.org/officeDocument/2006/relationships/image" Target="media/image194.png"/><Relationship Id="rId238" Type="http://schemas.openxmlformats.org/officeDocument/2006/relationships/image" Target="media/image195.png"/><Relationship Id="rId239" Type="http://schemas.openxmlformats.org/officeDocument/2006/relationships/image" Target="media/image196.png"/><Relationship Id="rId240" Type="http://schemas.openxmlformats.org/officeDocument/2006/relationships/image" Target="media/image197.png"/><Relationship Id="rId241"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62" Type="http://schemas.openxmlformats.org/officeDocument/2006/relationships/image" Target="media/image219.png"/><Relationship Id="rId263" Type="http://schemas.openxmlformats.org/officeDocument/2006/relationships/image" Target="media/image220.png"/><Relationship Id="rId264" Type="http://schemas.openxmlformats.org/officeDocument/2006/relationships/image" Target="media/image221.png"/><Relationship Id="rId265" Type="http://schemas.openxmlformats.org/officeDocument/2006/relationships/image" Target="media/image222.png"/><Relationship Id="rId266" Type="http://schemas.openxmlformats.org/officeDocument/2006/relationships/image" Target="media/image223.png"/><Relationship Id="rId267" Type="http://schemas.openxmlformats.org/officeDocument/2006/relationships/image" Target="media/image224.png"/><Relationship Id="rId268" Type="http://schemas.openxmlformats.org/officeDocument/2006/relationships/image" Target="media/image225.png"/><Relationship Id="rId269" Type="http://schemas.openxmlformats.org/officeDocument/2006/relationships/image" Target="media/image226.png"/><Relationship Id="rId270" Type="http://schemas.openxmlformats.org/officeDocument/2006/relationships/image" Target="media/image227.png"/><Relationship Id="rId271" Type="http://schemas.openxmlformats.org/officeDocument/2006/relationships/image" Target="media/image228.png"/><Relationship Id="rId272" Type="http://schemas.openxmlformats.org/officeDocument/2006/relationships/image" Target="media/image229.png"/><Relationship Id="rId273" Type="http://schemas.openxmlformats.org/officeDocument/2006/relationships/image" Target="media/image230.png"/><Relationship Id="rId274" Type="http://schemas.openxmlformats.org/officeDocument/2006/relationships/image" Target="media/image231.png"/><Relationship Id="rId275" Type="http://schemas.openxmlformats.org/officeDocument/2006/relationships/image" Target="media/image232.png"/><Relationship Id="rId276" Type="http://schemas.openxmlformats.org/officeDocument/2006/relationships/image" Target="media/image233.png"/><Relationship Id="rId277" Type="http://schemas.openxmlformats.org/officeDocument/2006/relationships/image" Target="media/image234.png"/><Relationship Id="rId278" Type="http://schemas.openxmlformats.org/officeDocument/2006/relationships/image" Target="media/image235.png"/><Relationship Id="rId279" Type="http://schemas.openxmlformats.org/officeDocument/2006/relationships/image" Target="media/image236.png"/><Relationship Id="rId280" Type="http://schemas.openxmlformats.org/officeDocument/2006/relationships/image" Target="media/image237.png"/><Relationship Id="rId281" Type="http://schemas.openxmlformats.org/officeDocument/2006/relationships/image" Target="media/image238.png"/><Relationship Id="rId282" Type="http://schemas.openxmlformats.org/officeDocument/2006/relationships/image" Target="media/image239.png"/><Relationship Id="rId283" Type="http://schemas.openxmlformats.org/officeDocument/2006/relationships/image" Target="media/image240.png"/><Relationship Id="rId284" Type="http://schemas.openxmlformats.org/officeDocument/2006/relationships/image" Target="media/image241.png"/><Relationship Id="rId285" Type="http://schemas.openxmlformats.org/officeDocument/2006/relationships/image" Target="media/image242.png"/><Relationship Id="rId286" Type="http://schemas.openxmlformats.org/officeDocument/2006/relationships/image" Target="media/image243.png"/><Relationship Id="rId287" Type="http://schemas.openxmlformats.org/officeDocument/2006/relationships/image" Target="media/image244.png"/><Relationship Id="rId288" Type="http://schemas.openxmlformats.org/officeDocument/2006/relationships/image" Target="media/image245.png"/><Relationship Id="rId289" Type="http://schemas.openxmlformats.org/officeDocument/2006/relationships/image" Target="media/image246.png"/><Relationship Id="rId290" Type="http://schemas.openxmlformats.org/officeDocument/2006/relationships/image" Target="media/image247.png"/><Relationship Id="rId291" Type="http://schemas.openxmlformats.org/officeDocument/2006/relationships/image" Target="media/image248.png"/><Relationship Id="rId292" Type="http://schemas.openxmlformats.org/officeDocument/2006/relationships/image" Target="media/image249.png"/><Relationship Id="rId293" Type="http://schemas.openxmlformats.org/officeDocument/2006/relationships/image" Target="media/image250.png"/><Relationship Id="rId294" Type="http://schemas.openxmlformats.org/officeDocument/2006/relationships/image" Target="media/image251.png"/><Relationship Id="rId112" Type="http://schemas.openxmlformats.org/officeDocument/2006/relationships/hyperlink" Target="https://www.sec.gov/Archives/edgar/data/18498/000001849818000050/ex21121418lids.htm" TargetMode="External"/><Relationship Id="rId113" Type="http://schemas.openxmlformats.org/officeDocument/2006/relationships/hyperlink" Target="https://www.sec.gov/Archives/edgar/data/18498/000001849819000058/ex21togast.htm" TargetMode="External"/><Relationship Id="rId114" Type="http://schemas.openxmlformats.org/officeDocument/2006/relationships/hyperlink" Target="https://www.sec.gov/Archives/edgar/data/18498/000156459021016951/gco-ex2c_202.htm" TargetMode="External"/><Relationship Id="rId115" Type="http://schemas.openxmlformats.org/officeDocument/2006/relationships/hyperlink" Target="https://www.sec.gov/Archives/edgar/data/18498/000095017022020877/gco-ex3_1.htm" TargetMode="External"/><Relationship Id="rId116" Type="http://schemas.openxmlformats.org/officeDocument/2006/relationships/hyperlink" Target="https://www.sec.gov/Archives/edgar/data/18498/000095017022026199/gco-ex3_3.htm" TargetMode="External"/><Relationship Id="rId117" Type="http://schemas.openxmlformats.org/officeDocument/2006/relationships/hyperlink" Target="https://www.sec.gov/Archives/edgar/data/18498/000095014403005944/g82475exv3.txt" TargetMode="External"/><Relationship Id="rId137" Type="http://schemas.openxmlformats.org/officeDocument/2006/relationships/hyperlink" Target="https://www.sec.gov/Archives/edgar/data/18498/000001849818000008/genesco-bamlx2018x4tharcre.htm" TargetMode="External"/><Relationship Id="rId138" Type="http://schemas.openxmlformats.org/officeDocument/2006/relationships/hyperlink" Target="https://www.sec.gov/Archives/edgar/data/18498/000001849819000006/ex101lidssale020419.htm" TargetMode="External"/><Relationship Id="rId139" Type="http://schemas.openxmlformats.org/officeDocument/2006/relationships/hyperlink" Target="https://www.sec.gov/Archives/edgar/data/18498/000156459020028679/gco-8k_20200609.htm" TargetMode="External"/><Relationship Id="rId140" Type="http://schemas.openxmlformats.org/officeDocument/2006/relationships/hyperlink" Target="https://www.sec.gov/Archives/edgar/data/18498/000095017022000748/gco-ex10_1.htm" TargetMode="External"/><Relationship Id="rId141" Type="http://schemas.openxmlformats.org/officeDocument/2006/relationships/hyperlink" Target="https://www.sec.gov/Archives/edgar/data/18498/0000950144-97-005030.txt" TargetMode="External"/><Relationship Id="rId142" Type="http://schemas.openxmlformats.org/officeDocument/2006/relationships/hyperlink" Target="https://www.sec.gov/Archives/edgar/data/18498/000001849816000083/ex101annmtg062316.htm" TargetMode="External"/><Relationship Id="rId143" Type="http://schemas.openxmlformats.org/officeDocument/2006/relationships/hyperlink" Target="https://www.sec.gov/Archives/edgar/data/0000018498/000001849820000016/gcofy202010-kq4.htm" TargetMode="External"/><Relationship Id="rId144" Type="http://schemas.openxmlformats.org/officeDocument/2006/relationships/hyperlink" Target="https://www.sec.gov/Archives/edgar/data/18498/000156459021032370/gco-ex10_114.htm" TargetMode="External"/><Relationship Id="rId145" Type="http://schemas.openxmlformats.org/officeDocument/2006/relationships/hyperlink" Target="https://www.sec.gov/Archives/edgar/data/18498/000156459021059838/gco-ex10a_29.htm" TargetMode="External"/><Relationship Id="rId146" Type="http://schemas.openxmlformats.org/officeDocument/2006/relationships/hyperlink" Target="https://www.sec.gov/Archives/edgar/data/18498/000095017023011377/gco-ex10_1.htm" TargetMode="External"/><Relationship Id="rId147" Type="http://schemas.openxmlformats.org/officeDocument/2006/relationships/hyperlink" Target="https://www.sec.gov/Archives/edgar/data/18498/000119312520143234/d896613ddef14a.htm" TargetMode="External"/><Relationship Id="rId148" Type="http://schemas.openxmlformats.org/officeDocument/2006/relationships/hyperlink" Target="https://www.sec.gov/Archives/edgar/data/18498/000119312523142978/d445507ddef14a.htm" TargetMode="External"/><Relationship Id="rId149" Type="http://schemas.openxmlformats.org/officeDocument/2006/relationships/hyperlink" Target="https://www.sec.gov/Archives/edgar/data/18498/000095014405012586/g98695exv10wc.txt" TargetMode="External"/><Relationship Id="rId150" Type="http://schemas.openxmlformats.org/officeDocument/2006/relationships/hyperlink" Target="https://www.sec.gov/Archives/edgar/data/18498/000095014405012586/g98695exv10wd.txt" TargetMode="External"/><Relationship Id="rId151" Type="http://schemas.openxmlformats.org/officeDocument/2006/relationships/hyperlink" Target="https://www.sec.gov/Archives/edgar/data/18498/000095014405012586/g98695exv10we.txt" TargetMode="External"/><Relationship Id="rId152" Type="http://schemas.openxmlformats.org/officeDocument/2006/relationships/hyperlink" Target="https://www.sec.gov/Archives/edgar/data/18498/000095014405012586/g98695exv10wf.txt" TargetMode="External"/><Relationship Id="rId153" Type="http://schemas.openxmlformats.org/officeDocument/2006/relationships/hyperlink" Target="https://www.sec.gov/Archives/edgar/data/18498/000095012309042323/g20467exv10wa.htm" TargetMode="External"/><Relationship Id="rId154" Type="http://schemas.openxmlformats.org/officeDocument/2006/relationships/hyperlink" Target="https://www.sec.gov/Archives/edgar/data/18498/000095017023026918/gco-ex10_2.htm" TargetMode="External"/><Relationship Id="rId202" Type="http://schemas.openxmlformats.org/officeDocument/2006/relationships/hyperlink" Target="https://www.sec.gov/Archives/edgar/data/18498/000095017023026918/gco-ex10_3.htm" TargetMode="External"/><Relationship Id="rId203" Type="http://schemas.openxmlformats.org/officeDocument/2006/relationships/hyperlink" Target="https://www.sec.gov/Archives/edgar/data/18498/000095014408008032/g16357exv10w1.htm" TargetMode="External"/><Relationship Id="rId204" Type="http://schemas.openxmlformats.org/officeDocument/2006/relationships/hyperlink" Target="https://www.sec.gov/Archives/edgar/data/18498/000095014408009201/g16954qexv10w2.htm" TargetMode="External"/><Relationship Id="rId205" Type="http://schemas.openxmlformats.org/officeDocument/2006/relationships/hyperlink" Target="https://www.sec.gov/Archives/edgar/data/18498/000095012310030948/g22711exv10ws.htm" TargetMode="External"/><Relationship Id="rId206" Type="http://schemas.openxmlformats.org/officeDocument/2006/relationships/hyperlink" Target="https://www.sec.gov/Archives/edgar/data/18498/000001849819000047/ex101epa.htm" TargetMode="External"/><Relationship Id="rId207" Type="http://schemas.openxmlformats.org/officeDocument/2006/relationships/hyperlink" Target="https://www.sec.gov/Archives/edgar/data/18498/000095014408002576/g12595exv10wr.htm" TargetMode="External"/><Relationship Id="rId226" Type="http://schemas.openxmlformats.org/officeDocument/2006/relationships/hyperlink" Target="https://www.sec.gov/Archives/edgar/data/18498/000095012311083483/g25506exv10wa.htm" TargetMode="External"/><Relationship Id="rId227" Type="http://schemas.openxmlformats.org/officeDocument/2006/relationships/hyperlink" Target="https://www.sec.gov/Archives/edgar/data/18498/000095017023045544/gco-ex10_1.htm" TargetMode="External"/><Relationship Id="rId228" Type="http://schemas.openxmlformats.org/officeDocument/2006/relationships/hyperlink" Target="https://www.sec.gov/Archives/edgar/data/18498/000095014409003670/g18837exv10w1.htm" TargetMode="External"/><Relationship Id="rId229" Type="http://schemas.openxmlformats.org/officeDocument/2006/relationships/hyperlink" Target="https://www.sec.gov/Archives/edgar/data/18498/000095014409003670/g18837exv10w2.htm" TargetMode="External"/><Relationship Id="rId230" Type="http://schemas.openxmlformats.org/officeDocument/2006/relationships/hyperlink" Target="https://www.sec.gov/Archives/edgar/data/18498/000095012309056341/g21041exv10w1.htm" TargetMode="External"/><Relationship Id="rId231" Type="http://schemas.openxmlformats.org/officeDocument/2006/relationships/hyperlink" Target="https://www.sec.gov/Archives/edgar/data/18498/000095012309059073/g21130exv10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2024-03-27T10:10:27Z</dcterms:created>
  <dcterms:modified xsi:type="dcterms:W3CDTF">2024-03-27T10:10:27Z</dcterms:modified>
</cp:coreProperties>
</file>