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GENESCO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$1.00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BRADLEY L. RADOFF</w:t>
              <w:br/>
              <w:t xml:space="preserve">2727 Kirby Drive, Unit 29L, </w:t>
              <w:br/>
              <w:t>Houston, TX, 77098</w:t>
              <w:br/>
              <w:t>713-482-2196</w:t>
            </w:r>
          </w:p>
          <w:p>
            <w:pPr>
              <w:pStyle w:val="TableContents"/>
              <w:bidi w:val="0"/>
              <w:jc w:val="left"/>
              <w:rPr/>
            </w:pPr>
            <w:r>
              <w:rPr/>
            </w:r>
          </w:p>
          <w:p>
            <w:pPr>
              <w:pStyle w:val="TableContents"/>
              <w:bidi w:val="0"/>
              <w:spacing w:before="0" w:after="0"/>
              <w:jc w:val="center"/>
              <w:rPr>
                <w:b/>
                <w:color w:val="0000FF"/>
              </w:rPr>
            </w:pPr>
            <w:r>
              <w:rPr>
                <w:b/>
                <w:color w:val="0000FF"/>
              </w:rPr>
              <w:t>CHRISTOPHER MARTIN</w:t>
              <w:br/>
              <w:t>JUMANA CAPITAL INVESTMENTS LLC, 1717 St. James Place, Suite 335</w:t>
              <w:br/>
              <w:t>Houston, TX, 77056</w:t>
              <w:br/>
              <w:t>281-915-2704</w:t>
            </w:r>
          </w:p>
          <w:p>
            <w:pPr>
              <w:pStyle w:val="TableContents"/>
              <w:bidi w:val="0"/>
              <w:jc w:val="left"/>
              <w:rPr/>
            </w:pPr>
            <w:r>
              <w:rPr/>
            </w:r>
          </w:p>
          <w:p>
            <w:pPr>
              <w:pStyle w:val="TableContents"/>
              <w:bidi w:val="0"/>
              <w:spacing w:before="0" w:after="0"/>
              <w:jc w:val="center"/>
              <w:rPr>
                <w:b/>
                <w:color w:val="0000FF"/>
              </w:rPr>
            </w:pPr>
            <w:r>
              <w:rPr>
                <w:b/>
                <w:color w:val="0000FF"/>
              </w:rPr>
              <w:t>RYAN NEBEL</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Radoff Bradley Louis</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480,000.00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480,000.00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4.3 %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Jumana Capital Investments LLC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535,000.00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535,000.00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535,000.00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4.8 %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Martin Christopher Ross</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535,000.00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535,000.00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535,000.00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4.8 %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Item 1.</w:t>
            </w:r>
          </w:p>
        </w:tc>
        <w:tc>
          <w:tcPr>
            <w:tcW w:w="9043" w:type="dxa"/>
            <w:tcBorders/>
            <w:vAlign w:val="center"/>
          </w:tcPr>
          <w:p>
            <w:pPr>
              <w:pStyle w:val="TableContents"/>
              <w:bidi w:val="0"/>
              <w:spacing w:before="0" w:after="283"/>
              <w:jc w:val="left"/>
              <w:rPr/>
            </w:pPr>
            <w:r>
              <w:rPr/>
              <w:t>Security and Issuer</w:t>
            </w:r>
          </w:p>
        </w:tc>
      </w:tr>
      <w:tr>
        <w:trPr/>
        <w:tc>
          <w:tcPr>
            <w:tcW w:w="1162" w:type="dxa"/>
            <w:tcBorders/>
            <w:vAlign w:val="center"/>
          </w:tcPr>
          <w:p>
            <w:pPr>
              <w:pStyle w:val="TableContents"/>
              <w:bidi w:val="0"/>
              <w:spacing w:before="0" w:after="283"/>
              <w:jc w:val="left"/>
              <w:rPr/>
            </w:pPr>
            <w:r>
              <w:rPr/>
              <w:t>(a)</w:t>
            </w:r>
          </w:p>
        </w:tc>
        <w:tc>
          <w:tcPr>
            <w:tcW w:w="904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$1.00 par value</w:t>
            </w:r>
          </w:p>
        </w:tc>
      </w:tr>
      <w:tr>
        <w:trPr/>
        <w:tc>
          <w:tcPr>
            <w:tcW w:w="1162" w:type="dxa"/>
            <w:tcBorders/>
            <w:vAlign w:val="center"/>
          </w:tcPr>
          <w:p>
            <w:pPr>
              <w:pStyle w:val="TableContents"/>
              <w:bidi w:val="0"/>
              <w:spacing w:before="0" w:after="283"/>
              <w:jc w:val="left"/>
              <w:rPr/>
            </w:pPr>
            <w:r>
              <w:rPr/>
              <w:t>(b)</w:t>
            </w:r>
          </w:p>
        </w:tc>
        <w:tc>
          <w:tcPr>
            <w:tcW w:w="9043" w:type="dxa"/>
            <w:tcBorders/>
            <w:vAlign w:val="center"/>
          </w:tcPr>
          <w:p>
            <w:pPr>
              <w:pStyle w:val="TableContents"/>
              <w:bidi w:val="0"/>
              <w:jc w:val="left"/>
              <w:rPr/>
            </w:pPr>
            <w:r>
              <w:rPr/>
              <w:t xml:space="preserve">Name of Issuer: </w:t>
            </w:r>
          </w:p>
          <w:p>
            <w:pPr>
              <w:pStyle w:val="TableContents"/>
              <w:bidi w:val="0"/>
              <w:spacing w:before="0" w:after="0"/>
              <w:jc w:val="left"/>
              <w:rPr/>
            </w:pPr>
            <w:r>
              <w:rPr/>
              <w:t>GENESCO INC</w:t>
            </w:r>
          </w:p>
        </w:tc>
      </w:tr>
      <w:tr>
        <w:trPr/>
        <w:tc>
          <w:tcPr>
            <w:tcW w:w="1162" w:type="dxa"/>
            <w:tcBorders/>
            <w:vAlign w:val="center"/>
          </w:tcPr>
          <w:p>
            <w:pPr>
              <w:pStyle w:val="TableContents"/>
              <w:bidi w:val="0"/>
              <w:spacing w:before="0" w:after="283"/>
              <w:jc w:val="left"/>
              <w:rPr/>
            </w:pPr>
            <w:r>
              <w:rPr/>
              <w:t>(c)</w:t>
            </w:r>
          </w:p>
        </w:tc>
        <w:tc>
          <w:tcPr>
            <w:tcW w:w="904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535 MARRIOTT DRIVE, 12TH FLOOR, NASHVILLE, TENNESSEE , 37214.</w:t>
            </w:r>
          </w:p>
        </w:tc>
      </w:tr>
      <w:tr>
        <w:trPr/>
        <w:tc>
          <w:tcPr>
            <w:tcW w:w="1162" w:type="dxa"/>
            <w:tcBorders/>
            <w:vAlign w:val="center"/>
          </w:tcPr>
          <w:p>
            <w:pPr>
              <w:pStyle w:val="TableContents"/>
              <w:bidi w:val="0"/>
              <w:spacing w:before="0" w:after="283"/>
              <w:jc w:val="left"/>
              <w:rPr/>
            </w:pPr>
            <w:r>
              <w:rPr/>
              <w:t>Item 2.</w:t>
            </w:r>
          </w:p>
        </w:tc>
        <w:tc>
          <w:tcPr>
            <w:tcW w:w="9043" w:type="dxa"/>
            <w:tcBorders/>
            <w:vAlign w:val="center"/>
          </w:tcPr>
          <w:p>
            <w:pPr>
              <w:pStyle w:val="TableContents"/>
              <w:bidi w:val="0"/>
              <w:spacing w:before="0" w:after="283"/>
              <w:jc w:val="left"/>
              <w:rPr/>
            </w:pPr>
            <w:r>
              <w:rPr/>
              <w:t>Identity and Background</w:t>
            </w:r>
          </w:p>
        </w:tc>
      </w:tr>
      <w:tr>
        <w:trPr/>
        <w:tc>
          <w:tcPr>
            <w:tcW w:w="1162" w:type="dxa"/>
            <w:tcBorders/>
            <w:vAlign w:val="center"/>
          </w:tcPr>
          <w:p>
            <w:pPr>
              <w:pStyle w:val="TableContents"/>
              <w:bidi w:val="0"/>
              <w:spacing w:before="0" w:after="283"/>
              <w:jc w:val="left"/>
              <w:rPr/>
            </w:pPr>
            <w:r>
              <w:rPr/>
              <w:t>(a)</w:t>
            </w:r>
          </w:p>
        </w:tc>
        <w:tc>
          <w:tcPr>
            <w:tcW w:w="9043" w:type="dxa"/>
            <w:tcBorders/>
            <w:vAlign w:val="center"/>
          </w:tcPr>
          <w:p>
            <w:pPr>
              <w:pStyle w:val="TableContents"/>
              <w:bidi w:val="0"/>
              <w:spacing w:before="0" w:after="0"/>
              <w:jc w:val="left"/>
              <w:rPr/>
            </w:pPr>
            <w:r>
              <w:rPr/>
              <w:t>Item 2(a) is hereby amended to add the following: On August 3, 2026, the Reporting Persons mutually agreed in writing to cease the coordination of their activities with respect to the Issuer (the "Termination Agreement"). In connection with the Termination Agreement, which is attached as Exhibit 99.1 hereto and incorporated herein by reference, the Reporting Persons are no longer members of a Section 13(d) group and shall cease to be Reporting Persons immediately after the filing of this Amendment No. 3 to the Schedule 13D.</w:t>
            </w:r>
          </w:p>
        </w:tc>
      </w:tr>
      <w:tr>
        <w:trPr/>
        <w:tc>
          <w:tcPr>
            <w:tcW w:w="1162" w:type="dxa"/>
            <w:tcBorders/>
            <w:vAlign w:val="center"/>
          </w:tcPr>
          <w:p>
            <w:pPr>
              <w:pStyle w:val="TableContents"/>
              <w:bidi w:val="0"/>
              <w:spacing w:before="0" w:after="283"/>
              <w:jc w:val="left"/>
              <w:rPr/>
            </w:pPr>
            <w:r>
              <w:rPr/>
              <w:t>Item 3.</w:t>
            </w:r>
          </w:p>
        </w:tc>
        <w:tc>
          <w:tcPr>
            <w:tcW w:w="9043" w:type="dxa"/>
            <w:tcBorders/>
            <w:vAlign w:val="center"/>
          </w:tcPr>
          <w:p>
            <w:pPr>
              <w:pStyle w:val="TableContents"/>
              <w:bidi w:val="0"/>
              <w:spacing w:before="0" w:after="283"/>
              <w:jc w:val="left"/>
              <w:rPr/>
            </w:pPr>
            <w:r>
              <w:rPr/>
              <w:t>Source and Amount of Funds or Other Consideration</w:t>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jc w:val="left"/>
              <w:rPr/>
            </w:pPr>
            <w:r>
              <w:rPr/>
              <w:t>Item 3 is hereby amended and restated to read as follows: The Shares directly owned by Mr. Radoff were purchased with personal funds (which may, at any given time, include margin loans made by brokerage firms in the ordinary course of business). The aggregate purchase price of the 480,000 Shares directly owned by Mr. Radoff is approximately $13,776,359, including brokerage commissions. The Shares purchased by Jumana Capital were purchased with working capital (which may, at any given time, include margin loans made by brokerage firms in the ordinary course of business). The aggregate purchase price of the 535,000 Shares directly owned by Jumana Capital is approximately $16,438,218, including brokerage commissions.</w:t>
            </w:r>
          </w:p>
        </w:tc>
      </w:tr>
      <w:tr>
        <w:trPr/>
        <w:tc>
          <w:tcPr>
            <w:tcW w:w="1162" w:type="dxa"/>
            <w:tcBorders/>
            <w:vAlign w:val="center"/>
          </w:tcPr>
          <w:p>
            <w:pPr>
              <w:pStyle w:val="TableContents"/>
              <w:bidi w:val="0"/>
              <w:spacing w:before="0" w:after="283"/>
              <w:jc w:val="left"/>
              <w:rPr/>
            </w:pPr>
            <w:r>
              <w:rPr/>
              <w:t>Item 5.</w:t>
            </w:r>
          </w:p>
        </w:tc>
        <w:tc>
          <w:tcPr>
            <w:tcW w:w="9043" w:type="dxa"/>
            <w:tcBorders/>
            <w:vAlign w:val="center"/>
          </w:tcPr>
          <w:p>
            <w:pPr>
              <w:pStyle w:val="TableContents"/>
              <w:bidi w:val="0"/>
              <w:spacing w:before="0" w:after="283"/>
              <w:jc w:val="left"/>
              <w:rPr/>
            </w:pPr>
            <w:r>
              <w:rPr/>
              <w:t>Interest in Securities of the Issuer</w:t>
            </w:r>
          </w:p>
        </w:tc>
      </w:tr>
      <w:tr>
        <w:trPr/>
        <w:tc>
          <w:tcPr>
            <w:tcW w:w="1162" w:type="dxa"/>
            <w:tcBorders/>
            <w:vAlign w:val="center"/>
          </w:tcPr>
          <w:p>
            <w:pPr>
              <w:pStyle w:val="TableContents"/>
              <w:bidi w:val="0"/>
              <w:spacing w:before="0" w:after="283"/>
              <w:jc w:val="left"/>
              <w:rPr/>
            </w:pPr>
            <w:r>
              <w:rPr/>
              <w:t>(a)</w:t>
            </w:r>
          </w:p>
        </w:tc>
        <w:tc>
          <w:tcPr>
            <w:tcW w:w="9043" w:type="dxa"/>
            <w:tcBorders/>
            <w:vAlign w:val="center"/>
          </w:tcPr>
          <w:p>
            <w:pPr>
              <w:pStyle w:val="TableContents"/>
              <w:bidi w:val="0"/>
              <w:spacing w:before="0" w:after="0"/>
              <w:jc w:val="left"/>
              <w:rPr/>
            </w:pPr>
            <w:r>
              <w:rPr/>
              <w:t>Item 5(a) is hereby amended and restated to read as follows: The aggregate percentage of Shares reported owned by each person named herein is based on 11,106,973 Shares outstanding as of June 11, 2026, which is the total number of Shares outstanding as disclosed in the Issuer's definitive proxy statement on Schedule 14A filed with the Securities and Exchange Commission on June 15, 2026. As of the date hereof, Mr. Radoff directly beneficially owned 480,000 Shares, constituting approximately 4.3% of the Shares outstanding. As of the date hereof, Jumana Capital directly beneficially owned 535,000 Shares, constituting approximately 4.8% of the Shares outstanding. Mr. Martin, as the Manager of Jumana Capital, may be deemed the beneficial owner of the 535,000 Shares owned by Jumana Capital, constituting approximately 4.8% of the Shares outstanding. Each Reporting Person disclaims beneficial ownership of the Shares that he or it does not directly own.</w:t>
            </w:r>
          </w:p>
        </w:tc>
      </w:tr>
      <w:tr>
        <w:trPr/>
        <w:tc>
          <w:tcPr>
            <w:tcW w:w="1162" w:type="dxa"/>
            <w:tcBorders/>
            <w:vAlign w:val="center"/>
          </w:tcPr>
          <w:p>
            <w:pPr>
              <w:pStyle w:val="TableContents"/>
              <w:bidi w:val="0"/>
              <w:spacing w:before="0" w:after="283"/>
              <w:jc w:val="left"/>
              <w:rPr/>
            </w:pPr>
            <w:r>
              <w:rPr/>
              <w:t>(c)</w:t>
            </w:r>
          </w:p>
        </w:tc>
        <w:tc>
          <w:tcPr>
            <w:tcW w:w="9043" w:type="dxa"/>
            <w:tcBorders/>
            <w:vAlign w:val="center"/>
          </w:tcPr>
          <w:p>
            <w:pPr>
              <w:pStyle w:val="TableContents"/>
              <w:bidi w:val="0"/>
              <w:spacing w:before="0" w:after="0"/>
              <w:jc w:val="left"/>
              <w:rPr/>
            </w:pPr>
            <w:r>
              <w:rPr/>
              <w:t>Item 5(c) is hereby amended and restated to read as follows: The transactions in securities of the Issuer by the Reporting Persons since the filing of Amendment No. 2 to the Schedule 13D are set forth in Exhibit 1 and are incorporated herein by reference. All of such transactions were effected in the open market unless otherwise noted therein.</w:t>
            </w:r>
          </w:p>
        </w:tc>
      </w:tr>
      <w:tr>
        <w:trPr/>
        <w:tc>
          <w:tcPr>
            <w:tcW w:w="1162" w:type="dxa"/>
            <w:tcBorders/>
            <w:vAlign w:val="center"/>
          </w:tcPr>
          <w:p>
            <w:pPr>
              <w:pStyle w:val="TableContents"/>
              <w:bidi w:val="0"/>
              <w:spacing w:before="0" w:after="283"/>
              <w:jc w:val="left"/>
              <w:rPr/>
            </w:pPr>
            <w:r>
              <w:rPr/>
              <w:t>(e)</w:t>
            </w:r>
          </w:p>
        </w:tc>
        <w:tc>
          <w:tcPr>
            <w:tcW w:w="9043" w:type="dxa"/>
            <w:tcBorders/>
            <w:vAlign w:val="center"/>
          </w:tcPr>
          <w:p>
            <w:pPr>
              <w:pStyle w:val="TableContents"/>
              <w:bidi w:val="0"/>
              <w:spacing w:before="0" w:after="0"/>
              <w:jc w:val="left"/>
              <w:rPr/>
            </w:pPr>
            <w:r>
              <w:rPr/>
              <w:t>Item 5(e) is hereby amended and restated to read as follows: As of August 3, 2026, effective upon the Termination Agreement, the Reporting Persons ceased to collectively beneficially own over 5% of the Shares.</w:t>
            </w:r>
          </w:p>
        </w:tc>
      </w:tr>
      <w:tr>
        <w:trPr/>
        <w:tc>
          <w:tcPr>
            <w:tcW w:w="1162" w:type="dxa"/>
            <w:tcBorders/>
            <w:vAlign w:val="center"/>
          </w:tcPr>
          <w:p>
            <w:pPr>
              <w:pStyle w:val="TableContents"/>
              <w:bidi w:val="0"/>
              <w:spacing w:before="0" w:after="283"/>
              <w:jc w:val="left"/>
              <w:rPr/>
            </w:pPr>
            <w:r>
              <w:rPr/>
              <w:t>Item 6.</w:t>
            </w:r>
          </w:p>
        </w:tc>
        <w:tc>
          <w:tcPr>
            <w:tcW w:w="9043"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jc w:val="left"/>
              <w:rPr/>
            </w:pPr>
            <w:r>
              <w:rPr/>
              <w:t>Item 6 is hereby amended to add the following: On August 3, 2026, the Reporting Persons executed the Termination Agreement, thereby terminating the coordination of their activities with respect to the Issuer. A copy of the Termination Agreement is attached as Exhibit 99.1 hereto and is incorporated herein by reference.</w:t>
            </w:r>
          </w:p>
        </w:tc>
      </w:tr>
      <w:tr>
        <w:trPr/>
        <w:tc>
          <w:tcPr>
            <w:tcW w:w="1162" w:type="dxa"/>
            <w:tcBorders/>
            <w:vAlign w:val="center"/>
          </w:tcPr>
          <w:p>
            <w:pPr>
              <w:pStyle w:val="TableContents"/>
              <w:bidi w:val="0"/>
              <w:spacing w:before="0" w:after="283"/>
              <w:jc w:val="left"/>
              <w:rPr/>
            </w:pPr>
            <w:r>
              <w:rPr/>
              <w:t>Item 7.</w:t>
            </w:r>
          </w:p>
        </w:tc>
        <w:tc>
          <w:tcPr>
            <w:tcW w:w="9043" w:type="dxa"/>
            <w:tcBorders/>
            <w:vAlign w:val="center"/>
          </w:tcPr>
          <w:p>
            <w:pPr>
              <w:pStyle w:val="TableContents"/>
              <w:bidi w:val="0"/>
              <w:spacing w:before="0" w:after="283"/>
              <w:jc w:val="left"/>
              <w:rPr/>
            </w:pPr>
            <w:r>
              <w:rPr/>
              <w:t>Material to be Filed as Exhibits.</w:t>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jc w:val="left"/>
              <w:rPr/>
            </w:pPr>
            <w:r>
              <w:rPr/>
              <w:t>Item 7 is hereby amended to add the following exhibits: 1 - Transactions in Securities. 99.1 - Termination Agreement, dated August 3,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Radoff Bradley Louis</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3"/>
        <w:gridCol w:w="4412"/>
      </w:tblGrid>
      <w:tr>
        <w:trPr/>
        <w:tc>
          <w:tcPr>
            <w:tcW w:w="57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Bradley L. Radoff</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Bradley L. Radoff</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412" w:type="dxa"/>
            <w:tcBorders/>
            <w:vAlign w:val="center"/>
          </w:tcPr>
          <w:p>
            <w:pPr>
              <w:pStyle w:val="TableContents"/>
              <w:bidi w:val="0"/>
              <w:spacing w:before="0" w:after="283"/>
              <w:jc w:val="left"/>
              <w:rPr>
                <w:sz w:val="4"/>
                <w:szCs w:val="4"/>
              </w:rPr>
            </w:pPr>
            <w:r>
              <w:rPr>
                <w:sz w:val="4"/>
                <w:szCs w:val="4"/>
              </w:rPr>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Jumana Capital Investments LLC</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9"/>
        <w:gridCol w:w="4276"/>
      </w:tblGrid>
      <w:tr>
        <w:trPr/>
        <w:tc>
          <w:tcPr>
            <w:tcW w:w="59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Christopher R. Martin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Christopher R. Martin, Manager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276" w:type="dxa"/>
            <w:tcBorders/>
            <w:vAlign w:val="center"/>
          </w:tcPr>
          <w:p>
            <w:pPr>
              <w:pStyle w:val="TableContents"/>
              <w:bidi w:val="0"/>
              <w:spacing w:before="0" w:after="283"/>
              <w:jc w:val="left"/>
              <w:rPr>
                <w:sz w:val="4"/>
                <w:szCs w:val="4"/>
              </w:rPr>
            </w:pPr>
            <w:r>
              <w:rPr>
                <w:sz w:val="4"/>
                <w:szCs w:val="4"/>
              </w:rPr>
            </w:r>
          </w:p>
        </w:tc>
      </w:tr>
    </w:tbl>
    <w:tbl>
      <w:tblPr>
        <w:tblW w:w="5280" w:type="dxa"/>
        <w:jc w:val="left"/>
        <w:tblInd w:w="0" w:type="dxa"/>
        <w:tblLayout w:type="fixed"/>
        <w:tblCellMar>
          <w:top w:w="28" w:type="dxa"/>
          <w:left w:w="28" w:type="dxa"/>
          <w:bottom w:w="28" w:type="dxa"/>
          <w:right w:w="28" w:type="dxa"/>
        </w:tblCellMar>
      </w:tblPr>
      <w:tblGrid>
        <w:gridCol w:w="2640"/>
        <w:gridCol w:w="2640"/>
      </w:tblGrid>
      <w:tr>
        <w:trPr/>
        <w:tc>
          <w:tcPr>
            <w:tcW w:w="2640" w:type="dxa"/>
            <w:tcBorders/>
            <w:vAlign w:val="center"/>
          </w:tcPr>
          <w:p>
            <w:pPr>
              <w:pStyle w:val="TableContents"/>
              <w:bidi w:val="0"/>
              <w:spacing w:before="0" w:after="0"/>
              <w:jc w:val="left"/>
              <w:rPr/>
            </w:pPr>
            <w:r>
              <w:rPr/>
              <w:t> </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0"/>
                    <w:jc w:val="left"/>
                    <w:rPr/>
                  </w:pPr>
                  <w:r>
                    <w:rPr/>
                    <w:t>Martin Christopher Ross</w:t>
                  </w:r>
                </w:p>
              </w:tc>
            </w:tr>
          </w:tbl>
          <w:p>
            <w:pPr>
              <w:pStyle w:val="TableContents"/>
              <w:bidi w:val="0"/>
              <w:spacing w:before="0" w:after="283"/>
              <w:jc w:val="left"/>
              <w:rPr/>
            </w:pPr>
            <w:r>
              <w:rPr/>
            </w:r>
          </w:p>
        </w:tc>
        <w:tc>
          <w:tcPr>
            <w:tcW w:w="264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4"/>
        <w:gridCol w:w="4281"/>
      </w:tblGrid>
      <w:tr>
        <w:trPr/>
        <w:tc>
          <w:tcPr>
            <w:tcW w:w="59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Christopher R. Martin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Christopher R. Martin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28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22" w:name="ex1to13da309076076_080326.htm"/>
      <w:bookmarkStart w:id="23" w:name="ksex1to13da309076076_080326"/>
      <w:bookmarkEnd w:id="22"/>
      <w:bookmarkEnd w:id="23"/>
      <w:r>
        <w:rPr>
          <w:rFonts w:ascii="Times New Roman;Times;Serif" w:hAnsi="Times New Roman;Times;Serif"/>
          <w:b w:val="false"/>
          <w:i w:val="false"/>
          <w:caps w:val="false"/>
          <w:smallCaps w:val="false"/>
          <w:sz w:val="20"/>
        </w:rPr>
        <w:t>Exhibit 1</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the Securities of the Issuer Since the Filing of Amendment No. 2 to the Schedule 13D</w:t>
      </w:r>
    </w:p>
    <w:tbl>
      <w:tblPr>
        <w:tblW w:w="5675" w:type="dxa"/>
        <w:jc w:val="left"/>
        <w:tblInd w:w="0" w:type="dxa"/>
        <w:tblLayout w:type="fixed"/>
        <w:tblCellMar>
          <w:top w:w="0" w:type="dxa"/>
          <w:left w:w="0" w:type="dxa"/>
          <w:bottom w:w="0" w:type="dxa"/>
          <w:right w:w="0" w:type="dxa"/>
        </w:tblCellMar>
      </w:tblPr>
      <w:tblGrid>
        <w:gridCol w:w="2090"/>
        <w:gridCol w:w="1730"/>
        <w:gridCol w:w="695"/>
        <w:gridCol w:w="1160"/>
      </w:tblGrid>
      <w:tr>
        <w:trPr/>
        <w:tc>
          <w:tcPr>
            <w:tcW w:w="20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Nature of the Transaction</w:t>
            </w:r>
          </w:p>
        </w:tc>
        <w:tc>
          <w:tcPr>
            <w:tcW w:w="173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Securities</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Purchased/(Sold)</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Price ($)</w:t>
            </w:r>
          </w:p>
        </w:tc>
        <w:tc>
          <w:tcPr>
            <w:tcW w:w="116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Purchase/Sale</w:t>
            </w:r>
          </w:p>
        </w:tc>
      </w:tr>
    </w:tbl>
    <w:p>
      <w:pPr>
        <w:pStyle w:val="TextBody"/>
        <w:bidi w:val="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BRADLEY L. RADOFF</w:t>
      </w:r>
    </w:p>
    <w:tbl>
      <w:tblPr>
        <w:tblW w:w="5285" w:type="dxa"/>
        <w:jc w:val="left"/>
        <w:tblInd w:w="0" w:type="dxa"/>
        <w:tblLayout w:type="fixed"/>
        <w:tblCellMar>
          <w:top w:w="0" w:type="dxa"/>
          <w:left w:w="0" w:type="dxa"/>
          <w:bottom w:w="0" w:type="dxa"/>
          <w:right w:w="0" w:type="dxa"/>
        </w:tblCellMar>
      </w:tblPr>
      <w:tblGrid>
        <w:gridCol w:w="2690"/>
        <w:gridCol w:w="680"/>
        <w:gridCol w:w="800"/>
        <w:gridCol w:w="1115"/>
      </w:tblGrid>
      <w:tr>
        <w:trPr/>
        <w:tc>
          <w:tcPr>
            <w:tcW w:w="2690" w:type="dxa"/>
            <w:tcBorders/>
            <w:shd w:fill="CCEEFF" w:val="clear"/>
            <w:vAlign w:val="center"/>
          </w:tcPr>
          <w:p>
            <w:pPr>
              <w:pStyle w:val="TableContents"/>
              <w:bidi w:val="0"/>
              <w:spacing w:before="0" w:after="283"/>
              <w:jc w:val="left"/>
              <w:rPr/>
            </w:pPr>
            <w:r>
              <w:rPr/>
              <w:t>Purchase of Common Stock</w:t>
            </w:r>
          </w:p>
        </w:tc>
        <w:tc>
          <w:tcPr>
            <w:tcW w:w="680" w:type="dxa"/>
            <w:tcBorders/>
            <w:shd w:fill="CCEEFF" w:val="clear"/>
            <w:vAlign w:val="center"/>
          </w:tcPr>
          <w:p>
            <w:pPr>
              <w:pStyle w:val="TableContents"/>
              <w:bidi w:val="0"/>
              <w:spacing w:before="0" w:after="283"/>
              <w:jc w:val="center"/>
              <w:rPr/>
            </w:pPr>
            <w:r>
              <w:rPr/>
              <w:t>10,000</w:t>
            </w:r>
          </w:p>
        </w:tc>
        <w:tc>
          <w:tcPr>
            <w:tcW w:w="800" w:type="dxa"/>
            <w:tcBorders/>
            <w:shd w:fill="CCEEFF" w:val="clear"/>
            <w:vAlign w:val="center"/>
          </w:tcPr>
          <w:p>
            <w:pPr>
              <w:pStyle w:val="TableContents"/>
              <w:bidi w:val="0"/>
              <w:spacing w:before="0" w:after="283"/>
              <w:jc w:val="center"/>
              <w:rPr/>
            </w:pPr>
            <w:r>
              <w:rPr/>
              <w:t>33.8401</w:t>
            </w:r>
          </w:p>
        </w:tc>
        <w:tc>
          <w:tcPr>
            <w:tcW w:w="1115" w:type="dxa"/>
            <w:tcBorders/>
            <w:shd w:fill="CCEEFF" w:val="clear"/>
            <w:vAlign w:val="center"/>
          </w:tcPr>
          <w:p>
            <w:pPr>
              <w:pStyle w:val="TableContents"/>
              <w:bidi w:val="0"/>
              <w:spacing w:before="0" w:after="283"/>
              <w:jc w:val="center"/>
              <w:rPr/>
            </w:pPr>
            <w:r>
              <w:rPr/>
              <w:t>06/30/2026</w:t>
            </w:r>
          </w:p>
        </w:tc>
      </w:tr>
      <w:tr>
        <w:trPr/>
        <w:tc>
          <w:tcPr>
            <w:tcW w:w="2690" w:type="dxa"/>
            <w:tcBorders/>
            <w:shd w:fill="FFFFFF" w:val="clear"/>
            <w:vAlign w:val="center"/>
          </w:tcPr>
          <w:p>
            <w:pPr>
              <w:pStyle w:val="TableContents"/>
              <w:bidi w:val="0"/>
              <w:spacing w:before="0" w:after="283"/>
              <w:jc w:val="left"/>
              <w:rPr/>
            </w:pPr>
            <w:r>
              <w:rPr/>
              <w:t>Purchase of Common Stock</w:t>
            </w:r>
          </w:p>
        </w:tc>
        <w:tc>
          <w:tcPr>
            <w:tcW w:w="680" w:type="dxa"/>
            <w:tcBorders/>
            <w:shd w:fill="FFFFFF" w:val="clear"/>
            <w:vAlign w:val="center"/>
          </w:tcPr>
          <w:p>
            <w:pPr>
              <w:pStyle w:val="TableContents"/>
              <w:bidi w:val="0"/>
              <w:spacing w:before="0" w:after="283"/>
              <w:jc w:val="center"/>
              <w:rPr/>
            </w:pPr>
            <w:r>
              <w:rPr/>
              <w:t>10,000</w:t>
            </w:r>
          </w:p>
        </w:tc>
        <w:tc>
          <w:tcPr>
            <w:tcW w:w="800" w:type="dxa"/>
            <w:tcBorders/>
            <w:shd w:fill="FFFFFF" w:val="clear"/>
            <w:vAlign w:val="center"/>
          </w:tcPr>
          <w:p>
            <w:pPr>
              <w:pStyle w:val="TableContents"/>
              <w:bidi w:val="0"/>
              <w:spacing w:before="0" w:after="283"/>
              <w:jc w:val="center"/>
              <w:rPr/>
            </w:pPr>
            <w:r>
              <w:rPr/>
              <w:t>34.1478</w:t>
            </w:r>
          </w:p>
        </w:tc>
        <w:tc>
          <w:tcPr>
            <w:tcW w:w="1115" w:type="dxa"/>
            <w:tcBorders/>
            <w:shd w:fill="FFFFFF" w:val="clear"/>
            <w:vAlign w:val="center"/>
          </w:tcPr>
          <w:p>
            <w:pPr>
              <w:pStyle w:val="TableContents"/>
              <w:bidi w:val="0"/>
              <w:spacing w:before="0" w:after="283"/>
              <w:jc w:val="center"/>
              <w:rPr/>
            </w:pPr>
            <w:r>
              <w:rPr/>
              <w:t>07/01/2026</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JUMANA CAPITAL INVESTMENTS LLC</w:t>
      </w:r>
    </w:p>
    <w:tbl>
      <w:tblPr>
        <w:tblW w:w="5585" w:type="dxa"/>
        <w:jc w:val="left"/>
        <w:tblInd w:w="0" w:type="dxa"/>
        <w:tblLayout w:type="fixed"/>
        <w:tblCellMar>
          <w:top w:w="0" w:type="dxa"/>
          <w:left w:w="0" w:type="dxa"/>
          <w:bottom w:w="0" w:type="dxa"/>
          <w:right w:w="0" w:type="dxa"/>
        </w:tblCellMar>
      </w:tblPr>
      <w:tblGrid>
        <w:gridCol w:w="2690"/>
        <w:gridCol w:w="800"/>
        <w:gridCol w:w="980"/>
        <w:gridCol w:w="1115"/>
      </w:tblGrid>
      <w:tr>
        <w:trPr/>
        <w:tc>
          <w:tcPr>
            <w:tcW w:w="2690" w:type="dxa"/>
            <w:tcBorders/>
            <w:shd w:fill="CCEEFF" w:val="clear"/>
            <w:vAlign w:val="center"/>
          </w:tcPr>
          <w:p>
            <w:pPr>
              <w:pStyle w:val="TableContents"/>
              <w:bidi w:val="0"/>
              <w:spacing w:before="0" w:after="283"/>
              <w:jc w:val="left"/>
              <w:rPr/>
            </w:pPr>
            <w:r>
              <w:rPr/>
              <w:t>Purchase of Common Stock</w:t>
            </w:r>
          </w:p>
        </w:tc>
        <w:tc>
          <w:tcPr>
            <w:tcW w:w="800" w:type="dxa"/>
            <w:tcBorders/>
            <w:shd w:fill="CCEEFF" w:val="clear"/>
            <w:vAlign w:val="center"/>
          </w:tcPr>
          <w:p>
            <w:pPr>
              <w:pStyle w:val="TableContents"/>
              <w:bidi w:val="0"/>
              <w:spacing w:before="0" w:after="283"/>
              <w:jc w:val="center"/>
              <w:rPr/>
            </w:pPr>
            <w:r>
              <w:rPr/>
              <w:t>10,000  </w:t>
            </w:r>
          </w:p>
        </w:tc>
        <w:tc>
          <w:tcPr>
            <w:tcW w:w="980" w:type="dxa"/>
            <w:tcBorders/>
            <w:shd w:fill="CCEEFF" w:val="clear"/>
            <w:vAlign w:val="center"/>
          </w:tcPr>
          <w:p>
            <w:pPr>
              <w:pStyle w:val="TableContents"/>
              <w:bidi w:val="0"/>
              <w:spacing w:before="0" w:after="283"/>
              <w:jc w:val="center"/>
              <w:rPr/>
            </w:pPr>
            <w:r>
              <w:rPr/>
              <w:t xml:space="preserve">$33.8160 </w:t>
            </w:r>
          </w:p>
        </w:tc>
        <w:tc>
          <w:tcPr>
            <w:tcW w:w="1115" w:type="dxa"/>
            <w:tcBorders/>
            <w:shd w:fill="CCEEFF" w:val="clear"/>
            <w:vAlign w:val="center"/>
          </w:tcPr>
          <w:p>
            <w:pPr>
              <w:pStyle w:val="TableContents"/>
              <w:bidi w:val="0"/>
              <w:spacing w:before="0" w:after="283"/>
              <w:jc w:val="center"/>
              <w:rPr/>
            </w:pPr>
            <w:r>
              <w:rPr/>
              <w:t>06/30/2026</w:t>
            </w:r>
          </w:p>
        </w:tc>
      </w:tr>
      <w:tr>
        <w:trPr/>
        <w:tc>
          <w:tcPr>
            <w:tcW w:w="2690" w:type="dxa"/>
            <w:tcBorders/>
            <w:shd w:fill="FFFFFF" w:val="clear"/>
            <w:vAlign w:val="center"/>
          </w:tcPr>
          <w:p>
            <w:pPr>
              <w:pStyle w:val="TableContents"/>
              <w:bidi w:val="0"/>
              <w:spacing w:before="0" w:after="283"/>
              <w:jc w:val="left"/>
              <w:rPr/>
            </w:pPr>
            <w:r>
              <w:rPr/>
              <w:t>Purchase of Common Stock</w:t>
            </w:r>
          </w:p>
        </w:tc>
        <w:tc>
          <w:tcPr>
            <w:tcW w:w="800" w:type="dxa"/>
            <w:tcBorders/>
            <w:shd w:fill="FFFFFF" w:val="clear"/>
            <w:vAlign w:val="center"/>
          </w:tcPr>
          <w:p>
            <w:pPr>
              <w:pStyle w:val="TableContents"/>
              <w:bidi w:val="0"/>
              <w:spacing w:before="0" w:after="283"/>
              <w:jc w:val="center"/>
              <w:rPr/>
            </w:pPr>
            <w:r>
              <w:rPr/>
              <w:t>11,479  </w:t>
            </w:r>
          </w:p>
        </w:tc>
        <w:tc>
          <w:tcPr>
            <w:tcW w:w="980" w:type="dxa"/>
            <w:tcBorders/>
            <w:shd w:fill="FFFFFF" w:val="clear"/>
            <w:vAlign w:val="center"/>
          </w:tcPr>
          <w:p>
            <w:pPr>
              <w:pStyle w:val="TableContents"/>
              <w:bidi w:val="0"/>
              <w:spacing w:before="0" w:after="283"/>
              <w:jc w:val="center"/>
              <w:rPr/>
            </w:pPr>
            <w:r>
              <w:rPr/>
              <w:t xml:space="preserve">$34.2463 </w:t>
            </w:r>
          </w:p>
        </w:tc>
        <w:tc>
          <w:tcPr>
            <w:tcW w:w="1115" w:type="dxa"/>
            <w:tcBorders/>
            <w:shd w:fill="FFFFFF" w:val="clear"/>
            <w:vAlign w:val="center"/>
          </w:tcPr>
          <w:p>
            <w:pPr>
              <w:pStyle w:val="TableContents"/>
              <w:bidi w:val="0"/>
              <w:spacing w:before="0" w:after="283"/>
              <w:jc w:val="center"/>
              <w:rPr/>
            </w:pPr>
            <w:r>
              <w:rPr/>
              <w:t>07/01/2026</w:t>
            </w:r>
          </w:p>
        </w:tc>
      </w:tr>
      <w:tr>
        <w:trPr/>
        <w:tc>
          <w:tcPr>
            <w:tcW w:w="2690" w:type="dxa"/>
            <w:tcBorders/>
            <w:shd w:fill="CCEEFF" w:val="clear"/>
            <w:vAlign w:val="center"/>
          </w:tcPr>
          <w:p>
            <w:pPr>
              <w:pStyle w:val="TableContents"/>
              <w:bidi w:val="0"/>
              <w:spacing w:before="0" w:after="283"/>
              <w:jc w:val="left"/>
              <w:rPr/>
            </w:pPr>
            <w:r>
              <w:rPr/>
              <w:t>Purchase of Common Stock</w:t>
            </w:r>
          </w:p>
        </w:tc>
        <w:tc>
          <w:tcPr>
            <w:tcW w:w="800" w:type="dxa"/>
            <w:tcBorders/>
            <w:shd w:fill="CCEEFF" w:val="clear"/>
            <w:vAlign w:val="center"/>
          </w:tcPr>
          <w:p>
            <w:pPr>
              <w:pStyle w:val="TableContents"/>
              <w:bidi w:val="0"/>
              <w:spacing w:before="0" w:after="283"/>
              <w:jc w:val="center"/>
              <w:rPr/>
            </w:pPr>
            <w:r>
              <w:rPr/>
              <w:t>3,521  </w:t>
            </w:r>
          </w:p>
        </w:tc>
        <w:tc>
          <w:tcPr>
            <w:tcW w:w="980" w:type="dxa"/>
            <w:tcBorders/>
            <w:shd w:fill="CCEEFF" w:val="clear"/>
            <w:vAlign w:val="center"/>
          </w:tcPr>
          <w:p>
            <w:pPr>
              <w:pStyle w:val="TableContents"/>
              <w:bidi w:val="0"/>
              <w:spacing w:before="0" w:after="283"/>
              <w:jc w:val="center"/>
              <w:rPr/>
            </w:pPr>
            <w:r>
              <w:rPr/>
              <w:t>$34.4400</w:t>
            </w:r>
          </w:p>
        </w:tc>
        <w:tc>
          <w:tcPr>
            <w:tcW w:w="1115" w:type="dxa"/>
            <w:tcBorders/>
            <w:shd w:fill="CCEEFF" w:val="clear"/>
            <w:vAlign w:val="center"/>
          </w:tcPr>
          <w:p>
            <w:pPr>
              <w:pStyle w:val="TableContents"/>
              <w:bidi w:val="0"/>
              <w:spacing w:before="0" w:after="283"/>
              <w:jc w:val="center"/>
              <w:rPr/>
            </w:pPr>
            <w:r>
              <w:rPr/>
              <w:t>07/02/2026</w:t>
            </w:r>
          </w:p>
        </w:tc>
      </w:tr>
    </w:tbl>
    <w:p>
      <w:pPr>
        <w:pStyle w:val="TextBody"/>
        <w:bidi w:val="0"/>
        <w:spacing w:before="0" w:after="283"/>
        <w:jc w:val="left"/>
        <w:rPr/>
      </w:pPr>
      <w:r>
        <w:rPr/>
        <w:t> </w:t>
      </w:r>
    </w:p>
    <w:p>
      <w:pPr>
        <w:pStyle w:val="TextBody"/>
        <w:bidi w:val="0"/>
        <w:jc w:val="right"/>
        <w:rPr/>
      </w:pPr>
      <w:bookmarkStart w:id="24" w:name="ex991to13da309076076_080326.htm"/>
      <w:bookmarkStart w:id="25" w:name="ksex991to13da309076076_080326"/>
      <w:bookmarkEnd w:id="24"/>
      <w:bookmarkEnd w:id="25"/>
      <w:r>
        <w:rPr/>
        <w:t>Exhibit 99.1</w:t>
      </w:r>
      <w:r>
        <w:br w:type="page"/>
      </w:r>
    </w:p>
    <w:p>
      <w:pPr>
        <w:pStyle w:val="TextBody"/>
        <w:bidi w:val="0"/>
        <w:jc w:val="right"/>
        <w:rPr/>
      </w:pPr>
      <w:r>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AGREEMENT</w:t>
      </w:r>
    </w:p>
    <w:p>
      <w:pPr>
        <w:pStyle w:val="TextBody"/>
        <w:bidi w:val="0"/>
        <w:spacing w:before="0" w:after="24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 2026</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undersigned was a party to that certain Amended and Restated Group Agreement, dated as of April 24, 2026, as amended on June 8, 2026 (the “</w:t>
      </w:r>
      <w:r>
        <w:rPr>
          <w:rFonts w:ascii="Times New Roman;Times;Serif" w:hAnsi="Times New Roman;Times;Serif"/>
          <w:b w:val="false"/>
          <w:i w:val="false"/>
          <w:caps w:val="false"/>
          <w:smallCaps w:val="false"/>
          <w:sz w:val="20"/>
          <w:u w:val="single"/>
        </w:rPr>
        <w:t>Group Agreement</w:t>
      </w:r>
      <w:r>
        <w:rPr>
          <w:rFonts w:ascii="Times New Roman;Times;Serif" w:hAnsi="Times New Roman;Times;Serif"/>
          <w:b w:val="false"/>
          <w:i w:val="false"/>
          <w:caps w:val="false"/>
          <w:smallCaps w:val="false"/>
          <w:sz w:val="20"/>
        </w:rPr>
        <w:t>”), with respect to Genesco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Capitalized terms used but not defined herein shall have the meanings ascribed to such terms in the Group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11 of the Group Agreement, the Group Agreement terminated upon the certification of the results of the Annual Meeting;</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notwithstanding the certification of the results of the Annual Meeting, Radoff and Jumana elected to remain as members of a “group” (as such term is defined in Section 13(d)(3) of the Exchange Act) and to continue to coordinate their activities with respect to the Company; and</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Radoff and Jumana now desire to cease the coordination of their activities with respect to the Company and to no longer be members of a “group” with respect to the Company.</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Radoff and Jumana hereby agree that they are no longer coordinating their activities or acting as a “group” with respect to the Company effective immediately.</w:t>
      </w:r>
    </w:p>
    <w:p>
      <w:pPr>
        <w:pStyle w:val="TextBody"/>
        <w:bidi w:val="0"/>
        <w:spacing w:before="0" w:after="240"/>
        <w:ind w:left="720" w:right="0" w:hanging="0"/>
        <w:jc w:val="both"/>
        <w:rPr>
          <w:caps w:val="false"/>
          <w:smallCaps w:val="false"/>
        </w:rPr>
      </w:pPr>
      <w:r>
        <w:rPr>
          <w:caps w:val="false"/>
          <w:smallCaps w:val="false"/>
        </w:rPr>
        <w:t> </w:t>
      </w:r>
    </w:p>
    <w:p>
      <w:pPr>
        <w:pStyle w:val="TextBody"/>
        <w:bidi w:val="0"/>
        <w:spacing w:before="0" w:after="24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Termination Agreement to be executed as of the day and year first above written.</w:t>
      </w:r>
    </w:p>
    <w:tbl>
      <w:tblPr>
        <w:tblW w:w="2674" w:type="dxa"/>
        <w:jc w:val="left"/>
        <w:tblInd w:w="0" w:type="dxa"/>
        <w:tblLayout w:type="fixed"/>
        <w:tblCellMar>
          <w:top w:w="0" w:type="dxa"/>
          <w:left w:w="0" w:type="dxa"/>
          <w:bottom w:w="0" w:type="dxa"/>
          <w:right w:w="0" w:type="dxa"/>
        </w:tblCellMar>
      </w:tblPr>
      <w:tblGrid>
        <w:gridCol w:w="75"/>
        <w:gridCol w:w="353"/>
        <w:gridCol w:w="601"/>
        <w:gridCol w:w="1645"/>
      </w:tblGrid>
      <w:tr>
        <w:trPr/>
        <w:tc>
          <w:tcPr>
            <w:tcW w:w="75" w:type="dxa"/>
            <w:tcBorders/>
            <w:vAlign w:val="center"/>
          </w:tcPr>
          <w:p>
            <w:pPr>
              <w:pStyle w:val="TableContents"/>
              <w:bidi w:val="0"/>
              <w:spacing w:before="0" w:after="283"/>
              <w:jc w:val="left"/>
              <w:rPr/>
            </w:pPr>
            <w:r>
              <w:rPr/>
              <w:t> </w:t>
            </w:r>
          </w:p>
        </w:tc>
        <w:tc>
          <w:tcPr>
            <w:tcW w:w="2599" w:type="dxa"/>
            <w:gridSpan w:val="3"/>
            <w:tcBorders/>
            <w:vAlign w:val="center"/>
          </w:tcPr>
          <w:p>
            <w:pPr>
              <w:pStyle w:val="TableContents"/>
              <w:bidi w:val="0"/>
              <w:spacing w:before="0" w:after="283"/>
              <w:jc w:val="left"/>
              <w:rPr>
                <w:sz w:val="20"/>
              </w:rPr>
            </w:pPr>
            <w:r>
              <w:rPr>
                <w:sz w:val="20"/>
              </w:rPr>
              <w:t xml:space="preserve">The Radoff Family Foundation </w:t>
            </w:r>
          </w:p>
        </w:tc>
      </w:tr>
      <w:tr>
        <w:trPr/>
        <w:tc>
          <w:tcPr>
            <w:tcW w:w="75" w:type="dxa"/>
            <w:tcBorders/>
            <w:vAlign w:val="center"/>
          </w:tcPr>
          <w:p>
            <w:pPr>
              <w:pStyle w:val="TableContents"/>
              <w:bidi w:val="0"/>
              <w:spacing w:before="0" w:after="283"/>
              <w:jc w:val="left"/>
              <w:rPr/>
            </w:pPr>
            <w:r>
              <w:rPr/>
              <w:t> </w:t>
            </w:r>
          </w:p>
        </w:tc>
        <w:tc>
          <w:tcPr>
            <w:tcW w:w="259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sz w:val="20"/>
              </w:rPr>
            </w:pPr>
            <w:r>
              <w:rPr>
                <w:sz w:val="20"/>
              </w:rPr>
              <w:t>By:</w:t>
            </w:r>
          </w:p>
        </w:tc>
        <w:tc>
          <w:tcPr>
            <w:tcW w:w="2246" w:type="dxa"/>
            <w:gridSpan w:val="2"/>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Bradley L. Radoff</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sz w:val="20"/>
              </w:rPr>
            </w:pPr>
            <w:r>
              <w:rPr>
                <w:sz w:val="20"/>
              </w:rPr>
              <w:t>Name:</w:t>
            </w:r>
          </w:p>
        </w:tc>
        <w:tc>
          <w:tcPr>
            <w:tcW w:w="1645" w:type="dxa"/>
            <w:tcBorders/>
            <w:vAlign w:val="center"/>
          </w:tcPr>
          <w:p>
            <w:pPr>
              <w:pStyle w:val="TableContents"/>
              <w:bidi w:val="0"/>
              <w:spacing w:before="0" w:after="283"/>
              <w:jc w:val="left"/>
              <w:rPr>
                <w:sz w:val="20"/>
              </w:rPr>
            </w:pPr>
            <w:r>
              <w:rPr>
                <w:sz w:val="20"/>
              </w:rPr>
              <w:t>Bradley L. Radoff</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sz w:val="20"/>
              </w:rPr>
            </w:pPr>
            <w:r>
              <w:rPr>
                <w:sz w:val="20"/>
              </w:rPr>
              <w:t>Title:</w:t>
            </w:r>
          </w:p>
        </w:tc>
        <w:tc>
          <w:tcPr>
            <w:tcW w:w="1645" w:type="dxa"/>
            <w:tcBorders/>
            <w:vAlign w:val="center"/>
          </w:tcPr>
          <w:p>
            <w:pPr>
              <w:pStyle w:val="TableContents"/>
              <w:bidi w:val="0"/>
              <w:spacing w:before="0" w:after="283"/>
              <w:jc w:val="left"/>
              <w:rPr>
                <w:sz w:val="20"/>
              </w:rPr>
            </w:pPr>
            <w:r>
              <w:rPr>
                <w:sz w:val="20"/>
              </w:rPr>
              <w:t xml:space="preserve">Director </w:t>
            </w:r>
          </w:p>
        </w:tc>
      </w:tr>
    </w:tbl>
    <w:p>
      <w:pPr>
        <w:pStyle w:val="TextBody"/>
        <w:bidi w:val="0"/>
        <w:spacing w:before="0" w:after="240"/>
        <w:jc w:val="both"/>
        <w:rPr>
          <w:caps w:val="false"/>
          <w:smallCaps w:val="false"/>
        </w:rPr>
      </w:pPr>
      <w:r>
        <w:rPr>
          <w:caps w:val="false"/>
          <w:smallCaps w:val="false"/>
        </w:rPr>
        <w:t> </w:t>
      </w:r>
    </w:p>
    <w:tbl>
      <w:tblPr>
        <w:tblW w:w="1805" w:type="dxa"/>
        <w:jc w:val="left"/>
        <w:tblInd w:w="0" w:type="dxa"/>
        <w:tblLayout w:type="fixed"/>
        <w:tblCellMar>
          <w:top w:w="0" w:type="dxa"/>
          <w:left w:w="0" w:type="dxa"/>
          <w:bottom w:w="0" w:type="dxa"/>
          <w:right w:w="0" w:type="dxa"/>
        </w:tblCellMar>
      </w:tblPr>
      <w:tblGrid>
        <w:gridCol w:w="75"/>
        <w:gridCol w:w="1730"/>
      </w:tblGrid>
      <w:tr>
        <w:trPr/>
        <w:tc>
          <w:tcPr>
            <w:tcW w:w="75" w:type="dxa"/>
            <w:tcBorders/>
            <w:vAlign w:val="center"/>
          </w:tcPr>
          <w:p>
            <w:pPr>
              <w:pStyle w:val="TableContents"/>
              <w:bidi w:val="0"/>
              <w:spacing w:before="0" w:after="283"/>
              <w:jc w:val="right"/>
              <w:rPr>
                <w:caps w:val="false"/>
                <w:smallCaps w:val="false"/>
              </w:rPr>
            </w:pPr>
            <w:r>
              <w:rPr>
                <w:caps w:val="false"/>
                <w:smallCaps w:val="false"/>
              </w:rPr>
              <w:t> </w:t>
            </w:r>
          </w:p>
        </w:tc>
        <w:tc>
          <w:tcPr>
            <w:tcW w:w="1730"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Bradley L. Radoff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Bradley L. Radoff</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2808" w:type="dxa"/>
        <w:jc w:val="left"/>
        <w:tblInd w:w="0" w:type="dxa"/>
        <w:tblLayout w:type="fixed"/>
        <w:tblCellMar>
          <w:top w:w="0" w:type="dxa"/>
          <w:left w:w="0" w:type="dxa"/>
          <w:bottom w:w="0" w:type="dxa"/>
          <w:right w:w="0" w:type="dxa"/>
        </w:tblCellMar>
      </w:tblPr>
      <w:tblGrid>
        <w:gridCol w:w="75"/>
        <w:gridCol w:w="325"/>
        <w:gridCol w:w="555"/>
        <w:gridCol w:w="1853"/>
      </w:tblGrid>
      <w:tr>
        <w:trPr/>
        <w:tc>
          <w:tcPr>
            <w:tcW w:w="75" w:type="dxa"/>
            <w:tcBorders/>
            <w:vAlign w:val="center"/>
          </w:tcPr>
          <w:p>
            <w:pPr>
              <w:pStyle w:val="TableContents"/>
              <w:bidi w:val="0"/>
              <w:spacing w:before="0" w:after="283"/>
              <w:jc w:val="left"/>
              <w:rPr/>
            </w:pPr>
            <w:r>
              <w:rPr/>
              <w:t> </w:t>
            </w:r>
          </w:p>
        </w:tc>
        <w:tc>
          <w:tcPr>
            <w:tcW w:w="2733" w:type="dxa"/>
            <w:gridSpan w:val="3"/>
            <w:tcBorders/>
            <w:vAlign w:val="center"/>
          </w:tcPr>
          <w:p>
            <w:pPr>
              <w:pStyle w:val="TableContents"/>
              <w:bidi w:val="0"/>
              <w:spacing w:before="0" w:after="283"/>
              <w:jc w:val="left"/>
              <w:rPr>
                <w:sz w:val="20"/>
              </w:rPr>
            </w:pPr>
            <w:r>
              <w:rPr>
                <w:sz w:val="20"/>
              </w:rPr>
              <w:t>Jumana Capital Investments LLC</w:t>
            </w:r>
          </w:p>
        </w:tc>
      </w:tr>
      <w:tr>
        <w:trPr/>
        <w:tc>
          <w:tcPr>
            <w:tcW w:w="75" w:type="dxa"/>
            <w:tcBorders/>
            <w:vAlign w:val="center"/>
          </w:tcPr>
          <w:p>
            <w:pPr>
              <w:pStyle w:val="TableContents"/>
              <w:bidi w:val="0"/>
              <w:spacing w:before="0" w:after="283"/>
              <w:jc w:val="left"/>
              <w:rPr/>
            </w:pPr>
            <w:r>
              <w:rPr/>
              <w:t> </w:t>
            </w:r>
          </w:p>
        </w:tc>
        <w:tc>
          <w:tcPr>
            <w:tcW w:w="273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sz w:val="20"/>
              </w:rPr>
            </w:pPr>
            <w:r>
              <w:rPr>
                <w:sz w:val="20"/>
              </w:rPr>
              <w:t>By:</w:t>
            </w:r>
          </w:p>
        </w:tc>
        <w:tc>
          <w:tcPr>
            <w:tcW w:w="2408" w:type="dxa"/>
            <w:gridSpan w:val="2"/>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Christopher R. Martin</w:t>
            </w:r>
          </w:p>
        </w:tc>
      </w:tr>
      <w:tr>
        <w:trPr/>
        <w:tc>
          <w:tcPr>
            <w:tcW w:w="7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sz w:val="20"/>
              </w:rPr>
            </w:pPr>
            <w:r>
              <w:rPr>
                <w:sz w:val="20"/>
              </w:rPr>
              <w:t>Name:</w:t>
            </w:r>
          </w:p>
        </w:tc>
        <w:tc>
          <w:tcPr>
            <w:tcW w:w="1853" w:type="dxa"/>
            <w:tcBorders/>
            <w:vAlign w:val="center"/>
          </w:tcPr>
          <w:p>
            <w:pPr>
              <w:pStyle w:val="TableContents"/>
              <w:bidi w:val="0"/>
              <w:spacing w:before="0" w:after="283"/>
              <w:jc w:val="left"/>
              <w:rPr>
                <w:sz w:val="20"/>
              </w:rPr>
            </w:pPr>
            <w:r>
              <w:rPr>
                <w:sz w:val="20"/>
              </w:rPr>
              <w:t>Christopher R. Martin</w:t>
            </w:r>
          </w:p>
        </w:tc>
      </w:tr>
      <w:tr>
        <w:trPr/>
        <w:tc>
          <w:tcPr>
            <w:tcW w:w="7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sz w:val="20"/>
              </w:rPr>
            </w:pPr>
            <w:r>
              <w:rPr>
                <w:sz w:val="20"/>
              </w:rPr>
              <w:t>Title:</w:t>
            </w:r>
          </w:p>
        </w:tc>
        <w:tc>
          <w:tcPr>
            <w:tcW w:w="1853" w:type="dxa"/>
            <w:tcBorders/>
            <w:vAlign w:val="center"/>
          </w:tcPr>
          <w:p>
            <w:pPr>
              <w:pStyle w:val="TableContents"/>
              <w:bidi w:val="0"/>
              <w:spacing w:before="0" w:after="283"/>
              <w:jc w:val="left"/>
              <w:rPr>
                <w:sz w:val="20"/>
              </w:rPr>
            </w:pPr>
            <w:r>
              <w:rPr>
                <w:sz w:val="20"/>
              </w:rPr>
              <w:t>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35" w:type="dxa"/>
        <w:jc w:val="left"/>
        <w:tblInd w:w="0" w:type="dxa"/>
        <w:tblLayout w:type="fixed"/>
        <w:tblCellMar>
          <w:top w:w="0" w:type="dxa"/>
          <w:left w:w="0" w:type="dxa"/>
          <w:bottom w:w="0" w:type="dxa"/>
          <w:right w:w="0" w:type="dxa"/>
        </w:tblCellMar>
      </w:tblPr>
      <w:tblGrid>
        <w:gridCol w:w="75"/>
        <w:gridCol w:w="2060"/>
      </w:tblGrid>
      <w:tr>
        <w:trPr/>
        <w:tc>
          <w:tcPr>
            <w:tcW w:w="75" w:type="dxa"/>
            <w:tcBorders/>
            <w:vAlign w:val="center"/>
          </w:tcPr>
          <w:p>
            <w:pPr>
              <w:pStyle w:val="TableContents"/>
              <w:bidi w:val="0"/>
              <w:spacing w:before="0" w:after="283"/>
              <w:jc w:val="left"/>
              <w:rPr/>
            </w:pPr>
            <w:r>
              <w:rPr/>
              <w:t> </w:t>
            </w:r>
          </w:p>
        </w:tc>
        <w:tc>
          <w:tcPr>
            <w:tcW w:w="2060"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Christopher R. Martin</w:t>
            </w:r>
          </w:p>
        </w:tc>
      </w:tr>
      <w:tr>
        <w:trPr/>
        <w:tc>
          <w:tcPr>
            <w:tcW w:w="75"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sz w:val="20"/>
              </w:rPr>
            </w:pPr>
            <w:r>
              <w:rPr>
                <w:sz w:val="20"/>
              </w:rPr>
              <w:t>Christopher R. Martin</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1614</Words>
  <Characters>8525</Characters>
  <CharactersWithSpaces>10032</CharactersWithSpaces>
  <Paragraphs>302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