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Ewoldsen Daniel 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GENESCO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535 MARRIOTT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GENESCO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GCO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2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Senior VP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9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   TN</w:t>
            </w:r>
          </w:p>
        </w:tc>
        <w:tc>
          <w:tcPr>
            <w:tcW w:w="170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37214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06/26/2026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373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36.18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52,057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withheld to satisfy minimum tax withholding liability upon the vesting of restricted stock granted under the Third Amended and Restated 2020 Equity Incentive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Scott E. Becker,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81618" TargetMode="External"/><Relationship Id="rId14" Type="http://schemas.openxmlformats.org/officeDocument/2006/relationships/hyperlink" Target="http://www.sec.gov/cgi-bin/browse-edgar?action=getcompany&amp;CIK=00000184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2026-06-29T15:14:41Z</dcterms:created>
  <dcterms:modified xsi:type="dcterms:W3CDTF">2026-06-29T15:14:41Z</dcterms:modified>
</cp:coreProperties>
</file>