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90170</wp:posOffset>
            </wp:positionV>
            <wp:extent cx="238315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1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10-K</w:t>
      </w:r>
    </w:p>
    <w:p>
      <w:pPr>
        <w:spacing w:after="0" w:line="7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(Mark One)</w:t>
      </w:r>
    </w:p>
    <w:p>
      <w:pPr>
        <w:spacing w:after="0" w:line="71" w:lineRule="exact"/>
        <w:rPr>
          <w:sz w:val="24"/>
          <w:szCs w:val="24"/>
          <w:color w:val="auto"/>
        </w:rPr>
      </w:pPr>
    </w:p>
    <w:p>
      <w:pPr>
        <w:ind w:left="740" w:hanging="678"/>
        <w:spacing w:after="0"/>
        <w:tabs>
          <w:tab w:leader="none" w:pos="7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ANNUAL REPORT PURSUANT TO SECTION 13 OR 15(d) OF THE SECURITIES EXCHANGE ACT OF 1934</w:t>
      </w:r>
    </w:p>
    <w:p>
      <w:pPr>
        <w:spacing w:after="0" w:line="200" w:lineRule="exact"/>
        <w:rPr>
          <w:sz w:val="24"/>
          <w:szCs w:val="24"/>
          <w:color w:val="auto"/>
        </w:rPr>
      </w:pPr>
    </w:p>
    <w:p>
      <w:pPr>
        <w:spacing w:after="0" w:line="272" w:lineRule="exact"/>
        <w:rPr>
          <w:sz w:val="24"/>
          <w:szCs w:val="24"/>
          <w:color w:val="auto"/>
        </w:rPr>
      </w:pPr>
    </w:p>
    <w:p>
      <w:pPr>
        <w:ind w:left="740" w:hanging="678"/>
        <w:spacing w:after="0"/>
        <w:tabs>
          <w:tab w:leader="none" w:pos="7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200" w:lineRule="exact"/>
        <w:rPr>
          <w:sz w:val="24"/>
          <w:szCs w:val="24"/>
          <w:color w:val="auto"/>
        </w:rPr>
      </w:pPr>
    </w:p>
    <w:p>
      <w:pPr>
        <w:spacing w:after="0" w:line="367" w:lineRule="exact"/>
        <w:rPr>
          <w:sz w:val="24"/>
          <w:szCs w:val="24"/>
          <w:color w:val="auto"/>
        </w:rPr>
      </w:pPr>
    </w:p>
    <w:p>
      <w:pPr>
        <w:ind w:left="760"/>
        <w:spacing w:after="0"/>
        <w:tabs>
          <w:tab w:leader="none" w:pos="3320" w:val="left"/>
        </w:tabs>
        <w:rPr>
          <w:sz w:val="20"/>
          <w:szCs w:val="20"/>
          <w:color w:val="auto"/>
        </w:rPr>
      </w:pPr>
      <w:r>
        <w:rPr>
          <w:rFonts w:ascii="Times New Roman" w:cs="Times New Roman" w:eastAsia="Times New Roman" w:hAnsi="Times New Roman"/>
          <w:sz w:val="16"/>
          <w:szCs w:val="16"/>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1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Commission File No. 1-3083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107315</wp:posOffset>
            </wp:positionV>
            <wp:extent cx="23831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1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Genesco Inc.</w:t>
      </w:r>
    </w:p>
    <w:p>
      <w:pPr>
        <w:spacing w:after="0" w:line="6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90"/>
        </w:trPr>
        <w:tc>
          <w:tcPr>
            <w:tcW w:w="3520" w:type="dxa"/>
            <w:vAlign w:val="bottom"/>
          </w:tcPr>
          <w:p>
            <w:pPr>
              <w:jc w:val="center"/>
              <w:ind w:left="1489"/>
              <w:spacing w:after="0"/>
              <w:rPr>
                <w:sz w:val="20"/>
                <w:szCs w:val="20"/>
                <w:color w:val="auto"/>
              </w:rPr>
            </w:pPr>
            <w:r>
              <w:rPr>
                <w:rFonts w:ascii="Times New Roman" w:cs="Times New Roman" w:eastAsia="Times New Roman" w:hAnsi="Times New Roman"/>
                <w:sz w:val="14"/>
                <w:szCs w:val="14"/>
                <w:b w:val="1"/>
                <w:bCs w:val="1"/>
                <w:color w:val="auto"/>
              </w:rPr>
              <w:t>Tennessee</w:t>
            </w:r>
          </w:p>
        </w:tc>
        <w:tc>
          <w:tcPr>
            <w:tcW w:w="2660" w:type="dxa"/>
            <w:vAlign w:val="bottom"/>
          </w:tcPr>
          <w:p>
            <w:pPr>
              <w:spacing w:after="0"/>
              <w:rPr>
                <w:sz w:val="16"/>
                <w:szCs w:val="16"/>
                <w:color w:val="auto"/>
              </w:rPr>
            </w:pPr>
          </w:p>
        </w:tc>
        <w:tc>
          <w:tcPr>
            <w:tcW w:w="3600" w:type="dxa"/>
            <w:vAlign w:val="bottom"/>
          </w:tcPr>
          <w:p>
            <w:pPr>
              <w:jc w:val="center"/>
              <w:ind w:left="1389"/>
              <w:spacing w:after="0"/>
              <w:rPr>
                <w:sz w:val="20"/>
                <w:szCs w:val="20"/>
                <w:color w:val="auto"/>
              </w:rPr>
            </w:pPr>
            <w:r>
              <w:rPr>
                <w:rFonts w:ascii="Times New Roman" w:cs="Times New Roman" w:eastAsia="Times New Roman" w:hAnsi="Times New Roman"/>
                <w:sz w:val="14"/>
                <w:szCs w:val="14"/>
                <w:b w:val="1"/>
                <w:bCs w:val="1"/>
                <w:color w:val="auto"/>
              </w:rPr>
              <w:t>62-0211340</w:t>
            </w:r>
          </w:p>
        </w:tc>
        <w:tc>
          <w:tcPr>
            <w:tcW w:w="0" w:type="dxa"/>
            <w:vAlign w:val="bottom"/>
          </w:tcPr>
          <w:p>
            <w:pPr>
              <w:spacing w:after="0"/>
              <w:rPr>
                <w:sz w:val="1"/>
                <w:szCs w:val="1"/>
                <w:color w:val="auto"/>
              </w:rPr>
            </w:pPr>
          </w:p>
        </w:tc>
      </w:tr>
      <w:tr>
        <w:trPr>
          <w:trHeight w:val="174"/>
        </w:trPr>
        <w:tc>
          <w:tcPr>
            <w:tcW w:w="3520" w:type="dxa"/>
            <w:vAlign w:val="bottom"/>
          </w:tcPr>
          <w:p>
            <w:pPr>
              <w:jc w:val="center"/>
              <w:ind w:left="1489"/>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2660" w:type="dxa"/>
            <w:vAlign w:val="bottom"/>
          </w:tcPr>
          <w:p>
            <w:pPr>
              <w:spacing w:after="0"/>
              <w:rPr>
                <w:sz w:val="15"/>
                <w:szCs w:val="15"/>
                <w:color w:val="auto"/>
              </w:rPr>
            </w:pPr>
          </w:p>
        </w:tc>
        <w:tc>
          <w:tcPr>
            <w:tcW w:w="3600" w:type="dxa"/>
            <w:vAlign w:val="bottom"/>
          </w:tcPr>
          <w:p>
            <w:pPr>
              <w:jc w:val="center"/>
              <w:ind w:left="1409"/>
              <w:spacing w:after="0"/>
              <w:rPr>
                <w:sz w:val="20"/>
                <w:szCs w:val="20"/>
                <w:color w:val="auto"/>
              </w:rPr>
            </w:pPr>
            <w:r>
              <w:rPr>
                <w:rFonts w:ascii="Times New Roman" w:cs="Times New Roman" w:eastAsia="Times New Roman" w:hAnsi="Times New Roman"/>
                <w:sz w:val="14"/>
                <w:szCs w:val="14"/>
                <w:b w:val="1"/>
                <w:bCs w:val="1"/>
                <w:color w:val="auto"/>
              </w:rPr>
              <w:t>(I.R.S. Employer</w:t>
            </w:r>
          </w:p>
        </w:tc>
        <w:tc>
          <w:tcPr>
            <w:tcW w:w="0" w:type="dxa"/>
            <w:vAlign w:val="bottom"/>
          </w:tcPr>
          <w:p>
            <w:pPr>
              <w:spacing w:after="0"/>
              <w:rPr>
                <w:sz w:val="1"/>
                <w:szCs w:val="1"/>
                <w:color w:val="auto"/>
              </w:rPr>
            </w:pPr>
          </w:p>
        </w:tc>
      </w:tr>
      <w:tr>
        <w:trPr>
          <w:trHeight w:val="190"/>
        </w:trPr>
        <w:tc>
          <w:tcPr>
            <w:tcW w:w="3520" w:type="dxa"/>
            <w:vAlign w:val="bottom"/>
          </w:tcPr>
          <w:p>
            <w:pPr>
              <w:jc w:val="center"/>
              <w:ind w:left="1489"/>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2660" w:type="dxa"/>
            <w:vAlign w:val="bottom"/>
          </w:tcPr>
          <w:p>
            <w:pPr>
              <w:spacing w:after="0"/>
              <w:rPr>
                <w:sz w:val="16"/>
                <w:szCs w:val="16"/>
                <w:color w:val="auto"/>
              </w:rPr>
            </w:pPr>
          </w:p>
        </w:tc>
        <w:tc>
          <w:tcPr>
            <w:tcW w:w="3600" w:type="dxa"/>
            <w:vAlign w:val="bottom"/>
          </w:tcPr>
          <w:p>
            <w:pPr>
              <w:jc w:val="center"/>
              <w:ind w:left="1409"/>
              <w:spacing w:after="0"/>
              <w:rPr>
                <w:sz w:val="20"/>
                <w:szCs w:val="20"/>
                <w:color w:val="auto"/>
              </w:rPr>
            </w:pPr>
            <w:r>
              <w:rPr>
                <w:rFonts w:ascii="Times New Roman" w:cs="Times New Roman" w:eastAsia="Times New Roman" w:hAnsi="Times New Roman"/>
                <w:sz w:val="14"/>
                <w:szCs w:val="14"/>
                <w:b w:val="1"/>
                <w:bCs w:val="1"/>
                <w:color w:val="auto"/>
              </w:rPr>
              <w:t>Identification No.)</w:t>
            </w:r>
          </w:p>
        </w:tc>
        <w:tc>
          <w:tcPr>
            <w:tcW w:w="0" w:type="dxa"/>
            <w:vAlign w:val="bottom"/>
          </w:tcPr>
          <w:p>
            <w:pPr>
              <w:spacing w:after="0"/>
              <w:rPr>
                <w:sz w:val="1"/>
                <w:szCs w:val="1"/>
                <w:color w:val="auto"/>
              </w:rPr>
            </w:pPr>
          </w:p>
        </w:tc>
      </w:tr>
      <w:tr>
        <w:trPr>
          <w:trHeight w:val="365"/>
        </w:trPr>
        <w:tc>
          <w:tcPr>
            <w:tcW w:w="3520" w:type="dxa"/>
            <w:vAlign w:val="bottom"/>
          </w:tcPr>
          <w:p>
            <w:pPr>
              <w:spacing w:after="0"/>
              <w:rPr>
                <w:sz w:val="24"/>
                <w:szCs w:val="24"/>
                <w:color w:val="auto"/>
              </w:rPr>
            </w:pPr>
          </w:p>
        </w:tc>
        <w:tc>
          <w:tcPr>
            <w:tcW w:w="2660" w:type="dxa"/>
            <w:vAlign w:val="bottom"/>
          </w:tcPr>
          <w:p>
            <w:pPr>
              <w:ind w:left="300"/>
              <w:spacing w:after="0"/>
              <w:rPr>
                <w:sz w:val="20"/>
                <w:szCs w:val="20"/>
                <w:color w:val="auto"/>
              </w:rPr>
            </w:pPr>
            <w:r>
              <w:rPr>
                <w:rFonts w:ascii="Times New Roman" w:cs="Times New Roman" w:eastAsia="Times New Roman" w:hAnsi="Times New Roman"/>
                <w:sz w:val="14"/>
                <w:szCs w:val="14"/>
                <w:b w:val="1"/>
                <w:bCs w:val="1"/>
                <w:color w:val="auto"/>
              </w:rPr>
              <w:t>535 Marriott Drive</w:t>
            </w:r>
          </w:p>
        </w:tc>
        <w:tc>
          <w:tcPr>
            <w:tcW w:w="3600" w:type="dxa"/>
            <w:vAlign w:val="bottom"/>
          </w:tcPr>
          <w:p>
            <w:pPr>
              <w:jc w:val="center"/>
              <w:ind w:left="1449"/>
              <w:spacing w:after="0"/>
              <w:rPr>
                <w:sz w:val="20"/>
                <w:szCs w:val="20"/>
                <w:color w:val="auto"/>
              </w:rPr>
            </w:pPr>
            <w:r>
              <w:rPr>
                <w:rFonts w:ascii="Times New Roman" w:cs="Times New Roman" w:eastAsia="Times New Roman" w:hAnsi="Times New Roman"/>
                <w:sz w:val="14"/>
                <w:szCs w:val="14"/>
                <w:b w:val="1"/>
                <w:bCs w:val="1"/>
                <w:color w:val="auto"/>
              </w:rPr>
              <w:t>37214</w:t>
            </w:r>
          </w:p>
        </w:tc>
        <w:tc>
          <w:tcPr>
            <w:tcW w:w="0" w:type="dxa"/>
            <w:vAlign w:val="bottom"/>
          </w:tcPr>
          <w:p>
            <w:pPr>
              <w:spacing w:after="0"/>
              <w:rPr>
                <w:sz w:val="1"/>
                <w:szCs w:val="1"/>
                <w:color w:val="auto"/>
              </w:rPr>
            </w:pPr>
          </w:p>
        </w:tc>
      </w:tr>
      <w:tr>
        <w:trPr>
          <w:trHeight w:val="216"/>
        </w:trPr>
        <w:tc>
          <w:tcPr>
            <w:tcW w:w="3520" w:type="dxa"/>
            <w:vAlign w:val="bottom"/>
          </w:tcPr>
          <w:p>
            <w:pPr>
              <w:ind w:left="860"/>
              <w:spacing w:after="0"/>
              <w:rPr>
                <w:sz w:val="20"/>
                <w:szCs w:val="20"/>
                <w:color w:val="auto"/>
              </w:rPr>
            </w:pPr>
            <w:r>
              <w:rPr>
                <w:rFonts w:ascii="Times New Roman" w:cs="Times New Roman" w:eastAsia="Times New Roman" w:hAnsi="Times New Roman"/>
                <w:sz w:val="14"/>
                <w:szCs w:val="14"/>
                <w:b w:val="1"/>
                <w:bCs w:val="1"/>
                <w:color w:val="auto"/>
              </w:rPr>
              <w:t>Nashville, Tennessee</w:t>
            </w:r>
          </w:p>
        </w:tc>
        <w:tc>
          <w:tcPr>
            <w:tcW w:w="2660" w:type="dxa"/>
            <w:vAlign w:val="bottom"/>
          </w:tcPr>
          <w:p>
            <w:pPr>
              <w:spacing w:after="0"/>
              <w:rPr>
                <w:sz w:val="18"/>
                <w:szCs w:val="18"/>
                <w:color w:val="auto"/>
              </w:rPr>
            </w:pPr>
          </w:p>
        </w:tc>
        <w:tc>
          <w:tcPr>
            <w:tcW w:w="3600" w:type="dxa"/>
            <w:vAlign w:val="bottom"/>
          </w:tcPr>
          <w:p>
            <w:pPr>
              <w:jc w:val="center"/>
              <w:ind w:left="1429"/>
              <w:spacing w:after="0"/>
              <w:rPr>
                <w:sz w:val="20"/>
                <w:szCs w:val="20"/>
                <w:color w:val="auto"/>
              </w:rPr>
            </w:pPr>
            <w:r>
              <w:rPr>
                <w:rFonts w:ascii="Times New Roman" w:cs="Times New Roman" w:eastAsia="Times New Roman" w:hAnsi="Times New Roman"/>
                <w:sz w:val="14"/>
                <w:szCs w:val="14"/>
                <w:b w:val="1"/>
                <w:bCs w:val="1"/>
                <w:color w:val="auto"/>
              </w:rPr>
              <w:t>(Zip Code)</w:t>
            </w:r>
          </w:p>
        </w:tc>
        <w:tc>
          <w:tcPr>
            <w:tcW w:w="0" w:type="dxa"/>
            <w:vAlign w:val="bottom"/>
          </w:tcPr>
          <w:p>
            <w:pPr>
              <w:spacing w:after="0"/>
              <w:rPr>
                <w:sz w:val="1"/>
                <w:szCs w:val="1"/>
                <w:color w:val="auto"/>
              </w:rPr>
            </w:pPr>
          </w:p>
        </w:tc>
      </w:tr>
      <w:tr>
        <w:trPr>
          <w:trHeight w:val="216"/>
        </w:trPr>
        <w:tc>
          <w:tcPr>
            <w:tcW w:w="6180" w:type="dxa"/>
            <w:vAlign w:val="bottom"/>
            <w:gridSpan w:val="2"/>
          </w:tcPr>
          <w:p>
            <w:pPr>
              <w:ind w:left="170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0"/>
        </w:trPr>
        <w:tc>
          <w:tcPr>
            <w:tcW w:w="3520" w:type="dxa"/>
            <w:vAlign w:val="bottom"/>
          </w:tcPr>
          <w:p>
            <w:pPr>
              <w:spacing w:after="0"/>
              <w:rPr>
                <w:sz w:val="24"/>
                <w:szCs w:val="24"/>
                <w:color w:val="auto"/>
              </w:rPr>
            </w:pPr>
          </w:p>
        </w:tc>
        <w:tc>
          <w:tcPr>
            <w:tcW w:w="6260" w:type="dxa"/>
            <w:vAlign w:val="bottom"/>
            <w:gridSpan w:val="2"/>
          </w:tcPr>
          <w:p>
            <w:pPr>
              <w:jc w:val="center"/>
              <w:ind w:right="198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 (615) 367-7000</w:t>
            </w:r>
          </w:p>
        </w:tc>
        <w:tc>
          <w:tcPr>
            <w:tcW w:w="0" w:type="dxa"/>
            <w:vAlign w:val="bottom"/>
          </w:tcPr>
          <w:p>
            <w:pPr>
              <w:spacing w:after="0"/>
              <w:rPr>
                <w:sz w:val="1"/>
                <w:szCs w:val="1"/>
                <w:color w:val="auto"/>
              </w:rPr>
            </w:pPr>
          </w:p>
        </w:tc>
      </w:tr>
      <w:tr>
        <w:trPr>
          <w:trHeight w:val="256"/>
        </w:trPr>
        <w:tc>
          <w:tcPr>
            <w:tcW w:w="3520" w:type="dxa"/>
            <w:vAlign w:val="bottom"/>
          </w:tcPr>
          <w:p>
            <w:pPr>
              <w:spacing w:after="0"/>
              <w:rPr>
                <w:sz w:val="22"/>
                <w:szCs w:val="22"/>
                <w:color w:val="auto"/>
              </w:rPr>
            </w:pPr>
          </w:p>
        </w:tc>
        <w:tc>
          <w:tcPr>
            <w:tcW w:w="6260" w:type="dxa"/>
            <w:vAlign w:val="bottom"/>
            <w:gridSpan w:val="2"/>
          </w:tcPr>
          <w:p>
            <w:pPr>
              <w:jc w:val="center"/>
              <w:ind w:right="1989"/>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tc>
        <w:tc>
          <w:tcPr>
            <w:tcW w:w="0" w:type="dxa"/>
            <w:vAlign w:val="bottom"/>
          </w:tcPr>
          <w:p>
            <w:pPr>
              <w:spacing w:after="0"/>
              <w:rPr>
                <w:sz w:val="1"/>
                <w:szCs w:val="1"/>
                <w:color w:val="auto"/>
              </w:rPr>
            </w:pPr>
          </w:p>
        </w:tc>
      </w:tr>
      <w:tr>
        <w:trPr>
          <w:trHeight w:val="228"/>
        </w:trPr>
        <w:tc>
          <w:tcPr>
            <w:tcW w:w="3520" w:type="dxa"/>
            <w:vAlign w:val="bottom"/>
            <w:vMerge w:val="restart"/>
          </w:tcPr>
          <w:p>
            <w:pPr>
              <w:ind w:left="172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660" w:type="dxa"/>
            <w:vAlign w:val="bottom"/>
            <w:vMerge w:val="restart"/>
          </w:tcPr>
          <w:p>
            <w:pPr>
              <w:jc w:val="center"/>
              <w:ind w:left="1488"/>
              <w:spacing w:after="0"/>
              <w:rPr>
                <w:sz w:val="20"/>
                <w:szCs w:val="20"/>
                <w:color w:val="auto"/>
              </w:rPr>
            </w:pPr>
            <w:r>
              <w:rPr>
                <w:rFonts w:ascii="Times New Roman" w:cs="Times New Roman" w:eastAsia="Times New Roman" w:hAnsi="Times New Roman"/>
                <w:sz w:val="14"/>
                <w:szCs w:val="14"/>
                <w:b w:val="1"/>
                <w:bCs w:val="1"/>
                <w:color w:val="auto"/>
              </w:rPr>
              <w:t>Trading Symbol</w:t>
            </w:r>
          </w:p>
        </w:tc>
        <w:tc>
          <w:tcPr>
            <w:tcW w:w="3600" w:type="dxa"/>
            <w:vAlign w:val="bottom"/>
          </w:tcPr>
          <w:p>
            <w:pPr>
              <w:jc w:val="center"/>
              <w:ind w:left="1969"/>
              <w:spacing w:after="0"/>
              <w:rPr>
                <w:sz w:val="20"/>
                <w:szCs w:val="20"/>
                <w:color w:val="auto"/>
              </w:rPr>
            </w:pPr>
            <w:r>
              <w:rPr>
                <w:rFonts w:ascii="Times New Roman" w:cs="Times New Roman" w:eastAsia="Times New Roman" w:hAnsi="Times New Roman"/>
                <w:sz w:val="14"/>
                <w:szCs w:val="14"/>
                <w:b w:val="1"/>
                <w:bCs w:val="1"/>
                <w:color w:val="auto"/>
              </w:rPr>
              <w:t>Name of Exchange</w:t>
            </w:r>
          </w:p>
        </w:tc>
        <w:tc>
          <w:tcPr>
            <w:tcW w:w="0" w:type="dxa"/>
            <w:vAlign w:val="bottom"/>
          </w:tcPr>
          <w:p>
            <w:pPr>
              <w:spacing w:after="0"/>
              <w:rPr>
                <w:sz w:val="1"/>
                <w:szCs w:val="1"/>
                <w:color w:val="auto"/>
              </w:rPr>
            </w:pPr>
          </w:p>
        </w:tc>
      </w:tr>
      <w:tr>
        <w:trPr>
          <w:trHeight w:val="190"/>
        </w:trPr>
        <w:tc>
          <w:tcPr>
            <w:tcW w:w="3520" w:type="dxa"/>
            <w:vAlign w:val="bottom"/>
            <w:vMerge w:val="continue"/>
          </w:tcPr>
          <w:p>
            <w:pPr>
              <w:spacing w:after="0"/>
              <w:rPr>
                <w:sz w:val="16"/>
                <w:szCs w:val="16"/>
                <w:color w:val="auto"/>
              </w:rPr>
            </w:pPr>
          </w:p>
        </w:tc>
        <w:tc>
          <w:tcPr>
            <w:tcW w:w="2660" w:type="dxa"/>
            <w:vAlign w:val="bottom"/>
            <w:vMerge w:val="continue"/>
          </w:tcPr>
          <w:p>
            <w:pPr>
              <w:spacing w:after="0"/>
              <w:rPr>
                <w:sz w:val="16"/>
                <w:szCs w:val="16"/>
                <w:color w:val="auto"/>
              </w:rPr>
            </w:pPr>
          </w:p>
        </w:tc>
        <w:tc>
          <w:tcPr>
            <w:tcW w:w="3600" w:type="dxa"/>
            <w:vAlign w:val="bottom"/>
          </w:tcPr>
          <w:p>
            <w:pPr>
              <w:jc w:val="center"/>
              <w:ind w:left="1969"/>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16"/>
        </w:trPr>
        <w:tc>
          <w:tcPr>
            <w:tcW w:w="3520" w:type="dxa"/>
            <w:vAlign w:val="bottom"/>
          </w:tcPr>
          <w:p>
            <w:pPr>
              <w:ind w:left="1320"/>
              <w:spacing w:after="0"/>
              <w:rPr>
                <w:sz w:val="20"/>
                <w:szCs w:val="20"/>
                <w:color w:val="auto"/>
              </w:rPr>
            </w:pPr>
            <w:r>
              <w:rPr>
                <w:rFonts w:ascii="Times New Roman" w:cs="Times New Roman" w:eastAsia="Times New Roman" w:hAnsi="Times New Roman"/>
                <w:sz w:val="14"/>
                <w:szCs w:val="14"/>
                <w:color w:val="auto"/>
              </w:rPr>
              <w:t>Common Stock, $1.00 par value</w:t>
            </w:r>
          </w:p>
        </w:tc>
        <w:tc>
          <w:tcPr>
            <w:tcW w:w="2660" w:type="dxa"/>
            <w:vAlign w:val="bottom"/>
          </w:tcPr>
          <w:p>
            <w:pPr>
              <w:jc w:val="center"/>
              <w:ind w:left="1488"/>
              <w:spacing w:after="0"/>
              <w:rPr>
                <w:sz w:val="20"/>
                <w:szCs w:val="20"/>
                <w:color w:val="auto"/>
              </w:rPr>
            </w:pPr>
            <w:r>
              <w:rPr>
                <w:rFonts w:ascii="Times New Roman" w:cs="Times New Roman" w:eastAsia="Times New Roman" w:hAnsi="Times New Roman"/>
                <w:sz w:val="14"/>
                <w:szCs w:val="14"/>
                <w:b w:val="1"/>
                <w:bCs w:val="1"/>
                <w:color w:val="auto"/>
              </w:rPr>
              <w:t>GCO</w:t>
            </w:r>
          </w:p>
        </w:tc>
        <w:tc>
          <w:tcPr>
            <w:tcW w:w="3600" w:type="dxa"/>
            <w:vAlign w:val="bottom"/>
          </w:tcPr>
          <w:p>
            <w:pPr>
              <w:jc w:val="center"/>
              <w:ind w:left="1969"/>
              <w:spacing w:after="0"/>
              <w:rPr>
                <w:sz w:val="20"/>
                <w:szCs w:val="20"/>
                <w:color w:val="auto"/>
              </w:rPr>
            </w:pPr>
            <w:r>
              <w:rPr>
                <w:rFonts w:ascii="Times New Roman" w:cs="Times New Roman" w:eastAsia="Times New Roman" w:hAnsi="Times New Roman"/>
                <w:sz w:val="14"/>
                <w:szCs w:val="14"/>
                <w:color w:val="auto"/>
              </w:rPr>
              <w:t>New York Stock Exchange</w:t>
            </w:r>
          </w:p>
        </w:tc>
        <w:tc>
          <w:tcPr>
            <w:tcW w:w="0" w:type="dxa"/>
            <w:vAlign w:val="bottom"/>
          </w:tcPr>
          <w:p>
            <w:pPr>
              <w:spacing w:after="0"/>
              <w:rPr>
                <w:sz w:val="1"/>
                <w:szCs w:val="1"/>
                <w:color w:val="auto"/>
              </w:rPr>
            </w:pPr>
          </w:p>
        </w:tc>
      </w:tr>
      <w:tr>
        <w:trPr>
          <w:trHeight w:val="255"/>
        </w:trPr>
        <w:tc>
          <w:tcPr>
            <w:tcW w:w="3520" w:type="dxa"/>
            <w:vAlign w:val="bottom"/>
          </w:tcPr>
          <w:p>
            <w:pPr>
              <w:spacing w:after="0"/>
              <w:rPr>
                <w:sz w:val="22"/>
                <w:szCs w:val="22"/>
                <w:color w:val="auto"/>
              </w:rPr>
            </w:pPr>
          </w:p>
        </w:tc>
        <w:tc>
          <w:tcPr>
            <w:tcW w:w="6260" w:type="dxa"/>
            <w:vAlign w:val="bottom"/>
            <w:gridSpan w:val="2"/>
          </w:tcPr>
          <w:p>
            <w:pPr>
              <w:jc w:val="center"/>
              <w:ind w:right="1989"/>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12(g) of the Act:</w:t>
            </w:r>
          </w:p>
        </w:tc>
        <w:tc>
          <w:tcPr>
            <w:tcW w:w="0" w:type="dxa"/>
            <w:vAlign w:val="bottom"/>
          </w:tcPr>
          <w:p>
            <w:pPr>
              <w:spacing w:after="0"/>
              <w:rPr>
                <w:sz w:val="1"/>
                <w:szCs w:val="1"/>
                <w:color w:val="auto"/>
              </w:rPr>
            </w:pPr>
          </w:p>
        </w:tc>
      </w:tr>
      <w:tr>
        <w:trPr>
          <w:trHeight w:val="190"/>
        </w:trPr>
        <w:tc>
          <w:tcPr>
            <w:tcW w:w="3520" w:type="dxa"/>
            <w:vAlign w:val="bottom"/>
          </w:tcPr>
          <w:p>
            <w:pPr>
              <w:spacing w:after="0"/>
              <w:rPr>
                <w:sz w:val="16"/>
                <w:szCs w:val="16"/>
                <w:color w:val="auto"/>
              </w:rPr>
            </w:pPr>
          </w:p>
        </w:tc>
        <w:tc>
          <w:tcPr>
            <w:tcW w:w="6260" w:type="dxa"/>
            <w:vAlign w:val="bottom"/>
            <w:gridSpan w:val="2"/>
          </w:tcPr>
          <w:p>
            <w:pPr>
              <w:jc w:val="center"/>
              <w:ind w:right="1989"/>
              <w:spacing w:after="0"/>
              <w:rPr>
                <w:sz w:val="20"/>
                <w:szCs w:val="20"/>
                <w:color w:val="auto"/>
              </w:rPr>
            </w:pPr>
            <w:r>
              <w:rPr>
                <w:rFonts w:ascii="Times New Roman" w:cs="Times New Roman" w:eastAsia="Times New Roman" w:hAnsi="Times New Roman"/>
                <w:sz w:val="14"/>
                <w:szCs w:val="14"/>
                <w:b w:val="1"/>
                <w:bCs w:val="1"/>
                <w:color w:val="auto"/>
              </w:rPr>
              <w:t>Employees’ Subordinated Convertible Preferred Stock</w:t>
            </w:r>
          </w:p>
        </w:tc>
        <w:tc>
          <w:tcPr>
            <w:tcW w:w="0" w:type="dxa"/>
            <w:vAlign w:val="bottom"/>
          </w:tcPr>
          <w:p>
            <w:pPr>
              <w:spacing w:after="0"/>
              <w:rPr>
                <w:sz w:val="1"/>
                <w:szCs w:val="1"/>
                <w:color w:val="auto"/>
              </w:rPr>
            </w:pPr>
          </w:p>
        </w:tc>
      </w:tr>
      <w:tr>
        <w:trPr>
          <w:trHeight w:val="216"/>
        </w:trPr>
        <w:tc>
          <w:tcPr>
            <w:tcW w:w="6180" w:type="dxa"/>
            <w:vAlign w:val="bottom"/>
            <w:gridSpan w:val="2"/>
          </w:tcPr>
          <w:p>
            <w:pPr>
              <w:spacing w:after="0"/>
              <w:rPr>
                <w:sz w:val="20"/>
                <w:szCs w:val="20"/>
                <w:color w:val="auto"/>
              </w:rPr>
            </w:pPr>
            <w:r>
              <w:rPr>
                <w:rFonts w:ascii="Times New Roman" w:cs="Times New Roman" w:eastAsia="Times New Roman" w:hAnsi="Times New Roman"/>
                <w:sz w:val="13"/>
                <w:szCs w:val="13"/>
                <w:color w:val="auto"/>
                <w:w w:val="97"/>
              </w:rPr>
              <w:t>Indicate by check mark if the registrant is a well-known seasoned issuer, as defined in Rule 405 of the Securities Act. Yes</w:t>
            </w:r>
          </w:p>
        </w:tc>
        <w:tc>
          <w:tcPr>
            <w:tcW w:w="3600" w:type="dxa"/>
            <w:vAlign w:val="bottom"/>
          </w:tcPr>
          <w:p>
            <w:pPr>
              <w:ind w:left="40"/>
              <w:spacing w:after="0" w:line="150" w:lineRule="exact"/>
              <w:rPr>
                <w:sz w:val="20"/>
                <w:szCs w:val="20"/>
                <w:color w:val="auto"/>
              </w:rPr>
            </w:pP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tc>
        <w:tc>
          <w:tcPr>
            <w:tcW w:w="0" w:type="dxa"/>
            <w:vAlign w:val="bottom"/>
          </w:tcPr>
          <w:p>
            <w:pPr>
              <w:spacing w:after="0"/>
              <w:rPr>
                <w:sz w:val="1"/>
                <w:szCs w:val="1"/>
                <w:color w:val="auto"/>
              </w:rPr>
            </w:pPr>
          </w:p>
        </w:tc>
      </w:tr>
    </w:tbl>
    <w:p>
      <w:pPr>
        <w:spacing w:after="0" w:line="150" w:lineRule="exact"/>
        <w:tabs>
          <w:tab w:leader="none" w:pos="6540" w:val="left"/>
        </w:tabs>
        <w:rPr>
          <w:sz w:val="20"/>
          <w:szCs w:val="20"/>
          <w:color w:val="auto"/>
        </w:rPr>
      </w:pPr>
      <w:r>
        <w:rPr>
          <w:rFonts w:ascii="Times New Roman" w:cs="Times New Roman" w:eastAsia="Times New Roman" w:hAnsi="Times New Roman"/>
          <w:sz w:val="13"/>
          <w:szCs w:val="13"/>
          <w:color w:val="auto"/>
        </w:rPr>
        <w:t xml:space="preserve">Indicate by check mark if the registrant is not required to file reports pursuant to Section 13 or Section 15(d) of the Act. Yes </w:t>
      </w:r>
      <w:r>
        <w:rPr>
          <w:rFonts w:ascii="MS PGothic" w:cs="MS PGothic" w:eastAsia="MS PGothic" w:hAnsi="MS PGothic"/>
          <w:sz w:val="13"/>
          <w:szCs w:val="13"/>
          <w:color w:val="auto"/>
        </w:rPr>
        <w:t>☐</w:t>
      </w:r>
      <w:r>
        <w:rPr>
          <w:sz w:val="20"/>
          <w:szCs w:val="20"/>
          <w:color w:val="auto"/>
        </w:rPr>
        <w:tab/>
      </w:r>
      <w:r>
        <w:rPr>
          <w:rFonts w:ascii="Times New Roman" w:cs="Times New Roman" w:eastAsia="Times New Roman" w:hAnsi="Times New Roman"/>
          <w:sz w:val="12"/>
          <w:szCs w:val="12"/>
          <w:color w:val="auto"/>
        </w:rPr>
        <w:t xml:space="preserve">No </w:t>
      </w:r>
      <w:r>
        <w:rPr>
          <w:rFonts w:ascii="MS PGothic" w:cs="MS PGothic" w:eastAsia="MS PGothic" w:hAnsi="MS PGothic"/>
          <w:sz w:val="12"/>
          <w:szCs w:val="12"/>
          <w:color w:val="auto"/>
        </w:rPr>
        <w:t>☒</w:t>
      </w:r>
    </w:p>
    <w:p>
      <w:pPr>
        <w:spacing w:after="0" w:line="58" w:lineRule="exact"/>
        <w:rPr>
          <w:sz w:val="24"/>
          <w:szCs w:val="24"/>
          <w:color w:val="auto"/>
        </w:rPr>
      </w:pPr>
    </w:p>
    <w:p>
      <w:pPr>
        <w:jc w:val="both"/>
        <w:spacing w:after="0" w:line="167"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5" w:lineRule="exact"/>
        <w:rPr>
          <w:sz w:val="24"/>
          <w:szCs w:val="24"/>
          <w:color w:val="auto"/>
        </w:rPr>
      </w:pPr>
    </w:p>
    <w:p>
      <w:pPr>
        <w:jc w:val="both"/>
        <w:spacing w:after="0" w:line="167"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5" w:lineRule="exact"/>
        <w:rPr>
          <w:sz w:val="24"/>
          <w:szCs w:val="24"/>
          <w:color w:val="auto"/>
        </w:rPr>
      </w:pPr>
    </w:p>
    <w:p>
      <w:pPr>
        <w:jc w:val="both"/>
        <w:spacing w:after="0"/>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118" w:lineRule="exact"/>
        <w:rPr>
          <w:sz w:val="24"/>
          <w:szCs w:val="24"/>
          <w:color w:val="auto"/>
        </w:rPr>
      </w:pPr>
    </w:p>
    <w:tbl>
      <w:tblPr>
        <w:tblLayout w:type="fixed"/>
        <w:tblInd w:w="60" w:type="dxa"/>
        <w:tblCellMar>
          <w:top w:w="0" w:type="dxa"/>
          <w:left w:w="0" w:type="dxa"/>
          <w:bottom w:w="0" w:type="dxa"/>
          <w:right w:w="0" w:type="dxa"/>
        </w:tblCellMar>
      </w:tblPr>
      <w:tr>
        <w:trPr>
          <w:trHeight w:val="213"/>
        </w:trPr>
        <w:tc>
          <w:tcPr>
            <w:tcW w:w="2140" w:type="dxa"/>
            <w:vAlign w:val="bottom"/>
          </w:tcPr>
          <w:p>
            <w:pPr>
              <w:spacing w:after="0"/>
              <w:rPr>
                <w:sz w:val="20"/>
                <w:szCs w:val="20"/>
                <w:color w:val="auto"/>
              </w:rPr>
            </w:pPr>
            <w:r>
              <w:rPr>
                <w:rFonts w:ascii="Times New Roman" w:cs="Times New Roman" w:eastAsia="Times New Roman" w:hAnsi="Times New Roman"/>
                <w:sz w:val="13"/>
                <w:szCs w:val="13"/>
                <w:color w:val="auto"/>
              </w:rPr>
              <w:t>Large accelerated filer</w:t>
            </w:r>
          </w:p>
        </w:tc>
        <w:tc>
          <w:tcPr>
            <w:tcW w:w="3640" w:type="dxa"/>
            <w:vAlign w:val="bottom"/>
          </w:tcPr>
          <w:p>
            <w:pPr>
              <w:ind w:left="1020"/>
              <w:spacing w:after="0" w:line="131" w:lineRule="exact"/>
              <w:rPr>
                <w:sz w:val="20"/>
                <w:szCs w:val="20"/>
                <w:color w:val="auto"/>
              </w:rPr>
            </w:pPr>
            <w:r>
              <w:rPr>
                <w:rFonts w:ascii="MS PGothic" w:cs="MS PGothic" w:eastAsia="MS PGothic" w:hAnsi="MS PGothic"/>
                <w:sz w:val="13"/>
                <w:szCs w:val="13"/>
                <w:color w:val="auto"/>
              </w:rPr>
              <w:t>☐</w:t>
            </w:r>
          </w:p>
        </w:tc>
        <w:tc>
          <w:tcPr>
            <w:tcW w:w="4540" w:type="dxa"/>
            <w:vAlign w:val="bottom"/>
          </w:tcPr>
          <w:p>
            <w:pPr>
              <w:ind w:left="2520"/>
              <w:spacing w:after="0"/>
              <w:rPr>
                <w:sz w:val="20"/>
                <w:szCs w:val="20"/>
                <w:color w:val="auto"/>
              </w:rPr>
            </w:pPr>
            <w:r>
              <w:rPr>
                <w:rFonts w:ascii="Times New Roman" w:cs="Times New Roman" w:eastAsia="Times New Roman" w:hAnsi="Times New Roman"/>
                <w:sz w:val="13"/>
                <w:szCs w:val="13"/>
                <w:color w:val="auto"/>
              </w:rPr>
              <w:t>Accelerated filer</w:t>
            </w:r>
          </w:p>
        </w:tc>
        <w:tc>
          <w:tcPr>
            <w:tcW w:w="720" w:type="dxa"/>
            <w:vAlign w:val="bottom"/>
          </w:tcPr>
          <w:p>
            <w:pPr>
              <w:ind w:left="60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16"/>
        </w:trPr>
        <w:tc>
          <w:tcPr>
            <w:tcW w:w="2140" w:type="dxa"/>
            <w:vAlign w:val="bottom"/>
          </w:tcPr>
          <w:p>
            <w:pPr>
              <w:spacing w:after="0"/>
              <w:rPr>
                <w:sz w:val="20"/>
                <w:szCs w:val="20"/>
                <w:color w:val="auto"/>
              </w:rPr>
            </w:pPr>
            <w:r>
              <w:rPr>
                <w:rFonts w:ascii="Times New Roman" w:cs="Times New Roman" w:eastAsia="Times New Roman" w:hAnsi="Times New Roman"/>
                <w:sz w:val="13"/>
                <w:szCs w:val="13"/>
                <w:color w:val="auto"/>
              </w:rPr>
              <w:t>Non-accelerated filer</w:t>
            </w:r>
          </w:p>
        </w:tc>
        <w:tc>
          <w:tcPr>
            <w:tcW w:w="3640" w:type="dxa"/>
            <w:vAlign w:val="bottom"/>
          </w:tcPr>
          <w:p>
            <w:pPr>
              <w:ind w:left="1020"/>
              <w:spacing w:after="0" w:line="131" w:lineRule="exact"/>
              <w:rPr>
                <w:sz w:val="20"/>
                <w:szCs w:val="20"/>
                <w:color w:val="auto"/>
              </w:rPr>
            </w:pPr>
            <w:r>
              <w:rPr>
                <w:rFonts w:ascii="MS PGothic" w:cs="MS PGothic" w:eastAsia="MS PGothic" w:hAnsi="MS PGothic"/>
                <w:sz w:val="13"/>
                <w:szCs w:val="13"/>
                <w:color w:val="auto"/>
              </w:rPr>
              <w:t>☐</w:t>
            </w:r>
          </w:p>
        </w:tc>
        <w:tc>
          <w:tcPr>
            <w:tcW w:w="4540" w:type="dxa"/>
            <w:vAlign w:val="bottom"/>
          </w:tcPr>
          <w:p>
            <w:pPr>
              <w:ind w:left="2520"/>
              <w:spacing w:after="0"/>
              <w:rPr>
                <w:sz w:val="20"/>
                <w:szCs w:val="20"/>
                <w:color w:val="auto"/>
              </w:rPr>
            </w:pPr>
            <w:r>
              <w:rPr>
                <w:rFonts w:ascii="Times New Roman" w:cs="Times New Roman" w:eastAsia="Times New Roman" w:hAnsi="Times New Roman"/>
                <w:sz w:val="13"/>
                <w:szCs w:val="13"/>
                <w:color w:val="auto"/>
              </w:rPr>
              <w:t>Smaller reporting company</w:t>
            </w:r>
          </w:p>
        </w:tc>
        <w:tc>
          <w:tcPr>
            <w:tcW w:w="720" w:type="dxa"/>
            <w:vAlign w:val="bottom"/>
          </w:tcPr>
          <w:p>
            <w:pPr>
              <w:ind w:left="60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16"/>
        </w:trPr>
        <w:tc>
          <w:tcPr>
            <w:tcW w:w="214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4540" w:type="dxa"/>
            <w:vAlign w:val="bottom"/>
          </w:tcPr>
          <w:p>
            <w:pPr>
              <w:ind w:left="2520"/>
              <w:spacing w:after="0"/>
              <w:rPr>
                <w:sz w:val="20"/>
                <w:szCs w:val="20"/>
                <w:color w:val="auto"/>
              </w:rPr>
            </w:pPr>
            <w:r>
              <w:rPr>
                <w:rFonts w:ascii="Times New Roman" w:cs="Times New Roman" w:eastAsia="Times New Roman" w:hAnsi="Times New Roman"/>
                <w:sz w:val="13"/>
                <w:szCs w:val="13"/>
                <w:color w:val="auto"/>
              </w:rPr>
              <w:t>Emerging Growth company</w:t>
            </w:r>
          </w:p>
        </w:tc>
        <w:tc>
          <w:tcPr>
            <w:tcW w:w="720" w:type="dxa"/>
            <w:vAlign w:val="bottom"/>
          </w:tcPr>
          <w:p>
            <w:pPr>
              <w:ind w:left="600"/>
              <w:spacing w:after="0" w:line="131" w:lineRule="exact"/>
              <w:rPr>
                <w:sz w:val="20"/>
                <w:szCs w:val="20"/>
                <w:color w:val="auto"/>
              </w:rPr>
            </w:pPr>
            <w:r>
              <w:rPr>
                <w:rFonts w:ascii="MS PGothic" w:cs="MS PGothic" w:eastAsia="MS PGothic" w:hAnsi="MS PGothic"/>
                <w:sz w:val="13"/>
                <w:szCs w:val="13"/>
                <w:color w:val="auto"/>
                <w:w w:val="76"/>
              </w:rPr>
              <w:t>☐</w:t>
            </w:r>
          </w:p>
        </w:tc>
      </w:tr>
    </w:tbl>
    <w:p>
      <w:pPr>
        <w:spacing w:after="0" w:line="126" w:lineRule="exact"/>
        <w:rPr>
          <w:sz w:val="24"/>
          <w:szCs w:val="24"/>
          <w:color w:val="auto"/>
        </w:rPr>
      </w:pPr>
    </w:p>
    <w:p>
      <w:pPr>
        <w:jc w:val="both"/>
        <w:ind w:right="20"/>
        <w:spacing w:after="0" w:line="167"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86" w:lineRule="exact"/>
        <w:rPr>
          <w:sz w:val="24"/>
          <w:szCs w:val="24"/>
          <w:color w:val="auto"/>
        </w:rPr>
      </w:pPr>
    </w:p>
    <w:p>
      <w:pPr>
        <w:spacing w:after="0" w:line="149"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3"/>
          <w:szCs w:val="13"/>
          <w:color w:val="auto"/>
        </w:rPr>
        <w:t>☒</w:t>
      </w:r>
    </w:p>
    <w:p>
      <w:pPr>
        <w:spacing w:after="0" w:line="1" w:lineRule="exact"/>
        <w:rPr>
          <w:sz w:val="24"/>
          <w:szCs w:val="24"/>
          <w:color w:val="auto"/>
        </w:rPr>
      </w:pPr>
    </w:p>
    <w:p>
      <w:pPr>
        <w:jc w:val="both"/>
        <w:spacing w:after="0" w:line="159" w:lineRule="exact"/>
        <w:rPr>
          <w:sz w:val="20"/>
          <w:szCs w:val="20"/>
          <w:color w:val="auto"/>
        </w:rPr>
      </w:pPr>
      <w:r>
        <w:rPr>
          <w:rFonts w:ascii="Times New Roman" w:cs="Times New Roman" w:eastAsia="Times New Roman" w:hAnsi="Times New Roman"/>
          <w:sz w:val="13"/>
          <w:szCs w:val="13"/>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3"/>
          <w:szCs w:val="13"/>
          <w:color w:val="auto"/>
        </w:rPr>
        <w:t>☐</w:t>
      </w:r>
    </w:p>
    <w:p>
      <w:pPr>
        <w:spacing w:after="0" w:line="6" w:lineRule="exact"/>
        <w:rPr>
          <w:sz w:val="24"/>
          <w:szCs w:val="24"/>
          <w:color w:val="auto"/>
        </w:rPr>
      </w:pPr>
    </w:p>
    <w:p>
      <w:pPr>
        <w:jc w:val="both"/>
        <w:spacing w:after="0" w:line="167" w:lineRule="exact"/>
        <w:rPr>
          <w:sz w:val="20"/>
          <w:szCs w:val="20"/>
          <w:color w:val="auto"/>
        </w:rPr>
      </w:pPr>
      <w:r>
        <w:rPr>
          <w:rFonts w:ascii="Times New Roman" w:cs="Times New Roman" w:eastAsia="Times New Roman" w:hAnsi="Times New Roman"/>
          <w:sz w:val="13"/>
          <w:szCs w:val="13"/>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3"/>
          <w:szCs w:val="13"/>
          <w:color w:val="auto"/>
        </w:rPr>
        <w:t>☐</w:t>
      </w:r>
    </w:p>
    <w:p>
      <w:pPr>
        <w:spacing w:after="0" w:line="5" w:lineRule="exact"/>
        <w:rPr>
          <w:sz w:val="24"/>
          <w:szCs w:val="24"/>
          <w:color w:val="auto"/>
        </w:rPr>
      </w:pPr>
    </w:p>
    <w:p>
      <w:pPr>
        <w:ind w:right="120"/>
        <w:spacing w:after="0" w:line="167" w:lineRule="exact"/>
        <w:rPr>
          <w:sz w:val="20"/>
          <w:szCs w:val="20"/>
          <w:color w:val="auto"/>
        </w:rPr>
      </w:pPr>
      <w:r>
        <w:rPr>
          <w:rFonts w:ascii="Times New Roman" w:cs="Times New Roman" w:eastAsia="Times New Roman" w:hAnsi="Times New Roman"/>
          <w:sz w:val="13"/>
          <w:szCs w:val="13"/>
          <w:color w:val="231F20"/>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3"/>
          <w:szCs w:val="13"/>
          <w:color w:val="000000"/>
        </w:rPr>
        <w:t>☐</w:t>
      </w:r>
    </w:p>
    <w:p>
      <w:pPr>
        <w:spacing w:after="0" w:line="5" w:lineRule="exact"/>
        <w:rPr>
          <w:sz w:val="24"/>
          <w:szCs w:val="24"/>
          <w:color w:val="auto"/>
        </w:rPr>
      </w:pPr>
    </w:p>
    <w:p>
      <w:pPr>
        <w:ind w:right="240"/>
        <w:spacing w:after="0" w:line="167" w:lineRule="exact"/>
        <w:rPr>
          <w:sz w:val="20"/>
          <w:szCs w:val="20"/>
          <w:color w:val="auto"/>
        </w:rPr>
      </w:pPr>
      <w:r>
        <w:rPr>
          <w:rFonts w:ascii="Times New Roman" w:cs="Times New Roman" w:eastAsia="Times New Roman" w:hAnsi="Times New Roman"/>
          <w:sz w:val="13"/>
          <w:szCs w:val="13"/>
          <w:color w:val="231F20"/>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3"/>
          <w:szCs w:val="13"/>
          <w:color w:val="000000"/>
        </w:rPr>
        <w:t>☐</w:t>
      </w:r>
    </w:p>
    <w:p>
      <w:pPr>
        <w:spacing w:after="0" w:line="150" w:lineRule="exact"/>
        <w:tabs>
          <w:tab w:leader="none" w:pos="5700" w:val="left"/>
        </w:tabs>
        <w:rPr>
          <w:sz w:val="20"/>
          <w:szCs w:val="20"/>
          <w:color w:val="auto"/>
        </w:rPr>
      </w:pPr>
      <w:r>
        <w:rPr>
          <w:rFonts w:ascii="Times New Roman" w:cs="Times New Roman" w:eastAsia="Times New Roman" w:hAnsi="Times New Roman"/>
          <w:sz w:val="13"/>
          <w:szCs w:val="13"/>
          <w:color w:val="auto"/>
        </w:rPr>
        <w:t xml:space="preserve">Indicate by check mark whether the registrant is a shell company (as defined in Rule 12b-2 of the Act.)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ab/>
        <w:t xml:space="preserve">No </w:t>
      </w:r>
      <w:r>
        <w:rPr>
          <w:rFonts w:ascii="MS PGothic" w:cs="MS PGothic" w:eastAsia="MS PGothic" w:hAnsi="MS PGothic"/>
          <w:sz w:val="13"/>
          <w:szCs w:val="13"/>
          <w:color w:val="auto"/>
        </w:rPr>
        <w:t>☒</w:t>
      </w:r>
    </w:p>
    <w:p>
      <w:pPr>
        <w:spacing w:after="0" w:line="58" w:lineRule="exact"/>
        <w:rPr>
          <w:sz w:val="24"/>
          <w:szCs w:val="24"/>
          <w:color w:val="auto"/>
        </w:rPr>
      </w:pPr>
    </w:p>
    <w:p>
      <w:pPr>
        <w:jc w:val="both"/>
        <w:spacing w:after="0" w:line="226" w:lineRule="auto"/>
        <w:rPr>
          <w:sz w:val="20"/>
          <w:szCs w:val="20"/>
          <w:color w:val="auto"/>
        </w:rPr>
      </w:pPr>
      <w:r>
        <w:rPr>
          <w:rFonts w:ascii="Times New Roman" w:cs="Times New Roman" w:eastAsia="Times New Roman" w:hAnsi="Times New Roman"/>
          <w:sz w:val="13"/>
          <w:szCs w:val="13"/>
          <w:color w:val="auto"/>
        </w:rPr>
        <w:t>State the aggregate market value of the voting and non-voting common equity held by non-affiliates computed by reference to the price at which the common equity was sold, or the average bid and asked price of such common equity, as of the last business day of the registrant’s most recently completed second fiscal quarter - $309,000,000. The market value calculation was determined using a per share price of $27.57, the price at which the common stock was last sold on the New York Stock Exchange on August 2, 2024, the last business day of the registrant’s most recently completed second fiscal quarter. For purposes of this calculation, shares of common stock held by nonaffiliates excludes only those shares beneficially owned by officers, directors, and shareholders owning 10% or more of the outstanding common stock (and, in each case, their immediate family members and affiliates).</w:t>
      </w:r>
    </w:p>
    <w:p>
      <w:pPr>
        <w:spacing w:after="0" w:line="25" w:lineRule="exact"/>
        <w:rPr>
          <w:sz w:val="24"/>
          <w:szCs w:val="24"/>
          <w:color w:val="auto"/>
        </w:rPr>
      </w:pPr>
    </w:p>
    <w:p>
      <w:pPr>
        <w:jc w:val="center"/>
        <w:ind w:right="160"/>
        <w:spacing w:after="0"/>
        <w:rPr>
          <w:sz w:val="20"/>
          <w:szCs w:val="20"/>
          <w:color w:val="auto"/>
        </w:rPr>
      </w:pPr>
      <w:r>
        <w:rPr>
          <w:rFonts w:ascii="Times New Roman" w:cs="Times New Roman" w:eastAsia="Times New Roman" w:hAnsi="Times New Roman"/>
          <w:sz w:val="12"/>
          <w:szCs w:val="12"/>
          <w:color w:val="auto"/>
        </w:rPr>
        <w:t>Indicate the number of shares outstanding of each of the registrant’s classes of common stock as of the latest practicable date: As of March 14, 2025, 11,038,311 shares of the registrant’s common stock were outstanding.</w:t>
      </w:r>
    </w:p>
    <w:p>
      <w:pPr>
        <w:spacing w:after="0" w:line="1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Documents Incorporated by Reference</w:t>
      </w:r>
    </w:p>
    <w:p>
      <w:pPr>
        <w:spacing w:after="0" w:line="120" w:lineRule="exact"/>
        <w:rPr>
          <w:sz w:val="24"/>
          <w:szCs w:val="24"/>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Certain portions of registrant’s Definitive Proxy Statement for its 2025 Annual Meeting of Shareholders (which is expected to be filed with the Securities and Exchange Commission within 120 days after the end of the registrant’s fiscal year ended February 1, 2025) are incorporated by reference into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585470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3" w:right="339" w:bottom="1440" w:gutter="0" w:footer="0" w:header="0"/>
        </w:sectPr>
      </w:pPr>
    </w:p>
    <w:bookmarkStart w:id="1" w:name="page2"/>
    <w:bookmarkEnd w:id="1"/>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780" w:type="dxa"/>
            <w:vAlign w:val="bottom"/>
            <w:gridSpan w:val="16"/>
          </w:tcPr>
          <w:p>
            <w:pPr>
              <w:jc w:val="center"/>
              <w:ind w:right="3460"/>
              <w:spacing w:after="0"/>
              <w:rPr>
                <w:sz w:val="20"/>
                <w:szCs w:val="20"/>
                <w:color w:val="auto"/>
              </w:rPr>
            </w:pPr>
            <w:r>
              <w:rPr>
                <w:rFonts w:ascii="Times New Roman" w:cs="Times New Roman" w:eastAsia="Times New Roman" w:hAnsi="Times New Roman"/>
                <w:sz w:val="18"/>
                <w:szCs w:val="18"/>
                <w:color w:val="auto"/>
                <w:w w:val="99"/>
              </w:rPr>
              <w:t>TABLE OF CONTENTS</w:t>
            </w: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vMerge w:val="restart"/>
          </w:tcPr>
          <w:p>
            <w:pPr>
              <w:spacing w:after="0"/>
              <w:rPr>
                <w:sz w:val="24"/>
                <w:szCs w:val="24"/>
                <w:color w:val="auto"/>
              </w:rPr>
            </w:pPr>
          </w:p>
        </w:tc>
        <w:tc>
          <w:tcPr>
            <w:tcW w:w="620" w:type="dxa"/>
            <w:vAlign w:val="bottom"/>
            <w:gridSpan w:val="3"/>
            <w:vMerge w:val="restart"/>
          </w:tcPr>
          <w:p>
            <w:pPr>
              <w:jc w:val="center"/>
              <w:ind w:right="20"/>
              <w:spacing w:after="0"/>
              <w:rPr>
                <w:sz w:val="20"/>
                <w:szCs w:val="20"/>
                <w:color w:val="auto"/>
              </w:rPr>
            </w:pPr>
            <w:r>
              <w:rPr>
                <w:rFonts w:ascii="Times New Roman" w:cs="Times New Roman" w:eastAsia="Times New Roman" w:hAnsi="Times New Roman"/>
                <w:sz w:val="18"/>
                <w:szCs w:val="18"/>
                <w:b w:val="1"/>
                <w:bCs w:val="1"/>
                <w:color w:val="0000FF"/>
                <w:w w:val="99"/>
              </w:rPr>
              <w:t>PART I</w:t>
            </w:r>
          </w:p>
        </w:tc>
        <w:tc>
          <w:tcPr>
            <w:tcW w:w="4800" w:type="dxa"/>
            <w:vAlign w:val="bottom"/>
            <w:gridSpan w:val="10"/>
            <w:vMerge w:val="restart"/>
          </w:tcPr>
          <w:p>
            <w:pPr>
              <w:spacing w:after="0"/>
              <w:rPr>
                <w:sz w:val="24"/>
                <w:szCs w:val="24"/>
                <w:color w:val="auto"/>
              </w:rPr>
            </w:pPr>
          </w:p>
        </w:tc>
        <w:tc>
          <w:tcPr>
            <w:tcW w:w="100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74"/>
        </w:trPr>
        <w:tc>
          <w:tcPr>
            <w:tcW w:w="1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vMerge w:val="continue"/>
          </w:tcPr>
          <w:p>
            <w:pPr>
              <w:spacing w:after="0"/>
              <w:rPr>
                <w:sz w:val="14"/>
                <w:szCs w:val="14"/>
                <w:color w:val="auto"/>
              </w:rPr>
            </w:pPr>
          </w:p>
        </w:tc>
        <w:tc>
          <w:tcPr>
            <w:tcW w:w="620" w:type="dxa"/>
            <w:vAlign w:val="bottom"/>
            <w:tcBorders>
              <w:bottom w:val="single" w:sz="8" w:color="0000FF"/>
            </w:tcBorders>
            <w:gridSpan w:val="3"/>
            <w:vMerge w:val="continue"/>
          </w:tcPr>
          <w:p>
            <w:pPr>
              <w:spacing w:after="0"/>
              <w:rPr>
                <w:sz w:val="14"/>
                <w:szCs w:val="14"/>
                <w:color w:val="auto"/>
              </w:rPr>
            </w:pPr>
          </w:p>
        </w:tc>
        <w:tc>
          <w:tcPr>
            <w:tcW w:w="4800" w:type="dxa"/>
            <w:vAlign w:val="bottom"/>
            <w:gridSpan w:val="10"/>
            <w:vMerge w:val="continue"/>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14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Item 1.</w:t>
            </w:r>
          </w:p>
        </w:tc>
        <w:tc>
          <w:tcPr>
            <w:tcW w:w="910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FF"/>
              </w:rPr>
              <w:t>Business</w:t>
            </w: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1140" w:type="dxa"/>
            <w:vAlign w:val="bottom"/>
            <w:tcBorders>
              <w:right w:val="single" w:sz="8" w:color="0000EE"/>
            </w:tcBorders>
          </w:tcPr>
          <w:p>
            <w:pPr>
              <w:spacing w:after="0" w:line="20" w:lineRule="exact"/>
              <w:rPr>
                <w:sz w:val="1"/>
                <w:szCs w:val="1"/>
                <w:color w:val="auto"/>
              </w:rPr>
            </w:pPr>
          </w:p>
        </w:tc>
        <w:tc>
          <w:tcPr>
            <w:tcW w:w="64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10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FF"/>
              </w:rPr>
              <w:t>Risk Factors</w:t>
            </w: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0"/>
        </w:trPr>
        <w:tc>
          <w:tcPr>
            <w:tcW w:w="1140" w:type="dxa"/>
            <w:vAlign w:val="bottom"/>
            <w:tcBorders>
              <w:right w:val="single" w:sz="8" w:color="0000EE"/>
            </w:tcBorders>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Item 1B.</w:t>
            </w:r>
          </w:p>
        </w:tc>
        <w:tc>
          <w:tcPr>
            <w:tcW w:w="910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FF"/>
              </w:rPr>
              <w:t>Unresolved Staff Comments</w:t>
            </w: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0"/>
        </w:trPr>
        <w:tc>
          <w:tcPr>
            <w:tcW w:w="1140" w:type="dxa"/>
            <w:vAlign w:val="bottom"/>
            <w:tcBorders>
              <w:right w:val="single" w:sz="8" w:color="0000EE"/>
            </w:tcBorders>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Item 1C.</w:t>
            </w:r>
          </w:p>
        </w:tc>
        <w:tc>
          <w:tcPr>
            <w:tcW w:w="910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FF"/>
              </w:rPr>
              <w:t>Cybersecurity</w:t>
            </w: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0"/>
        </w:trPr>
        <w:tc>
          <w:tcPr>
            <w:tcW w:w="1140" w:type="dxa"/>
            <w:vAlign w:val="bottom"/>
            <w:tcBorders>
              <w:right w:val="single" w:sz="8" w:color="0000EE"/>
            </w:tcBorders>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10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FF"/>
              </w:rPr>
              <w:t>Properties</w:t>
            </w: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0"/>
        </w:trPr>
        <w:tc>
          <w:tcPr>
            <w:tcW w:w="1140" w:type="dxa"/>
            <w:vAlign w:val="bottom"/>
            <w:tcBorders>
              <w:right w:val="single" w:sz="8" w:color="0000EE"/>
            </w:tcBorders>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EE"/>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910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FF"/>
              </w:rPr>
              <w:t>Legal Proceedings</w:t>
            </w: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0"/>
        </w:trPr>
        <w:tc>
          <w:tcPr>
            <w:tcW w:w="1140" w:type="dxa"/>
            <w:vAlign w:val="bottom"/>
            <w:tcBorders>
              <w:right w:val="single" w:sz="8" w:color="0000EE"/>
            </w:tcBorders>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22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10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FF"/>
              </w:rPr>
              <w:t>Mine Safety Disclosures</w:t>
            </w: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318"/>
        </w:trPr>
        <w:tc>
          <w:tcPr>
            <w:tcW w:w="1140" w:type="dxa"/>
            <w:vAlign w:val="bottom"/>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60" w:type="dxa"/>
            <w:vAlign w:val="bottom"/>
            <w:gridSpan w:val="14"/>
          </w:tcPr>
          <w:p>
            <w:pPr>
              <w:jc w:val="center"/>
              <w:ind w:right="4780"/>
              <w:spacing w:after="0"/>
              <w:rPr>
                <w:sz w:val="20"/>
                <w:szCs w:val="20"/>
                <w:color w:val="auto"/>
              </w:rPr>
            </w:pPr>
            <w:r>
              <w:rPr>
                <w:rFonts w:ascii="Times New Roman" w:cs="Times New Roman" w:eastAsia="Times New Roman" w:hAnsi="Times New Roman"/>
                <w:sz w:val="18"/>
                <w:szCs w:val="18"/>
                <w:b w:val="1"/>
                <w:bCs w:val="1"/>
                <w:color w:val="0000FF"/>
              </w:rPr>
              <w:t>PART II</w:t>
            </w: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tcBorders>
              <w:right w:val="single" w:sz="8" w:color="0000EE"/>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Item 5.</w:t>
            </w:r>
          </w:p>
        </w:tc>
        <w:tc>
          <w:tcPr>
            <w:tcW w:w="910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 of Equity Securities</w:t>
            </w: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0"/>
        </w:trPr>
        <w:tc>
          <w:tcPr>
            <w:tcW w:w="1140" w:type="dxa"/>
            <w:vAlign w:val="bottom"/>
            <w:tcBorders>
              <w:right w:val="single" w:sz="8" w:color="0000EE"/>
            </w:tcBorders>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tcBorders>
              <w:left w:val="single" w:sz="8" w:color="0000FF"/>
              <w:right w:val="single" w:sz="8" w:color="0000FF"/>
            </w:tcBorders>
            <w:gridSpan w:val="4"/>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910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FF"/>
              </w:rPr>
              <w:t>Reserved</w:t>
            </w: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0"/>
        </w:trPr>
        <w:tc>
          <w:tcPr>
            <w:tcW w:w="1140" w:type="dxa"/>
            <w:vAlign w:val="bottom"/>
            <w:tcBorders>
              <w:right w:val="single" w:sz="8" w:color="0000EE"/>
            </w:tcBorders>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Item 7.</w:t>
            </w:r>
          </w:p>
        </w:tc>
        <w:tc>
          <w:tcPr>
            <w:tcW w:w="910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0"/>
        </w:trPr>
        <w:tc>
          <w:tcPr>
            <w:tcW w:w="1140" w:type="dxa"/>
            <w:vAlign w:val="bottom"/>
            <w:tcBorders>
              <w:right w:val="single" w:sz="8" w:color="0000EE"/>
            </w:tcBorders>
          </w:tcPr>
          <w:p>
            <w:pPr>
              <w:spacing w:after="0" w:line="20" w:lineRule="exact"/>
              <w:rPr>
                <w:sz w:val="1"/>
                <w:szCs w:val="1"/>
                <w:color w:val="auto"/>
              </w:rPr>
            </w:pPr>
          </w:p>
        </w:tc>
        <w:tc>
          <w:tcPr>
            <w:tcW w:w="1300" w:type="dxa"/>
            <w:vAlign w:val="bottom"/>
            <w:tcBorders>
              <w:right w:val="single" w:sz="8" w:color="0000FF"/>
            </w:tcBorders>
            <w:gridSpan w:val="5"/>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Item 7A.</w:t>
            </w:r>
          </w:p>
        </w:tc>
        <w:tc>
          <w:tcPr>
            <w:tcW w:w="910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0"/>
        </w:trPr>
        <w:tc>
          <w:tcPr>
            <w:tcW w:w="1140" w:type="dxa"/>
            <w:vAlign w:val="bottom"/>
            <w:tcBorders>
              <w:right w:val="single" w:sz="8" w:color="0000EE"/>
            </w:tcBorders>
          </w:tcPr>
          <w:p>
            <w:pPr>
              <w:spacing w:after="0" w:line="20" w:lineRule="exact"/>
              <w:rPr>
                <w:sz w:val="1"/>
                <w:szCs w:val="1"/>
                <w:color w:val="auto"/>
              </w:rPr>
            </w:pPr>
          </w:p>
        </w:tc>
        <w:tc>
          <w:tcPr>
            <w:tcW w:w="1300" w:type="dxa"/>
            <w:vAlign w:val="bottom"/>
            <w:tcBorders>
              <w:right w:val="single" w:sz="8" w:color="0000FF"/>
            </w:tcBorders>
            <w:gridSpan w:val="5"/>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Item 8.</w:t>
            </w:r>
          </w:p>
        </w:tc>
        <w:tc>
          <w:tcPr>
            <w:tcW w:w="910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0"/>
        </w:trPr>
        <w:tc>
          <w:tcPr>
            <w:tcW w:w="1140" w:type="dxa"/>
            <w:vAlign w:val="bottom"/>
            <w:tcBorders>
              <w:right w:val="single" w:sz="8" w:color="0000EE"/>
            </w:tcBorders>
          </w:tcPr>
          <w:p>
            <w:pPr>
              <w:spacing w:after="0" w:line="20" w:lineRule="exact"/>
              <w:rPr>
                <w:sz w:val="1"/>
                <w:szCs w:val="1"/>
                <w:color w:val="auto"/>
              </w:rPr>
            </w:pPr>
          </w:p>
        </w:tc>
        <w:tc>
          <w:tcPr>
            <w:tcW w:w="1300" w:type="dxa"/>
            <w:vAlign w:val="bottom"/>
            <w:tcBorders>
              <w:right w:val="single" w:sz="8" w:color="0000FF"/>
            </w:tcBorders>
            <w:gridSpan w:val="5"/>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tcBorders>
              <w:right w:val="single" w:sz="8" w:color="0000EE"/>
            </w:tcBorders>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Item 9.</w:t>
            </w:r>
          </w:p>
        </w:tc>
        <w:tc>
          <w:tcPr>
            <w:tcW w:w="910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0"/>
        </w:trPr>
        <w:tc>
          <w:tcPr>
            <w:tcW w:w="1140" w:type="dxa"/>
            <w:vAlign w:val="bottom"/>
            <w:tcBorders>
              <w:right w:val="single" w:sz="8" w:color="0000EE"/>
            </w:tcBorders>
          </w:tcPr>
          <w:p>
            <w:pPr>
              <w:spacing w:after="0" w:line="20" w:lineRule="exact"/>
              <w:rPr>
                <w:sz w:val="1"/>
                <w:szCs w:val="1"/>
                <w:color w:val="auto"/>
              </w:rPr>
            </w:pPr>
          </w:p>
        </w:tc>
        <w:tc>
          <w:tcPr>
            <w:tcW w:w="1300" w:type="dxa"/>
            <w:vAlign w:val="bottom"/>
            <w:tcBorders>
              <w:right w:val="single" w:sz="8" w:color="0000FF"/>
            </w:tcBorders>
            <w:gridSpan w:val="5"/>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8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Item 9A.</w:t>
            </w:r>
          </w:p>
        </w:tc>
        <w:tc>
          <w:tcPr>
            <w:tcW w:w="910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FF"/>
              </w:rPr>
              <w:t>Controls and Procedures</w:t>
            </w: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0"/>
        </w:trPr>
        <w:tc>
          <w:tcPr>
            <w:tcW w:w="1140" w:type="dxa"/>
            <w:vAlign w:val="bottom"/>
            <w:tcBorders>
              <w:right w:val="single" w:sz="8" w:color="0000EE"/>
            </w:tcBorders>
          </w:tcPr>
          <w:p>
            <w:pPr>
              <w:spacing w:after="0" w:line="20" w:lineRule="exact"/>
              <w:rPr>
                <w:sz w:val="1"/>
                <w:szCs w:val="1"/>
                <w:color w:val="auto"/>
              </w:rPr>
            </w:pPr>
          </w:p>
        </w:tc>
        <w:tc>
          <w:tcPr>
            <w:tcW w:w="1300" w:type="dxa"/>
            <w:vAlign w:val="bottom"/>
            <w:tcBorders>
              <w:right w:val="single" w:sz="8" w:color="0000FF"/>
            </w:tcBorders>
            <w:gridSpan w:val="5"/>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Item 9B.</w:t>
            </w:r>
          </w:p>
        </w:tc>
        <w:tc>
          <w:tcPr>
            <w:tcW w:w="910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FF"/>
              </w:rPr>
              <w:t>Other Information</w:t>
            </w: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0"/>
        </w:trPr>
        <w:tc>
          <w:tcPr>
            <w:tcW w:w="1140" w:type="dxa"/>
            <w:vAlign w:val="bottom"/>
            <w:tcBorders>
              <w:right w:val="single" w:sz="8" w:color="0000EE"/>
            </w:tcBorders>
          </w:tcPr>
          <w:p>
            <w:pPr>
              <w:spacing w:after="0" w:line="20" w:lineRule="exact"/>
              <w:rPr>
                <w:sz w:val="1"/>
                <w:szCs w:val="1"/>
                <w:color w:val="auto"/>
              </w:rPr>
            </w:pPr>
          </w:p>
        </w:tc>
        <w:tc>
          <w:tcPr>
            <w:tcW w:w="1300" w:type="dxa"/>
            <w:vAlign w:val="bottom"/>
            <w:tcBorders>
              <w:right w:val="single" w:sz="8" w:color="0000EE"/>
            </w:tcBorders>
            <w:gridSpan w:val="5"/>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Item 9C.</w:t>
            </w:r>
          </w:p>
        </w:tc>
        <w:tc>
          <w:tcPr>
            <w:tcW w:w="910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318"/>
        </w:trPr>
        <w:tc>
          <w:tcPr>
            <w:tcW w:w="1140" w:type="dxa"/>
            <w:vAlign w:val="bottom"/>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760" w:type="dxa"/>
            <w:vAlign w:val="bottom"/>
            <w:tcBorders>
              <w:top w:val="single" w:sz="8" w:color="0000FF"/>
              <w:bottom w:val="single" w:sz="8" w:color="0000FF"/>
            </w:tcBorders>
            <w:gridSpan w:val="8"/>
          </w:tcPr>
          <w:p>
            <w:pPr>
              <w:jc w:val="center"/>
              <w:ind w:right="20"/>
              <w:spacing w:after="0"/>
              <w:rPr>
                <w:sz w:val="20"/>
                <w:szCs w:val="20"/>
                <w:color w:val="auto"/>
              </w:rPr>
            </w:pPr>
            <w:r>
              <w:rPr>
                <w:rFonts w:ascii="Times New Roman" w:cs="Times New Roman" w:eastAsia="Times New Roman" w:hAnsi="Times New Roman"/>
                <w:sz w:val="18"/>
                <w:szCs w:val="18"/>
                <w:b w:val="1"/>
                <w:bCs w:val="1"/>
                <w:color w:val="0000FF"/>
                <w:w w:val="99"/>
              </w:rPr>
              <w:t>PART III</w:t>
            </w:r>
          </w:p>
        </w:tc>
        <w:tc>
          <w:tcPr>
            <w:tcW w:w="500" w:type="dxa"/>
            <w:vAlign w:val="bottom"/>
            <w:tcBorders>
              <w:top w:val="single" w:sz="8" w:color="0000FF"/>
            </w:tcBorders>
          </w:tcPr>
          <w:p>
            <w:pPr>
              <w:spacing w:after="0"/>
              <w:rPr>
                <w:sz w:val="24"/>
                <w:szCs w:val="24"/>
                <w:color w:val="auto"/>
              </w:rPr>
            </w:pPr>
          </w:p>
        </w:tc>
        <w:tc>
          <w:tcPr>
            <w:tcW w:w="4220" w:type="dxa"/>
            <w:vAlign w:val="bottom"/>
            <w:gridSpan w:val="6"/>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Item 10.</w:t>
            </w:r>
          </w:p>
        </w:tc>
        <w:tc>
          <w:tcPr>
            <w:tcW w:w="910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0"/>
        </w:trPr>
        <w:tc>
          <w:tcPr>
            <w:tcW w:w="1140" w:type="dxa"/>
            <w:vAlign w:val="bottom"/>
            <w:tcBorders>
              <w:right w:val="single" w:sz="8" w:color="0000EE"/>
            </w:tcBorders>
          </w:tcPr>
          <w:p>
            <w:pPr>
              <w:spacing w:after="0" w:line="20" w:lineRule="exact"/>
              <w:rPr>
                <w:sz w:val="1"/>
                <w:szCs w:val="1"/>
                <w:color w:val="auto"/>
              </w:rPr>
            </w:pPr>
          </w:p>
        </w:tc>
        <w:tc>
          <w:tcPr>
            <w:tcW w:w="1520" w:type="dxa"/>
            <w:vAlign w:val="bottom"/>
            <w:gridSpan w:val="6"/>
            <w:shd w:val="clear" w:color="auto" w:fill="0000FF"/>
          </w:tcPr>
          <w:p>
            <w:pPr>
              <w:spacing w:after="0" w:line="20" w:lineRule="exact"/>
              <w:rPr>
                <w:sz w:val="1"/>
                <w:szCs w:val="1"/>
                <w:color w:val="auto"/>
              </w:rPr>
            </w:pPr>
          </w:p>
        </w:tc>
        <w:tc>
          <w:tcPr>
            <w:tcW w:w="280" w:type="dxa"/>
            <w:vAlign w:val="bottom"/>
            <w:tcBorders>
              <w:right w:val="single" w:sz="8" w:color="0000FF"/>
            </w:tcBorders>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Item 11.</w:t>
            </w:r>
          </w:p>
        </w:tc>
        <w:tc>
          <w:tcPr>
            <w:tcW w:w="910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FF"/>
              </w:rPr>
              <w:t>Executive Compensation</w:t>
            </w: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0"/>
        </w:trPr>
        <w:tc>
          <w:tcPr>
            <w:tcW w:w="1140" w:type="dxa"/>
            <w:vAlign w:val="bottom"/>
            <w:tcBorders>
              <w:right w:val="single" w:sz="8" w:color="0000EE"/>
            </w:tcBorders>
          </w:tcPr>
          <w:p>
            <w:pPr>
              <w:spacing w:after="0" w:line="20" w:lineRule="exact"/>
              <w:rPr>
                <w:sz w:val="1"/>
                <w:szCs w:val="1"/>
                <w:color w:val="auto"/>
              </w:rPr>
            </w:pPr>
          </w:p>
        </w:tc>
        <w:tc>
          <w:tcPr>
            <w:tcW w:w="1520" w:type="dxa"/>
            <w:vAlign w:val="bottom"/>
            <w:gridSpan w:val="6"/>
            <w:shd w:val="clear" w:color="auto" w:fill="0000FF"/>
          </w:tcPr>
          <w:p>
            <w:pPr>
              <w:spacing w:after="0" w:line="20" w:lineRule="exact"/>
              <w:rPr>
                <w:sz w:val="1"/>
                <w:szCs w:val="1"/>
                <w:color w:val="auto"/>
              </w:rPr>
            </w:pPr>
          </w:p>
        </w:tc>
        <w:tc>
          <w:tcPr>
            <w:tcW w:w="280" w:type="dxa"/>
            <w:vAlign w:val="bottom"/>
            <w:tcBorders>
              <w:right w:val="single" w:sz="8" w:color="0000EE"/>
            </w:tcBorders>
            <w:gridSpan w:val="2"/>
            <w:shd w:val="clear" w:color="auto" w:fill="0000FF"/>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720" w:type="dxa"/>
            <w:vAlign w:val="bottom"/>
            <w:gridSpan w:val="6"/>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Item 12.</w:t>
            </w:r>
          </w:p>
        </w:tc>
        <w:tc>
          <w:tcPr>
            <w:tcW w:w="910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0"/>
        </w:trPr>
        <w:tc>
          <w:tcPr>
            <w:tcW w:w="1140" w:type="dxa"/>
            <w:vAlign w:val="bottom"/>
            <w:tcBorders>
              <w:right w:val="single" w:sz="8" w:color="0000EE"/>
            </w:tcBorders>
          </w:tcPr>
          <w:p>
            <w:pPr>
              <w:spacing w:after="0" w:line="20" w:lineRule="exact"/>
              <w:rPr>
                <w:sz w:val="1"/>
                <w:szCs w:val="1"/>
                <w:color w:val="auto"/>
              </w:rPr>
            </w:pPr>
          </w:p>
        </w:tc>
        <w:tc>
          <w:tcPr>
            <w:tcW w:w="1520" w:type="dxa"/>
            <w:vAlign w:val="bottom"/>
            <w:gridSpan w:val="6"/>
            <w:shd w:val="clear" w:color="auto" w:fill="0000FF"/>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720" w:type="dxa"/>
            <w:vAlign w:val="bottom"/>
            <w:gridSpan w:val="6"/>
            <w:shd w:val="clear" w:color="auto" w:fill="0000FF"/>
          </w:tcPr>
          <w:p>
            <w:pPr>
              <w:spacing w:after="0" w:line="20" w:lineRule="exact"/>
              <w:rPr>
                <w:sz w:val="1"/>
                <w:szCs w:val="1"/>
                <w:color w:val="auto"/>
              </w:rPr>
            </w:pPr>
          </w:p>
        </w:tc>
        <w:tc>
          <w:tcPr>
            <w:tcW w:w="1080" w:type="dxa"/>
            <w:vAlign w:val="bottom"/>
            <w:gridSpan w:val="3"/>
            <w:shd w:val="clear" w:color="auto" w:fill="0000FF"/>
          </w:tcPr>
          <w:p>
            <w:pPr>
              <w:spacing w:after="0" w:line="20" w:lineRule="exact"/>
              <w:rPr>
                <w:sz w:val="1"/>
                <w:szCs w:val="1"/>
                <w:color w:val="auto"/>
              </w:rPr>
            </w:pPr>
          </w:p>
        </w:tc>
        <w:tc>
          <w:tcPr>
            <w:tcW w:w="1820" w:type="dxa"/>
            <w:vAlign w:val="bottom"/>
            <w:gridSpan w:val="3"/>
            <w:shd w:val="clear" w:color="auto" w:fill="0000FF"/>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Item 13.</w:t>
            </w:r>
          </w:p>
        </w:tc>
        <w:tc>
          <w:tcPr>
            <w:tcW w:w="910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0"/>
        </w:trPr>
        <w:tc>
          <w:tcPr>
            <w:tcW w:w="1140" w:type="dxa"/>
            <w:vAlign w:val="bottom"/>
            <w:tcBorders>
              <w:right w:val="single" w:sz="8" w:color="0000EE"/>
            </w:tcBorders>
          </w:tcPr>
          <w:p>
            <w:pPr>
              <w:spacing w:after="0" w:line="20" w:lineRule="exact"/>
              <w:rPr>
                <w:sz w:val="1"/>
                <w:szCs w:val="1"/>
                <w:color w:val="auto"/>
              </w:rPr>
            </w:pPr>
          </w:p>
        </w:tc>
        <w:tc>
          <w:tcPr>
            <w:tcW w:w="1520" w:type="dxa"/>
            <w:vAlign w:val="bottom"/>
            <w:gridSpan w:val="6"/>
            <w:shd w:val="clear" w:color="auto" w:fill="0000FF"/>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720" w:type="dxa"/>
            <w:vAlign w:val="bottom"/>
            <w:gridSpan w:val="6"/>
            <w:shd w:val="clear" w:color="auto" w:fill="0000FF"/>
          </w:tcPr>
          <w:p>
            <w:pPr>
              <w:spacing w:after="0" w:line="20" w:lineRule="exact"/>
              <w:rPr>
                <w:sz w:val="1"/>
                <w:szCs w:val="1"/>
                <w:color w:val="auto"/>
              </w:rPr>
            </w:pPr>
          </w:p>
        </w:tc>
        <w:tc>
          <w:tcPr>
            <w:tcW w:w="1080" w:type="dxa"/>
            <w:vAlign w:val="bottom"/>
            <w:gridSpan w:val="3"/>
            <w:shd w:val="clear" w:color="auto" w:fill="0000FF"/>
          </w:tcPr>
          <w:p>
            <w:pPr>
              <w:spacing w:after="0" w:line="20" w:lineRule="exact"/>
              <w:rPr>
                <w:sz w:val="1"/>
                <w:szCs w:val="1"/>
                <w:color w:val="auto"/>
              </w:rPr>
            </w:pPr>
          </w:p>
        </w:tc>
        <w:tc>
          <w:tcPr>
            <w:tcW w:w="3660" w:type="dxa"/>
            <w:vAlign w:val="bottom"/>
            <w:gridSpan w:val="5"/>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Item 14.</w:t>
            </w:r>
          </w:p>
        </w:tc>
        <w:tc>
          <w:tcPr>
            <w:tcW w:w="910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FF"/>
              </w:rPr>
              <w:t>Principal Accounting Fees and Services</w:t>
            </w: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318"/>
        </w:trPr>
        <w:tc>
          <w:tcPr>
            <w:tcW w:w="1140" w:type="dxa"/>
            <w:vAlign w:val="bottom"/>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80" w:type="dxa"/>
            <w:vAlign w:val="bottom"/>
            <w:gridSpan w:val="15"/>
          </w:tcPr>
          <w:p>
            <w:pPr>
              <w:jc w:val="center"/>
              <w:ind w:right="4740"/>
              <w:spacing w:after="0"/>
              <w:rPr>
                <w:sz w:val="20"/>
                <w:szCs w:val="20"/>
                <w:color w:val="auto"/>
              </w:rPr>
            </w:pPr>
            <w:r>
              <w:rPr>
                <w:rFonts w:ascii="Times New Roman" w:cs="Times New Roman" w:eastAsia="Times New Roman" w:hAnsi="Times New Roman"/>
                <w:sz w:val="18"/>
                <w:szCs w:val="18"/>
                <w:b w:val="1"/>
                <w:bCs w:val="1"/>
                <w:color w:val="0000FF"/>
              </w:rPr>
              <w:t>PART IV</w:t>
            </w: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4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Item 15.</w:t>
            </w:r>
          </w:p>
        </w:tc>
        <w:tc>
          <w:tcPr>
            <w:tcW w:w="364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Exhibits and Financial Statement Schedules</w:t>
            </w:r>
          </w:p>
        </w:tc>
        <w:tc>
          <w:tcPr>
            <w:tcW w:w="720" w:type="dxa"/>
            <w:vAlign w:val="bottom"/>
            <w:tcBorders>
              <w:top w:val="single" w:sz="8" w:color="0000FF"/>
            </w:tcBorders>
            <w:gridSpan w:val="6"/>
          </w:tcPr>
          <w:p>
            <w:pPr>
              <w:spacing w:after="0"/>
              <w:rPr>
                <w:sz w:val="17"/>
                <w:szCs w:val="17"/>
                <w:color w:val="auto"/>
              </w:rPr>
            </w:pPr>
          </w:p>
        </w:tc>
        <w:tc>
          <w:tcPr>
            <w:tcW w:w="4740" w:type="dxa"/>
            <w:vAlign w:val="bottom"/>
            <w:gridSpan w:val="8"/>
          </w:tcPr>
          <w:p>
            <w:pPr>
              <w:spacing w:after="0"/>
              <w:rPr>
                <w:sz w:val="17"/>
                <w:szCs w:val="17"/>
                <w:color w:val="auto"/>
              </w:rPr>
            </w:pP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0"/>
        </w:trPr>
        <w:tc>
          <w:tcPr>
            <w:tcW w:w="1140" w:type="dxa"/>
            <w:vAlign w:val="bottom"/>
            <w:tcBorders>
              <w:right w:val="single" w:sz="8" w:color="0000EE"/>
            </w:tcBorders>
          </w:tcPr>
          <w:p>
            <w:pPr>
              <w:spacing w:after="0" w:line="20" w:lineRule="exact"/>
              <w:rPr>
                <w:sz w:val="1"/>
                <w:szCs w:val="1"/>
                <w:color w:val="auto"/>
              </w:rPr>
            </w:pPr>
          </w:p>
        </w:tc>
        <w:tc>
          <w:tcPr>
            <w:tcW w:w="1520" w:type="dxa"/>
            <w:vAlign w:val="bottom"/>
            <w:gridSpan w:val="6"/>
            <w:shd w:val="clear" w:color="auto" w:fill="0000FF"/>
          </w:tcPr>
          <w:p>
            <w:pPr>
              <w:spacing w:after="0" w:line="20" w:lineRule="exact"/>
              <w:rPr>
                <w:sz w:val="1"/>
                <w:szCs w:val="1"/>
                <w:color w:val="auto"/>
              </w:rPr>
            </w:pPr>
          </w:p>
        </w:tc>
        <w:tc>
          <w:tcPr>
            <w:tcW w:w="1620" w:type="dxa"/>
            <w:vAlign w:val="bottom"/>
            <w:gridSpan w:val="5"/>
            <w:shd w:val="clear" w:color="auto" w:fill="0000FF"/>
          </w:tcPr>
          <w:p>
            <w:pPr>
              <w:spacing w:after="0" w:line="20" w:lineRule="exact"/>
              <w:rPr>
                <w:sz w:val="1"/>
                <w:szCs w:val="1"/>
                <w:color w:val="auto"/>
              </w:rPr>
            </w:pPr>
          </w:p>
        </w:tc>
        <w:tc>
          <w:tcPr>
            <w:tcW w:w="5960" w:type="dxa"/>
            <w:vAlign w:val="bottom"/>
            <w:gridSpan w:val="17"/>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Item 16.</w:t>
            </w:r>
          </w:p>
        </w:tc>
        <w:tc>
          <w:tcPr>
            <w:tcW w:w="910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FF"/>
              </w:rPr>
              <w:t>Form 10-K Summary</w:t>
            </w: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885"/>
        </w:trPr>
        <w:tc>
          <w:tcPr>
            <w:tcW w:w="1140" w:type="dxa"/>
            <w:vAlign w:val="bottom"/>
          </w:tcPr>
          <w:p>
            <w:pPr>
              <w:spacing w:after="0"/>
              <w:rPr>
                <w:sz w:val="24"/>
                <w:szCs w:val="24"/>
                <w:color w:val="auto"/>
              </w:rPr>
            </w:pPr>
          </w:p>
        </w:tc>
        <w:tc>
          <w:tcPr>
            <w:tcW w:w="1520" w:type="dxa"/>
            <w:vAlign w:val="bottom"/>
            <w:tcBorders>
              <w:top w:val="single" w:sz="8" w:color="0000FF"/>
            </w:tcBorders>
            <w:gridSpan w:val="6"/>
          </w:tcPr>
          <w:p>
            <w:pPr>
              <w:spacing w:after="0"/>
              <w:rPr>
                <w:sz w:val="24"/>
                <w:szCs w:val="24"/>
                <w:color w:val="auto"/>
              </w:rPr>
            </w:pPr>
          </w:p>
        </w:tc>
        <w:tc>
          <w:tcPr>
            <w:tcW w:w="3360" w:type="dxa"/>
            <w:vAlign w:val="bottom"/>
            <w:gridSpan w:val="16"/>
          </w:tcPr>
          <w:p>
            <w:pPr>
              <w:jc w:val="right"/>
              <w:ind w:right="360"/>
              <w:spacing w:after="0"/>
              <w:rPr>
                <w:sz w:val="20"/>
                <w:szCs w:val="20"/>
                <w:color w:val="auto"/>
              </w:rPr>
            </w:pPr>
            <w:r>
              <w:rPr>
                <w:rFonts w:ascii="Times New Roman" w:cs="Times New Roman" w:eastAsia="Times New Roman" w:hAnsi="Times New Roman"/>
                <w:sz w:val="18"/>
                <w:szCs w:val="18"/>
                <w:color w:val="auto"/>
              </w:rPr>
              <w:t>2</w:t>
            </w: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14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spacing w:after="0" w:line="13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u w:val="single" w:color="auto"/>
          <w:color w:val="auto"/>
        </w:rPr>
        <w:t>Cautionary Notice Regarding Forward-Looking Statements</w:t>
      </w:r>
    </w:p>
    <w:p>
      <w:pPr>
        <w:spacing w:after="0" w:line="20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This Annual Report on Form 10-K (this "report") includes certain forward-looking statements, which include statements regarding our intent, belief or expectations and all statements other than those made solely with respect to historical fact. Actual results could differ materially from those reflected by the forward-looking statements in this report and a number of factors may adversely affect the forward-looking statements and our future results, liquidity, capital resources or prospects. These include, but are not limited to, adjustments to projections reflected in forward-looking statements, including those resulting from weakness in store, e-commerce and shopping mall traffic, restrictions on operations imposed by government entities and/or landlords, changes in public safety and health requirements and limitations on our ability to adequately staff and operate stores. Differences from expectations could also result from store closures and effects on the business as a result of the level of consumer spending on our merchandise and interest in our brands and in general; the level and timing of promotional activity necessary to maintain inventories at appropriate levels; our ability to pass on price increases to our customers; the imposition of tariffs on products imported by us or our vendors as well as the ability and costs to move production of products in response to tariffs; our ability to obtain from suppliers products that are in-demand on a timely basis and effectively manage disruptions in product supply or distribution, including disruptions as a result of pandemics or geopolitical events, including shipping disruptions near crucial trade routes; unfavorable trends in fuel costs, foreign exchange rates, foreign labor and material costs; a disruption in shipping or increase in cost of our imported products, and other factors affecting the cost of products; our dependence on third-party vendors and licensors for the products we sell; our ability to renew our license agreements; impacts of the Russia-Ukraine war and the Israel-Hamas war, and other sources of market weakness in the U.K. and the Republic of Ireland; the effectiveness of our omni-channel initiatives; costs associated with changes in minimum wage and overtime requirements; wage pressure in the U.S. and the U.K.; labor shortages; the effects of inflation; the evolving regulatory landscape related to our use of social media; the establishment and protection of our intellectual property; weakness in the consumer economy and retail industry; competition and fashion trends in our markets, including trends with respect to the popularity of casual and dress footwear; any failure to increase sales at our existing stores, given our high fixed expense cost structure, and in our e-commerce businesses; risks related to the potential for terrorist events and civil disturbances; risks related to public health and safety events; changes in buying patterns by significant wholesale customers; changes in consumer preferences; our ability to continue to complete and integrate acquisitions; our ability to expand our business and diversify our product base; impairment of goodwill in connection with acquisitions; payment related risks that could increase our operating cost, expose us to fraud or theft, subject us to potential liability and disrupt our business; retained liabilities associated with divestitures of businesses including potential liabilities under leases as the prior tenant or as a guarantor of certain leases; and changes in the timing of holidays or in the onset of seasonal weather affecting period-to-period sales comparisons. Additional factors that could cause differences from expectations include the ability to secure allocations to refine product assortments to address consumer demand; the ability to renew leases in existing stores and control or lower occupancy costs, to open or close stores in the number and on the planned schedule, and to conduct required remodeling or refurbishment on schedule and at expected expense levels; our ability to realize anticipated cost savings, including rent savings; the timing and amount of any share repurchases by us; our ability to make our occupancy costs more variable; our ability to achieve expected digital gains and gain market share; deterioration in the performance of individual businesses or of our market value relative to our book value, resulting in impairments of fixed assets, operating lease right of use assets or intangible assets or other adverse financial consequences and the timing and amount of such impairments or other consequences; unexpected changes to the market for our shares or for the retail sector in general; costs and reputational harm as a result of disruptions in our business or information technology systems either by security breaches and incidents or by potential problems associated with the implementation of new or upgraded systems; our ability to realize any anticipated tax benefits in both the amount and timeframe anticipated; and the cost and outcome of litigation, investigations, environmental matters and other disputes that involve us. For a full discussion of risk factors, see Item 1A, "Risk Factors".</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1. BUSINESS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General</w:t>
      </w:r>
    </w:p>
    <w:p>
      <w:pPr>
        <w:spacing w:after="0" w:line="189" w:lineRule="exact"/>
        <w:rPr>
          <w:sz w:val="20"/>
          <w:szCs w:val="20"/>
          <w:color w:val="auto"/>
        </w:rPr>
      </w:pPr>
    </w:p>
    <w:p>
      <w:pPr>
        <w:jc w:val="both"/>
        <w:spacing w:after="0" w:line="223" w:lineRule="auto"/>
        <w:rPr>
          <w:sz w:val="20"/>
          <w:szCs w:val="20"/>
          <w:color w:val="auto"/>
        </w:rPr>
      </w:pPr>
      <w:r>
        <w:rPr>
          <w:rFonts w:ascii="Times New Roman" w:cs="Times New Roman" w:eastAsia="Times New Roman" w:hAnsi="Times New Roman"/>
          <w:sz w:val="18"/>
          <w:szCs w:val="18"/>
          <w:color w:val="auto"/>
        </w:rPr>
        <w:t>Genesco Inc., incorporated in 1934 in the State of Tennessee, is a leading retailer and wholesaler of branded footwear, apparel and accessories with net sales for Fiscal 2025 of $2.3 billion. During Fiscal 2025, we operated four reportable business segments (not including corporate): (i) Journeys Group, comprised of the Journeys</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Journeys Kidz</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and Little Burgundy</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retail footwear chains and e-commerce operations; (ii) Schuh Group, comprised of the Schuh retail footwear chain and e-commerce operations; (iii) Johnston &amp; Murphy Group, comprised of Johnston &amp; Murphy</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retail operations, e-commerce operations and wholesale distribution of products under the Johnston &amp; Murphy</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brand; and (iv) Genesco Brands Group, comprised of the licensed Dockers</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Levi's</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and G.H. Bass</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brands, as well as other brands we license for footwear. We also source, design, market and distribute footwear under our Johnston &amp; Murphy brand and the licensed Levi's, Dockers and G.H. Bass brands, as well as other brands that we license for footwear to over 950 retail accounts in the United States, including a number of leading department, discount, and specialty stores as well as e-commerce retailers.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February 1, 2025, we operated 1,278 retail footwear, apparel and accessory stores located primarily throughout the United States and in Puerto Rico, including 65 footwear stores in Canada and 124 footwear stores in the United Kingdom ("U.K.") and the Republic of Ireland ("ROI"). We plan to open a total of approximately 22 new retail stores and to close approximately 68 retail stores in Fiscal 2026.</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additional information concerning our retail footwear, apparel and accessory stores during the five most recent fiscal years as we optimize our retail footprint and adapt to changing consumer shopping behavior:</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0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Fiscal</w:t>
            </w:r>
          </w:p>
        </w:tc>
        <w:tc>
          <w:tcPr>
            <w:tcW w:w="14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Fiscal</w:t>
            </w:r>
          </w:p>
        </w:tc>
        <w:tc>
          <w:tcPr>
            <w:tcW w:w="10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Fiscal</w:t>
            </w:r>
          </w:p>
        </w:tc>
        <w:tc>
          <w:tcPr>
            <w:tcW w:w="12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Fiscal</w:t>
            </w:r>
          </w:p>
        </w:tc>
        <w:tc>
          <w:tcPr>
            <w:tcW w:w="12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Fiscal</w:t>
            </w:r>
          </w:p>
        </w:tc>
      </w:tr>
      <w:tr>
        <w:trPr>
          <w:trHeight w:val="238"/>
        </w:trPr>
        <w:tc>
          <w:tcPr>
            <w:tcW w:w="5200" w:type="dxa"/>
            <w:vAlign w:val="bottom"/>
          </w:tcPr>
          <w:p>
            <w:pPr>
              <w:spacing w:after="0"/>
              <w:rPr>
                <w:sz w:val="20"/>
                <w:szCs w:val="20"/>
                <w:color w:val="auto"/>
              </w:rPr>
            </w:pP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2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10"/>
        </w:trPr>
        <w:tc>
          <w:tcPr>
            <w:tcW w:w="5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Retail Stores</w:t>
            </w:r>
          </w:p>
        </w:tc>
        <w:tc>
          <w:tcPr>
            <w:tcW w:w="1140" w:type="dxa"/>
            <w:vAlign w:val="bottom"/>
            <w:tcBorders>
              <w:top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r>
      <w:tr>
        <w:trPr>
          <w:trHeight w:val="216"/>
        </w:trPr>
        <w:tc>
          <w:tcPr>
            <w:tcW w:w="52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Beginning of year</w:t>
            </w:r>
          </w:p>
        </w:tc>
        <w:tc>
          <w:tcPr>
            <w:tcW w:w="11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1,480</w:t>
            </w:r>
          </w:p>
        </w:tc>
        <w:tc>
          <w:tcPr>
            <w:tcW w:w="12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1,460</w:t>
            </w:r>
          </w:p>
        </w:tc>
        <w:tc>
          <w:tcPr>
            <w:tcW w:w="12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1,425</w:t>
            </w:r>
          </w:p>
        </w:tc>
        <w:tc>
          <w:tcPr>
            <w:tcW w:w="12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1,410</w:t>
            </w:r>
          </w:p>
        </w:tc>
        <w:tc>
          <w:tcPr>
            <w:tcW w:w="12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1,341</w:t>
            </w:r>
          </w:p>
        </w:tc>
      </w:tr>
      <w:tr>
        <w:trPr>
          <w:trHeight w:val="216"/>
        </w:trPr>
        <w:tc>
          <w:tcPr>
            <w:tcW w:w="52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Opened during year</w:t>
            </w:r>
          </w:p>
        </w:tc>
        <w:tc>
          <w:tcPr>
            <w:tcW w:w="11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13</w:t>
            </w:r>
          </w:p>
        </w:tc>
        <w:tc>
          <w:tcPr>
            <w:tcW w:w="126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c>
          <w:tcPr>
            <w:tcW w:w="120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28</w:t>
            </w:r>
          </w:p>
        </w:tc>
        <w:tc>
          <w:tcPr>
            <w:tcW w:w="122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32</w:t>
            </w:r>
          </w:p>
        </w:tc>
        <w:tc>
          <w:tcPr>
            <w:tcW w:w="122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52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Closed during year</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140" w:type="dxa"/>
            <w:vAlign w:val="bottom"/>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100" w:type="dxa"/>
            <w:vAlign w:val="bottom"/>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120" w:type="dxa"/>
            <w:vAlign w:val="bottom"/>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(101 )</w:t>
            </w:r>
          </w:p>
        </w:tc>
        <w:tc>
          <w:tcPr>
            <w:tcW w:w="120" w:type="dxa"/>
            <w:vAlign w:val="bottom"/>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(75 )</w:t>
            </w:r>
          </w:p>
        </w:tc>
      </w:tr>
      <w:tr>
        <w:trPr>
          <w:trHeight w:val="249"/>
        </w:trPr>
        <w:tc>
          <w:tcPr>
            <w:tcW w:w="52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End of year</w:t>
            </w:r>
          </w:p>
        </w:tc>
        <w:tc>
          <w:tcPr>
            <w:tcW w:w="11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1,460</w:t>
            </w:r>
          </w:p>
        </w:tc>
        <w:tc>
          <w:tcPr>
            <w:tcW w:w="14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1,425</w:t>
            </w:r>
          </w:p>
        </w:tc>
        <w:tc>
          <w:tcPr>
            <w:tcW w:w="10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1,410</w:t>
            </w:r>
          </w:p>
        </w:tc>
        <w:tc>
          <w:tcPr>
            <w:tcW w:w="12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1,341</w:t>
            </w:r>
          </w:p>
        </w:tc>
        <w:tc>
          <w:tcPr>
            <w:tcW w:w="12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1,278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4025265</wp:posOffset>
            </wp:positionH>
            <wp:positionV relativeFrom="paragraph">
              <wp:posOffset>-25400</wp:posOffset>
            </wp:positionV>
            <wp:extent cx="8572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-8255</wp:posOffset>
            </wp:positionV>
            <wp:extent cx="8572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-25400</wp:posOffset>
            </wp:positionV>
            <wp:extent cx="6858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-8255</wp:posOffset>
            </wp:positionV>
            <wp:extent cx="6858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-25400</wp:posOffset>
            </wp:positionV>
            <wp:extent cx="6858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-8255</wp:posOffset>
            </wp:positionV>
            <wp:extent cx="6858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-25400</wp:posOffset>
            </wp:positionV>
            <wp:extent cx="6858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-8255</wp:posOffset>
            </wp:positionV>
            <wp:extent cx="6858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5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Shorthand references to fiscal years (e.g., “Fiscal 2025”) refer to the fiscal year ended on the Saturday nearest January 31st in the named year (e.g., February 1, 2025). Fiscal 2025 and 2023 are 52-week years and Fiscal 2024 is a 53-week year. The terms "Company," "Genesco," "we," "our" or "us" as used herein and unless otherwise stated or indicated by context refer to Genesco Inc. and its subsidiaries. All information contained in Item 7, “Management’s Discussion and Analysis of Financial Condition and Results of Operations,” which is referred to in this Item 1 of this report, is incorporated by such reference in Item 1.</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Strategy</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Across our company, we aspire to create and curate leading footwear brands that represent style, innovation and self-expression and to be the destination for our consumers' favorite fashion footwear. Each of our businesses has a strong strategic position grounded in a deep and ever-evolving understanding of the customers it serves. We strive to build enduring relationships with our target customers, based upon unparalleled consumer and market insights. We seek to excite and constantly exceed customer expectations by delivering distinctive products and experiences, using our deep direct-to-consumer expertise across digital and physical channels. The strength of our concepts and the advantages we have built over time have established long-lasting leadership positions that make our footwear businesses outstanding on their own, but what they share through the benefit of synergies makes them even stronger together. We have aligned our footwear focused strategy around six pillars aimed at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p>
      <w:pPr>
        <w:spacing w:after="0" w:line="3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accelerating our transformation and leveraging synergies to drive growth and sustainable profitability, 1) accelerate digital to grow direct-to-consumer, 2) maximize the relationship between physical and digital channels, 3) build deeper consumer insights to strengthen customer relationships and brand equity,</w:t>
      </w:r>
    </w:p>
    <w:p>
      <w:pPr>
        <w:jc w:val="both"/>
        <w:ind w:firstLine="8"/>
        <w:spacing w:after="0" w:line="253" w:lineRule="auto"/>
        <w:tabs>
          <w:tab w:leader="none" w:pos="20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intensify product innovation and trend insight efforts, 5) reshape the cost base to reinvest for future growth, and 6) pursue synergistic acquisitions that add growth and create shareholder value. We anticipate continuing to optimize our store footprint in the future, concentrating on locations that we believe will be most productive, as well as closing certain stores, perhaps reducing the overall square footage and store count from current levels, but improving productivity in our existing locations and investing in store remodels, technology and infrastructure to support omni-channel and digital retailing.</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made acquisitions, including the acquisitions of the Schuh Group in June 2011, Little Burgundy in December 2015 and Togast in January 2020. We expect to concentrate our efforts on opportunities to leverage our direct-to-consumer capabilities to grow our branded platform and leverage its strategies at the appropriate time going forward.</w:t>
      </w:r>
    </w:p>
    <w:p>
      <w:pPr>
        <w:spacing w:after="0" w:line="13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More generally, we work to develop strategies to mitigate the risks we view as material, including those discussed under the caption “Forward Looking Statements,” above, and those discussed in Item 1A, "Risk Factors". Among the most important of these factors are those related to consumer demand. Conditions in the economy can affect demand, resulting in changes in sales and, as prices are adjusted to drive sales and manage inventories, in gross margins. Because fashion trends influencing many of our target customers can change rapidly, we believe that our ability to react quickly to those changes has been important to our success. Even when we succeed in aligning our merchandise offerings with consumer preferences, those preferences may affect results by, for example, driving sales of products with lower average selling prices or products which are more widely available in the marketplace and thus more subject to competitive pressures than our typical offering. Moreover, economic factors, such as inflation, supply chain disruptions and increased logistics costs, and any future economic contraction, inflationary trends, and changes in tax and tariff policies, may reduce the consumer’s disposable income or willingness to purchase discretionary items, and thus may reduce demand for our merchandise, regardless of our skill in detecting and responding to fashion trends. We believe our experience and discipline in merchandising and the buying power associated with our relative size and importance in the industry segments in which we compete are important factors in our ability to mitigate risks associated with changing customer preferences and other changes in consumer demand.</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Segments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Journeys Group</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Journeys Group accounted for 60% of our net sales in Fiscal 2025. Journeys stores target customers in the 13 to 22 year age group through the use of youth-oriented decor and multi-channel media. Journeys stores carry predominately branded merchandise across a wide range of prices. The Journeys Kidz stores sell footwear and accessories primarily for younger children, toddler age to 12 years old. Little Burgundy stores sell footwear and accessories to fashion-oriented men and women in the 21 to 34 year age group ranging from students to young professionals.</w:t>
      </w:r>
    </w:p>
    <w:p>
      <w:pPr>
        <w:spacing w:after="0" w:line="15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February 1, 2025, Journeys Group operated 1,006 stores, including 765 Journeys stores, 211 Journeys Kidz stores and 30 Little Burgundy stores averaging approximately 2,075 square feet, located primarily in malls and factory outlet centers throughout the United States, Puerto Rico and Canada, selling footwear and accessories for young men, women and children. Journeys Group's e-commerce websites include the following: journeys.com, journeyskidz.com, journeys.ca and littleburgundyshoes.com. In Fiscal 2025, the Journeys Group closed a net of 57 stores.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Schuh Group</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Schuh Group accounted for 21% of our net sales in Fiscal 2025. Schuh Group stores target teenagers and young adults in the 16 to 24 year age group, selling a broad range of branded casual and athletic footwear along with a meaningful private label offering. At February 1, 2025, Schuh Group operated 124 Schuh stores, averaging approximately 4,950 square feet, which</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spacing w:after="0" w:line="3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include both street-level and mall locations in the U.K. and the ROI. Schuh Group's e-commerce websites are schuh.co.uk, schuh.ie and schuh.eu. In Fiscal 2025, Schuh Group opened a net of two stores.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Johnston &amp; Murphy Group</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Johnston &amp; Murphy Group accounted for 14% of our net sales in Fiscal 2025. All sales of Johnston &amp; Murphy Group's retail and wholesale businesses are of the Genesco-owned Johnston &amp; Murphy brand.</w:t>
      </w:r>
    </w:p>
    <w:p>
      <w:pPr>
        <w:spacing w:after="0" w:line="13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Johnston &amp; Murphy Retail Operations. At February 1, 2025, Johnston &amp; Murphy operated 148 retail shops and factory stores in the United States averaging approximately 1,900 square feet and selling footwear, apparel and accessories primarily for men in the 25 to 55 year age group. Johnston &amp; Murphy retail shops are located primarily in higher-end malls and airports nationwide and sell a broad range of men’s casual and dress footwear, apparel and accessories. Women’s footwear, apparel and accessories are sold in select Johnston &amp; Murphy locations. We also sell Johnston &amp; Murphy products directly to consumers through johnstonmurphy.com e-commerce website. Footwear accounted for 54% of Johnston &amp; Murphy retail sales in Fiscal 2025, with the balance consisting primarily of apparel and accessories. Johnston &amp; Murphy Group closed a net of eight shops and factory stores, including four shops and one factory store in Canada, in Fiscal 2025.</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Johnston &amp; Murphy Wholesale Operations. Johnston &amp; Murphy men’s and boy's footwear, apparel and accessories, along with women's footwear are sold at wholesale, primarily to better department stores, independent specialty stores and e-commerce retailers. Johnston &amp; Murphy’s wholesale customers offer the brand’s footwear for dress, dress casual, and casual occasions, with the majority of styles offered in these channels selling from $100 to $195.</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Genesco Brands Group</w:t>
      </w:r>
    </w:p>
    <w:p>
      <w:pPr>
        <w:spacing w:after="0" w:line="20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Genesco Brands Group segment accounted for 5% of our net sales in Fiscal 2025. Genesco Brands Group designs and sources licensed footwear under the Levi's, Dockers and G.H. Bass brand names, among others. The Levi's brand license and the G.H. Bass brand license were entered into concurrently with the Togast acquisition. We design and source Levi's branded footwear and market it to men, women and children through department and specialty stores and off-price retailers across the country as well as e-commerce retailers. Suggested retail prices for Levi's footwear generally range from $35 to $100. Dockers footwear is marketed to men aged 30 to 55 through many of the same national retail chains that carry Dockers pants and sportswear and in department and specialty stores across the country. Suggested retail prices for Dockers footwear generally range from $40 to $90. In the fourth quarter of Fiscal 2022, we signed a licensing agreement with STARTER to be their exclusive U.S. and Canadian footwear licensee for athletic footwear. We design and source the STARTER brand footwear for men, women and children with suggested retail prices ranging from $49 to $120. In the second quarter of Fiscal 2023, we signed a licensing agreement with PONY to be their exclusive U.S. footwear licensee for athletic footwear for men, women and children with suggested retail prices ranging from $75 to $250, including a Limited Edition 50th anniversary version for $250. Genesco Brands Group e-commerce website is nashvilleshoewarehouse.com.</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Manufacturing and Sourcing</w:t>
      </w:r>
    </w:p>
    <w:p>
      <w:pPr>
        <w:spacing w:after="0" w:line="18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We rely on independent third-party manufacturers for production of our footwear products sold at Johnston &amp; Murphy Group and Genesco Brands Group. We source footwear and accessory products from foreign manufacturers located in Brazil, Cambodia, Canada, China, Hong Kong, India, Indonesia, Italy, Mexico, Pakistan, Portugal, Peru, Spain, Turkey and Vietnam. Our Journeys Group and Schuh Group businesses sell primarily branded products from third parties who source primarily overseas.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Competition</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Competition is intense in the footwear, apparel and accessory industries. Our retail footwear, apparel and accessory competitors range from small, locally owned stores to regional and national department stores, discount stores, specialty chains, our vendors with their own direct-to-consumer channels and online retailers. We also compete with hundreds of footwear wholesale operations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p>
      <w:pPr>
        <w:spacing w:after="0" w:line="3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United States and throughout the world, most of which are relatively small, specialized operations, but some of which are large, more diversified companies. Some of our competitors have resources that are not available to us. Our success depends upon our ability to remain competitive with respect to the key factors of style, price, quality, comfort, brand loyalty, customer service, store location and atmosphere, technology, infrastructure and speed of delivery to support e-commerce and the ability to offer relevant products.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Licenses</w:t>
      </w:r>
    </w:p>
    <w:p>
      <w:pPr>
        <w:spacing w:after="0" w:line="195" w:lineRule="exact"/>
        <w:rPr>
          <w:sz w:val="20"/>
          <w:szCs w:val="20"/>
          <w:color w:val="auto"/>
        </w:rPr>
      </w:pPr>
    </w:p>
    <w:p>
      <w:pPr>
        <w:jc w:val="both"/>
        <w:spacing w:after="0" w:line="229" w:lineRule="auto"/>
        <w:rPr>
          <w:sz w:val="20"/>
          <w:szCs w:val="20"/>
          <w:color w:val="auto"/>
        </w:rPr>
      </w:pPr>
      <w:r>
        <w:rPr>
          <w:rFonts w:ascii="Times New Roman" w:cs="Times New Roman" w:eastAsia="Times New Roman" w:hAnsi="Times New Roman"/>
          <w:sz w:val="18"/>
          <w:szCs w:val="18"/>
          <w:color w:val="auto"/>
        </w:rPr>
        <w:t>We own our Johnston &amp; Murphy</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brand and own or license the trade names of our retail concepts either directly or through wholly-owned subsidiaries. The Dockers</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footwear line, introduced in Fiscal 1993, is sold under a license agreement granting us the exclusive right to sell men’s footwear under the trademark in the United States, Canada and the Caribbean. The current Dockers license agreement expires November 30, 2027. We entered into a new license agreement with Levi Strauss &amp; Co. in January 2020 for the right to sell men's, women's and children's footwear under the Levi's</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trademark in the United States and the Caribbean. We agreed with Levi Strauss &amp; Co. to extend the license under modified terms through February 2026 and it could be extended through May 2026 if certain conditions are met. The STARTER license agreement expires December 31, 2026 with a 3-year renewal option. The PONY license expires December 31, 2025 with a 3-year renewal option. We license certain other footwear brands, mostly in foreign markets. License royalty income was not material in Fiscal 2025.</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Wholesale Backlog</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Most of the orders in our wholesale divisions are for delivery within 150 days. Historically, most of our business has been at-once, and as a result, the backlog at any one time has not necessarily been indicative of future sales. As of March 1, 2025, our wholesale operations had a backlog of orders, including unconfirmed customer purchase orders, amounting to approximately $57.1 million, compared to approximately $49.0 million as of March 2, 2024. The increase is primarily due to orders for the Genesco Brands Group business driven by the Levi's license. The backlog is somewhat seasonal, reaching a peak in the spring.</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Corporate Responsibility Initiatives</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a leading retailer and wholesaler of branded footwear, apparel and accessories, we strive to make a positive impact on our industry, our communities and our planet by committing to transparent, socially conscious, and sustainable business practices. We believe that our practices should serve our shareholders, employees, customers and business partners.</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Fiscal 2025, we completed our third measurements or baselines for our greenhouse gas emissions. We issued our initial corporate responsibility report in Fiscal 2023 and have followed up with subsequent infographic updates, all of which can be found at www.genesco.com. Our website address is provided as an inactive textual reference only. The information provided on our website is not a part of this report, and therefore is not incorporated herein by reference.</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Environmental</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committed to reducing our impact on the environment by focusing on sustainability initiatives in our operations and throughout our supply chain and product lifecycle. To this end, we belong to the Leather Working Group ("LWG"). The LWG is a not-for-profit organization responsible for the world's leading environmental certification for the leather manufacturing industry. As a member of the LWG, we apply holistic practices in the supply chain for leather manufacturing for our third-party manufacturers.</w:t>
      </w:r>
    </w:p>
    <w:p>
      <w:pPr>
        <w:spacing w:after="0" w:line="15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also monitor chemicals and substances in our supply chain for compliance with legal and regulatory requirements consistent with our Environmental Policy and expect our contracted factories and suppliers to take a proactive stance in eliminating any hazardous chemicals or substances in the manufacture of our products.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Human Capital</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 w:name="page8"/>
    <w:bookmarkEnd w:id="7"/>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Our Employees</w:t>
      </w:r>
    </w:p>
    <w:p>
      <w:pPr>
        <w:spacing w:after="0" w:line="1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had approximately 18,000 employees as of February 1, 2025 with approximately 14,000 employed in the United States and Canada, and approximately 4,000 in the U.K. and the ROI. The majority of our workforce consists of retail-based, customer-facing employees with approximately 70% part-time and 30% full-time as of February 1, 2025.</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consider our employees to be core to our success. Our values include treating our customers and each other with integrity, trust and respect, and creating an unrivaled home for talent to grow and succeed.</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Workplace Health &amp; Safety</w:t>
      </w:r>
    </w:p>
    <w:p>
      <w:pPr>
        <w:spacing w:after="0" w:line="18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conduct health and safety training with our retail and distribution employees to build knowledge and awareness of workplace conditions and hazards according to local, regional and national standards.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Benefits and Compensation</w:t>
      </w:r>
    </w:p>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offer a comprehensive benefits package designed to meet the diverse needs of our employees and their families. This package includes many benefits dedicated to our employees’ physical, mental and financial well-being.</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also provide valuable benefits based on the unique needs and interests of each individual employee such as domestic partner allowances, paid parental leave, family building benefits, education support, paid time for community service, financial assistance with emergencies, scholarship opportunities, matching gift contributions and a generous product discount.</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compensation programs are designed to attract, retain and motivate employees. We provide short-term and long-term incentives to encourage and reward superior performance and also drive long-term shareholder value. We engage a nationally recognized outside compensation consulting firm to independently evaluate the effectiveness of our executive compensation programs and to provide benchmarking against our peers within the industry.</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Empowering Our People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committed to continually strengthen our talent and to make a meaningful difference for our employees, our customers, and our communities.</w:t>
      </w:r>
    </w:p>
    <w:p>
      <w:pPr>
        <w:spacing w:after="0" w:line="1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enhanced our commitment to our people by building on our solid foundation. Through employee engagement and defined vision, we are focusing our attention on areas where we can make the most impact – our talent, our business practices and our communities. We have identified opportunities that will advance our efforts across our portfolio of brands, including expanded training and development programs, compensation studies, the launch of business resource groups and ongoing engagement through communication and events.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 w:name="page9"/>
    <w:bookmarkEnd w:id="8"/>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Employee Engagement</w:t>
      </w:r>
    </w:p>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 annual employee engagement surveys as well as other targeted surveys with various segments of our workforce to measure important aspects of the employee experience. The survey measures employee sentiment on a variety of topics including leadership, management, alignment, involvement, respect in the workplace, learning and development, social connection and work life balance, among others. The survey creates the opportunity to establish two-way communication and gives employees a direct voice in influencing change. Our results indicate high participation rates and strong engagement scores. We remain committed to listening to and learning from our employees.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Training and Development</w:t>
      </w:r>
    </w:p>
    <w:p>
      <w:pPr>
        <w:spacing w:after="0" w:line="18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provide employees with the opportunity to grow their careers and be rewarded for their contributions. We have a strong promote from within culture and target training and development that is relevant to an employee’s current role as well as future roles to which they aspire.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Social Capital</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committed to responsible sourcing practices in our supply chain. We depend on third-party vendors to produce the products we sell but strive to work only with those vendors who share our commitment to responsible practices, especially in their relationships with employees and their stewardship of the environment. Our supply chain and ethical practices policies are among the ways we seek to implement this commitment, including our Vendor Code of Conduct policy.</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2021, we published a comprehensive human rights policy with its commitment to respecting human rights and belief in fundamental standards that support our commitment to treat our employees, customers and business partners with integrity, trust and respect. Our human rights policy addresses our internal business ethics and code of conduct policies and principles embedded in our business operations, and is guided by the United Nations Guiding Principles on Business and Human Rights, the UN Universal Declaration of Human Rights, and the Organization for Economic Cooperation and Development (OECD) Guidelines for Multi National Enterprises.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Information Security and Cybersecurity</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part of our retail and wholesale activities, marketing campaigns, customer relationship efforts and use of some third-party partners, we may handle and process certain non-public personal information that customers provide to purchase products, enroll in promotional or marketing programs, register on websites, or otherwise communicate to us in the course of providing support. This may include phone numbers, email addresses, physical addresses, contact preferences, personal information stored on electronic devices, and certain payment related information, including credit and debit card data. We have removed the transmission, processing, and storage of credit card data from our environment in North America through the use of hardware based end-to-end encryption along with tokenization.</w:t>
      </w:r>
    </w:p>
    <w:p>
      <w:pPr>
        <w:spacing w:after="0" w:line="16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gather and retain information about our employees only as necessary to fulfill our responsibilities as an employer. We may share information about such persons with benefit and/or employee services vendors that assist with certain aspects of our human resources offering.</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maintain controls and safeguards to mitigate the risks to our systems and to protect this information and have made significant investments to improve our information security and privacy posture and keep pace with the ever changing and evolving risks to our systems and our information. For example, we have implemented hardware based end-to-end encryption with tokenization, multi-factor authentication protocols, next generation firewalls, comprehensive cloud email security and endpoint protection, detection, and response software, conducted continuous risk assessments, and established data security breach preparedness and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 w:name="page10"/>
    <w:bookmarkEnd w:id="9"/>
    <w:p>
      <w:pPr>
        <w:spacing w:after="0" w:line="3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response plans. We also promote security awareness with our employees and require all endpoint users to successfully complete our annual security awareness training.</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to information security, we must comply with increasingly complex and demanding regulatory standards enacted to protect the privacy of business and personal data in the United States, Europe and other jurisdictions. For example, the European Union adopted the General Data Protection Regulation (the “GDPR”), which went into effect on May 25, 2018; and California enacted the California Consumer Privacy Act (the "CCPA") which went into effect on January 1, 2020, and additional jurisdictions are considering proposing or adopting similar regulations. These privacy laws impose additional requirements on companies regarding the handling of personal data and provide certain individual privacy rights to persons whose data is stored or processed.</w:t>
      </w:r>
    </w:p>
    <w:p>
      <w:pPr>
        <w:spacing w:after="0" w:line="14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implemented processes and systems to allow for the expedient response and resolution of data subject access requests in accordance with existing privacy laws and regulations that are applicable to our business, including GDPR and CCPA.</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Community</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Building better communities is part of our everyday values. Our community outreach initiatives support underserved communities including our unique signature community outreach programs </w:t>
      </w:r>
      <w:r>
        <w:rPr>
          <w:rFonts w:ascii="Times New Roman" w:cs="Times New Roman" w:eastAsia="Times New Roman" w:hAnsi="Times New Roman"/>
          <w:sz w:val="18"/>
          <w:szCs w:val="18"/>
          <w:i w:val="1"/>
          <w:iCs w:val="1"/>
          <w:color w:val="auto"/>
        </w:rPr>
        <w:t>Cold Feet, Warm Shoes</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i w:val="1"/>
          <w:iCs w:val="1"/>
          <w:color w:val="auto"/>
        </w:rPr>
        <w:t>Make a Difference Charity Golf Tournament</w:t>
      </w:r>
      <w:r>
        <w:rPr>
          <w:rFonts w:ascii="Times New Roman" w:cs="Times New Roman" w:eastAsia="Times New Roman" w:hAnsi="Times New Roman"/>
          <w:sz w:val="18"/>
          <w:szCs w:val="18"/>
          <w:color w:val="auto"/>
        </w:rPr>
        <w:t xml:space="preserve"> benefitting United Way, Journeys' </w:t>
      </w:r>
      <w:r>
        <w:rPr>
          <w:rFonts w:ascii="Times New Roman" w:cs="Times New Roman" w:eastAsia="Times New Roman" w:hAnsi="Times New Roman"/>
          <w:sz w:val="18"/>
          <w:szCs w:val="18"/>
          <w:i w:val="1"/>
          <w:iCs w:val="1"/>
          <w:color w:val="auto"/>
        </w:rPr>
        <w:t xml:space="preserve">Attitude That Cares </w:t>
      </w:r>
      <w:r>
        <w:rPr>
          <w:rFonts w:ascii="Times New Roman" w:cs="Times New Roman" w:eastAsia="Times New Roman" w:hAnsi="Times New Roman"/>
          <w:sz w:val="18"/>
          <w:szCs w:val="18"/>
          <w:color w:val="auto"/>
        </w:rPr>
        <w:t>and Schuh’s</w:t>
      </w:r>
      <w:r>
        <w:rPr>
          <w:rFonts w:ascii="Times New Roman" w:cs="Times New Roman" w:eastAsia="Times New Roman" w:hAnsi="Times New Roman"/>
          <w:sz w:val="18"/>
          <w:szCs w:val="18"/>
          <w:i w:val="1"/>
          <w:iCs w:val="1"/>
          <w:color w:val="auto"/>
        </w:rPr>
        <w:t xml:space="preserve"> Purpose Pillar </w:t>
      </w:r>
      <w:r>
        <w:rPr>
          <w:rFonts w:ascii="Times New Roman" w:cs="Times New Roman" w:eastAsia="Times New Roman" w:hAnsi="Times New Roman"/>
          <w:sz w:val="18"/>
          <w:szCs w:val="18"/>
          <w:color w:val="auto"/>
        </w:rPr>
        <w:t>program. In addition, the Company and our employees engage through community sponsorship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leadership, including actively supporting the United Way of Greater Nashville’s annual campaign, among other initiatives.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Governance</w:t>
      </w:r>
    </w:p>
    <w:p>
      <w:pPr>
        <w:spacing w:after="0" w:line="20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corporate governance mechanisms in place, along with internal controls over our financial reporting framework. We also have Enterprise Risk Management and Ethics and Compliance program frameworks, with annual updates provided to committees of our board of directors ("Board of Directors" or "Board") and our Board. To drive our efforts, we have established a corporate responsibility management and oversight framework under the direction of our Senior Vice President, Corporate Secretary and General Counsel. A subcommittee of the Nominating and Governance Committee of our Board oversees these efforts.</w:t>
      </w:r>
    </w:p>
    <w:p>
      <w:pPr>
        <w:spacing w:after="0" w:line="14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committed to bringing a wide range of skills, expertise and perspectives to our board, which is comprised of 67% of members who are diverse in either gender and/or ethnicity as of February 1, 2025.</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Seasonality</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business is seasonal with our investment in working capital normally reaching peaks in the spring and fall of each year and a significant portion of our net sales and operating income generated during the fourth quarter. The wholesale backlog is somewhat seasonal, reaching a peak in the spring. We maintain in-stock programs for selected product lines with anticipated high-volume sales.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Environmental Matters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former manufacturing operations and the sites of those operations as well as the sites of our current operations are subject to numerous federal, state, and local laws and regulations relating to human health and safety and the environment. These laws and regulations address and regulate, among other matters, wastewater discharge, air quality and the generation, handling, storage, treatment, disposal, and transportation of solid and hazardous wastes and releases of hazardous substances into the environment. In addition, third parties and governmental agencies in some cases have the power under such laws and regulations to require remediation of environmental conditions and, in the case of governmental agencies, to impose fines and penalties. Several of the facilities owned by us in the past were located in industrial areas and have historically been used for extensive periods for</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 w:name="page11"/>
    <w:bookmarkEnd w:id="10"/>
    <w:p>
      <w:pPr>
        <w:spacing w:after="0" w:line="3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industrial operations such as tanning, dyeing, and manufacturing. Some of these operations used materials and generated wastes that would be considered regulated substances under current environmental laws and regulations. We are currently involved in certain administrative and judicial environmental proceedings relating to our former facilities. See Note 15 to the Consolidated Financial Statements included in Item 8, "Financial Statements and Supplementary Data".</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Information About Our Executive Officers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officers of the Company are generally elected at the first meeting of the Board of Directors following the annual meeting of shareholders and hold office until their successors have been chosen and qualified or until their earlier death, resignation or removal. The name, age and office of each of the Company’s executive officers and certain information relating to the business experience of each are set forth below:</w:t>
      </w:r>
    </w:p>
    <w:p>
      <w:pPr>
        <w:spacing w:after="0" w:line="14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Mimi Eckel Vaughn, </w:t>
      </w:r>
      <w:r>
        <w:rPr>
          <w:rFonts w:ascii="Times New Roman" w:cs="Times New Roman" w:eastAsia="Times New Roman" w:hAnsi="Times New Roman"/>
          <w:sz w:val="18"/>
          <w:szCs w:val="18"/>
          <w:color w:val="auto"/>
        </w:rPr>
        <w:t>58,</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Board Chair, President and Chief Executive Officer.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Ms. Vaughn joined the Company in September 2003 as vice president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strategy and business development. She was named senior vice president, strategy and business development in October 2006, senior vice president of strategy and shared services in April 2009 and senior vice president - finance and chief financial officer in February 2015. In May 2019, Ms. Vaughn was named senior vice president and chief operating officer and continued to serve as senior vice president - finance and chief financial officer until her replacement was appointed in June 2019. In October 2019, Ms. Vaughn was appointed to become president and a member of the Board of Directors. Ms. Vaughn was appointed chief executive officer of the Company on February 2, 2020. In July 2020, Ms. Vaughn was appointed Board chair of the Company. Prior to joining the Company, Ms. Vaughn was executive vice president of business development and marketing, and acting chief financial officer from 2000 to 2001, for Link2Gov Corporation in Nashville. From 1993 to 1999, she was a consultant at McKinsey and Company in Atlanta.</w:t>
      </w:r>
    </w:p>
    <w:p>
      <w:pPr>
        <w:spacing w:after="0" w:line="14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Parag D. Desai, </w:t>
      </w:r>
      <w:r>
        <w:rPr>
          <w:rFonts w:ascii="Times New Roman" w:cs="Times New Roman" w:eastAsia="Times New Roman" w:hAnsi="Times New Roman"/>
          <w:sz w:val="18"/>
          <w:szCs w:val="18"/>
          <w:color w:val="auto"/>
        </w:rPr>
        <w:t>50,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Senior Vice President - Chief Strategy and Digital Officer.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Mr. Desai joined the Company in 2014 as senior vice president of strategy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shared services. He was named chief strategy and digital officer in May 2021. Prior to joining the Company, Mr. Desai spent 14 years with McKinsey and Company, including seven years as a partner. Previously, Mr. Desai also held business development and technology positions at Outpace Systems and Booz Allen &amp; Hamilton.</w:t>
      </w:r>
    </w:p>
    <w:p>
      <w:pPr>
        <w:spacing w:after="0" w:line="13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Cassandra E. Harris, 52, </w:t>
      </w:r>
      <w:r>
        <w:rPr>
          <w:rFonts w:ascii="Times New Roman" w:cs="Times New Roman" w:eastAsia="Times New Roman" w:hAnsi="Times New Roman"/>
          <w:sz w:val="18"/>
          <w:szCs w:val="18"/>
          <w:i w:val="1"/>
          <w:iCs w:val="1"/>
          <w:color w:val="auto"/>
        </w:rPr>
        <w:t>Senior Vice President – Finance, Chief Financial Officer and Principal Accounting Officer.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Ms. Harris joined the Company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October 2024 as senior vice president of finance and chief financial officer. She was named the Company's principal accounting officer in December 2024. Ms. Harris has an extensive background of chief financial officer and finance leadership roles in retail and consumer brands companies. Prior to joining Genesco, she most recently served as chief financial officer for Artisan Design Group from 2023 to 2024. Previously, Ms. Harris was chief financial officer and chief operating officer of publicly-held Tupperware Brands Corporation from 2019 to 2022. Prior to joining Tupperware Brands Corporation, Ms. Harris spent almost 10 years at VF Corporation from 2008 to 2017 where she served in multiple senior leadership roles.</w:t>
      </w:r>
    </w:p>
    <w:p>
      <w:pPr>
        <w:spacing w:after="0" w:line="15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Scott E. Becker</w:t>
      </w:r>
      <w:r>
        <w:rPr>
          <w:rFonts w:ascii="Times New Roman" w:cs="Times New Roman" w:eastAsia="Times New Roman" w:hAnsi="Times New Roman"/>
          <w:sz w:val="18"/>
          <w:szCs w:val="18"/>
          <w:color w:val="auto"/>
        </w:rPr>
        <w:t>, 57,</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Senior Vice President - General Counsel and Corporate Secretary</w:t>
      </w:r>
      <w:r>
        <w:rPr>
          <w:rFonts w:ascii="Times New Roman" w:cs="Times New Roman" w:eastAsia="Times New Roman" w:hAnsi="Times New Roman"/>
          <w:sz w:val="18"/>
          <w:szCs w:val="18"/>
          <w:color w:val="auto"/>
        </w:rPr>
        <w:t>. In October 2019, Mr. Becker joined the Company as senior vice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president, general counsel, and corporate secretary. Prior to joining the Company, Mr. Becker served in a variety of roles with increasing responsibility for Nissan Group of North America and Latin America since 2006. Since 2009, he was a senior vice president with responsibilities for Nissan’s legal, government affairs, finance, strategy and administration. From 2006 to 2009, he served as Nissan’s general counsel, corporate secretary and vice president, legal and government affairs. Prior to joining Nissan, Mr. Becker served in various legal roles at Sears Holdings Corporation. Mr. Becker began his legal career with several Chicago area law firms.</w:t>
      </w:r>
    </w:p>
    <w:p>
      <w:pPr>
        <w:spacing w:after="0" w:line="14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Daniel E. Ewoldsen</w:t>
      </w:r>
      <w:r>
        <w:rPr>
          <w:rFonts w:ascii="Times New Roman" w:cs="Times New Roman" w:eastAsia="Times New Roman" w:hAnsi="Times New Roman"/>
          <w:sz w:val="18"/>
          <w:szCs w:val="18"/>
          <w:color w:val="auto"/>
        </w:rPr>
        <w:t>, 55,</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Senior Vice President</w:t>
      </w:r>
      <w:r>
        <w:rPr>
          <w:rFonts w:ascii="Times New Roman" w:cs="Times New Roman" w:eastAsia="Times New Roman" w:hAnsi="Times New Roman"/>
          <w:sz w:val="18"/>
          <w:szCs w:val="18"/>
          <w:color w:val="auto"/>
        </w:rPr>
        <w:t>. Mr. Ewoldsen is a 21-year Johnston &amp; Murphy veteran. He joined Johnston &amp; Murphy in 2003 as vice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president store operations and was later promoted to vice president store and consumer sales in 2006. He was named executive vice president, Johnston &amp; Murphy Retail and E-Commerce in 2013, president of Johnston &amp; Murphy Group in February 2018 and named senior vice president of Genesco in July 2019. Prior to joining Genesco, Mr. Ewoldsen was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 w:name="page12"/>
    <w:bookmarkEnd w:id="11"/>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Wilsons Leather from 1996 to 2002 serving in roles with increasing responsibilities, including vice president of stores for the El Portal division.</w:t>
      </w:r>
    </w:p>
    <w:p>
      <w:pPr>
        <w:spacing w:after="0" w:line="18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Andrew I. Gray</w:t>
      </w:r>
      <w:r>
        <w:rPr>
          <w:rFonts w:ascii="Times New Roman" w:cs="Times New Roman" w:eastAsia="Times New Roman" w:hAnsi="Times New Roman"/>
          <w:sz w:val="18"/>
          <w:szCs w:val="18"/>
          <w:color w:val="auto"/>
        </w:rPr>
        <w:t>, 47,</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Senior Vice President</w:t>
      </w:r>
      <w:r>
        <w:rPr>
          <w:rFonts w:ascii="Times New Roman" w:cs="Times New Roman" w:eastAsia="Times New Roman" w:hAnsi="Times New Roman"/>
          <w:sz w:val="18"/>
          <w:szCs w:val="18"/>
          <w:color w:val="auto"/>
        </w:rPr>
        <w:t>. Mr. Gray joined the Company in January 2024 as senior vice president and president of the Journeys Group.</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Prior to joining Genesco, he served over two decades in several senior leadership positions at Foot Locker. Mr. Gray most recently served as executive vice president, global president of Foot Locker, Kids Foot Locker, Champs Sports and Sidestep, a position he held from June 2022 until his departure from the company in January 2023. Previously, Mr. Gray served as executive vice president, chief commercial officer from July 2020 to June 2022, chief merchandising officer from October 2017 to July 2020, general manager of Foot Locker and Lady Foot Locker North America from February 2016 to October 2017, and as vice president and general merchandise manager of Foot Locker Europe from July 2013 to February 2016. During his time at Foot Locker, he developed a multi-dimensional skill set spanning merchandising, general management, retail and digital, consumer insight, brand building and global leadership.</w:t>
      </w:r>
    </w:p>
    <w:p>
      <w:pPr>
        <w:spacing w:after="0" w:line="14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Matthew N. Johnson, </w:t>
      </w:r>
      <w:r>
        <w:rPr>
          <w:rFonts w:ascii="Times New Roman" w:cs="Times New Roman" w:eastAsia="Times New Roman" w:hAnsi="Times New Roman"/>
          <w:sz w:val="18"/>
          <w:szCs w:val="18"/>
          <w:color w:val="auto"/>
        </w:rPr>
        <w:t>60,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Vice President and Treasurer</w:t>
      </w:r>
      <w:r>
        <w:rPr>
          <w:rFonts w:ascii="Times New Roman" w:cs="Times New Roman" w:eastAsia="Times New Roman" w:hAnsi="Times New Roman"/>
          <w:sz w:val="18"/>
          <w:szCs w:val="18"/>
          <w:color w:val="auto"/>
        </w:rPr>
        <w:t>. Mr. Johnson joined the Company in 1993 as manager, corporate finance and was elected assistant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treasurer in December 1993. He was elected treasurer in June 1996. He was named vice president finance in October 2006 and renamed treasurer in April 2011 after a period of service as chief financial officer of one of the Company's divisions. Prior to joining the Company, Mr. Johnson was a vice president in the corporate and institutional banking division of The First National Bank of Chicago.</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Available Information</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file reports with the Securities and Exchange Commission (“SEC”), including Annual Reports on Form 10-K, Quarterly Reports on Form 10-Q and other reports from time to time. We are an electronic filer and the SEC maintains an internet site at http://www.sec.gov that contains the reports, proxy and information statements, and other information filed electronically. Our website address, which is provided as an inactive textual reference only, is http://www.genesco.com. We make available free of charge through the website Annual Reports on Form 10-K, Quarterly Reports on Form 10-Q, Current Reports on Form 8-K, and all amendments to those reports as soon as reasonably practicable after such material is electronically filed with or furnished to the SEC. Copies of the charters of each of our Audit Committee, Compensation Committee, Nominating and Governance Committee as well as our Corporate Governance Guidelines and Code of Ethics along with position descriptions for our Board of Directors and Board committees are also available free of charge through the website. The information provided on our website is not part of this Annual Report on Form 10-K and is therefore not incorporated by reference unless such information is otherwise specifically incorporated elsewhere in this Annual Report on Form 10-K.</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 w:name="page13"/>
    <w:bookmarkEnd w:id="12"/>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1A. RISK FACTORS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business is subject to a variety of risks which might have a material impact on our business. You should carefully consider the risks and uncertainties described below and the other information in this Annual Report on Form 10-K, including our Consolidated Financial Statements and the notes to those statements. The risks and uncertainties described below are not the only ones we face. Additional risks and uncertainties that we do not presently know about or that we currently consider immaterial may also affect our business operations and financial performance. If any of the events described below occur, our business, financial condition, cash flows or results of operations could be adversely affected in a material way. This could cause the trading price of our stock to decline, perhaps significantly, and you may lose part or all of your investment.</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Competitive, Demand-Related and Reputational Risks</w:t>
      </w:r>
    </w:p>
    <w:p>
      <w:pPr>
        <w:spacing w:after="0" w:line="19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Consumer spending is affected by poor and/or volatile economic conditions and other factors and may significantly harm our business, affecting our financial condition, liquidity, and results of operations.</w:t>
      </w:r>
    </w:p>
    <w:p>
      <w:pPr>
        <w:spacing w:after="0" w:line="118"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The success of our business depends to a significant extent upon the level of consumer spending in general and on our product categories. A number of factors may affect the level of consumer spending on merchandise that we offer, including, among other things:</w:t>
      </w:r>
    </w:p>
    <w:p>
      <w:pPr>
        <w:ind w:left="760" w:hanging="378"/>
        <w:spacing w:after="0" w:line="250"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industry conditions, including the risks associated with recessions or other macroeconomic conditions and pressures such as inflationary impacts and supply chain challenges;</w:t>
      </w: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weather conditions;</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energy costs, which affect gasoline and home heating prices;</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consumer debt;</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 of products, including the impact of tariffs;</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rates;</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inflation;</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infectious diseases;</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rates, refunds and policies;</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 terrorism and other geopolitical hostilities; and</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 confidence in future economic conditions.</w:t>
      </w:r>
    </w:p>
    <w:p>
      <w:pPr>
        <w:spacing w:after="0" w:line="16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Adverse economic conditions and any related decrease in consumer demand for discretionary items could have a material adverse effect on our business, results of operations and financial condition. We sell generally discretionary items. Reduced consumer confidence and spending may result in reduced demand for discretionary items and may force us to take inventory markdowns, which may decrease sales and make expense leverage difficult to achieve. In addition, inflationary cost pressure on the products we sell might limit our ability to pass on cost increases resulting in gross margin impact or reduced demand. Demand can also be influenced by other factors beyond our control.</w:t>
      </w:r>
    </w:p>
    <w:p>
      <w:pPr>
        <w:spacing w:after="0" w:line="1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Moreover, while we believe that our operating cash flows and borrowing capacity under committed lines of credit will be adequate for our anticipated cash requirements, if the economy were to experience a downturn, if one or more of our revolving credit banks were to fail to honor its commitments under our credit lines or if we were unable to draw on our credit lines for any reason, we could be required to modify our operations for decreased cash flow or to seek alternative sources of liquidity, and such alternative sources might not be available to us on favorable terms, if at all. These same factors could impact our wholesale customers, limiting their ability to buy or pay for merchandise offered by us.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 w:name="page14"/>
    <w:bookmarkEnd w:id="13"/>
    <w:p>
      <w:pPr>
        <w:spacing w:after="0" w:line="32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A failure to increase sales at our existing stores, given our high fixed expense cost structure, and in our e-commerce businesses or an inability to reduce costs may adversely affect our results of operations which may adversely impact our stock price.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number of factors have historically affected, and will continue to affect, our comparable sales results and gross margin, including:</w:t>
      </w:r>
    </w:p>
    <w:p>
      <w:pPr>
        <w:spacing w:after="0" w:line="27" w:lineRule="exact"/>
        <w:rPr>
          <w:sz w:val="20"/>
          <w:szCs w:val="20"/>
          <w:color w:val="auto"/>
        </w:rPr>
      </w:pPr>
    </w:p>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 trends, such as less disposable income due to the impact of economic conditions, tax policies and other factors;</w:t>
      </w:r>
    </w:p>
    <w:p>
      <w:pPr>
        <w:spacing w:after="0" w:line="9" w:lineRule="exact"/>
        <w:rPr>
          <w:rFonts w:ascii="Times New Roman" w:cs="Times New Roman" w:eastAsia="Times New Roman" w:hAnsi="Times New Roman"/>
          <w:sz w:val="18"/>
          <w:szCs w:val="18"/>
          <w:color w:val="auto"/>
        </w:rPr>
      </w:pPr>
    </w:p>
    <w:p>
      <w:pPr>
        <w:ind w:left="760" w:right="20" w:hanging="378"/>
        <w:spacing w:after="0" w:line="250"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new fashion trends to drive demand in certain of our businesses and the ability of those businesses to adjust to changes in fashion trends on a timely basis;</w:t>
      </w:r>
    </w:p>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closing of department stores that anchor malls or a significant number of non-anchor mall formats;</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declining mall traffic due to changing customer preferences in the way they shop;</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of holidays, including sales tax holidays and the timing of tax refunds;</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regional and national economic conditions;</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inclement weather;</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merchandise introductions and changes in our merchandise mix;</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distribute merchandise efficiently to our stores;</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and type of sales events, promotional activities or other advertising;</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adapt to changing customer e-commerce preferences;</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access to allocated product from our vendors;</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realize anticipated cost reductions;</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execute our business strategy effectively; and</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external events beyond our control.</w:t>
      </w:r>
    </w:p>
    <w:p>
      <w:pPr>
        <w:spacing w:after="0" w:line="16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comparable sales have fluctuated in the past, including the composition of our comparable sales between store and digital, and we believe such fluctuations may continue. The unpredictability of our comparable sales may cause our revenue and results of operations to vary from quarter to quarter, and an unanticipated change in revenues or operating income may cause our stock price to fluctuate significantly.</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Failure to protect our reputation could have a material adverse effect on our brand names.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success depends in part on the value and strength of the names of our business units. These names are integral to our businesses as well as to the implementation of our strategies for expanding our businesses. Maintaining, promoting, and positioning our brands will depend largely on the success of our marketing and merchandising efforts and our ability to provide high quality merchandise and a consistent, high quality customer experience. Our brands could be adversely affected if we fail to achieve these objectives or if our public image or reputation were to be tarnished by negative publicity or if adverse information concerning us is posted on social media platforms or similar mediums. Failure to comply, or accusation of failure to comply, with ethical, social, health, product, labor, data privacy, and environmental standards could also jeopardize our reputation and potentially lead to various adverse consumer and employee actions. Any of these events could result in decreased revenue or otherwise adversely affect our business.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 involves a degree of risk related to fashion and other extrinsic demand drivers that are beyond our control.</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majority of our businesses serve a fashion-conscious customer base and depend upon the ability of our buyers and merchandisers to react to fashion trends, to purchase inventory that reflects such trends, and to manage our inventories appropriately in view of the potential for sudden changes in fashion, consumer taste, or other drivers of demand. Failure to execute any of these activities successfully could result in adverse consequences, including lower sales, product margins, operating income and cash flows.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 w:name="page15"/>
    <w:bookmarkEnd w:id="14"/>
    <w:p>
      <w:pPr>
        <w:spacing w:after="0" w:line="3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Our future success also depends on our ability to respond to changing consumer preferences, identify and interpret consumer trends, and successfully market new products.</w:t>
      </w:r>
    </w:p>
    <w:p>
      <w:pPr>
        <w:spacing w:after="0" w:line="11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industry in which we operate is subject to rapidly changing consumer preferences. The continued popularity of our footwear and apparel and the development and selection of new lines and styles of footwear and apparel with widespread consumer appeal, requires us to accurately identify and interpret changing consumer trends and preferences and to effectively respond in a timely manner. Continuing demand and market acceptance for both existing and new products are uncertain and depend on substantial investment in product innovation, design and development, an ongoing commitment to product quality and significant and sustained marketing efforts and expenditures.</w:t>
      </w:r>
    </w:p>
    <w:p>
      <w:pPr>
        <w:spacing w:after="0" w:line="14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assessing our response to anticipated changing consumer preferences and trends, we frequently must make decisions about product designs and marketing expenditures months in advance of the time when actual consumer acceptance can be determined. As a result, we may not be successful in responding to shifting consumer preferences and trends with new products. If we fail to identify and interpret changing consumer preferences and trends, or are not successful in responding to these changes with the timely development or sourcing of products, we could experience excess inventories and higher than normal markdowns, returns, order cancellations or an inability to profitably sell our products.</w:t>
      </w:r>
    </w:p>
    <w:p>
      <w:pPr>
        <w:spacing w:after="0" w:line="15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Our failure to appropriately address emerging sustainability matters could have a material adverse impact on our reputation and, as a result, our business.</w:t>
      </w:r>
    </w:p>
    <w:p>
      <w:pPr>
        <w:spacing w:after="0" w:line="11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There is uncertainty in the markets in which we operate regarding potential policies related to issues surrounding global environmental sustainability. Changes in the legal or regulatory environment affecting responsible sourcing, supply chain transparency, or environmental protection, among others, including regulations to limit carbon dioxide and other greenhouse gas emissions, to discourage the use of plastic or to limit or to impose additional costs on commercial water use may result in increased compliance costs for us and our business partners.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results may be adversely affected by declines in consumer traffic in malls.</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majority of our stores are located within shopping malls and depend to varying degrees on consumer traffic in the malls to generate sales. Declines in mall traffic, whether caused by a shift in consumer shopping preferences or by other factors, may negatively impact our ability to maintain or grow our sales in existing stores, which could have an adverse effect on our financial condition or results of operations.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results of operations are subject to seasonal and quarterly fluctuations.</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business is seasonal, with a significant portion of our net sales and operating income generated during the fourth quarter, which includes the holiday shopping season. Because of this seasonality, we have limited ability to compensate for shortfalls in fourth quarter sales or earnings by changing our operations or strategies in other quarters. Adverse events outside of our control, such as supply chain interruptions, including shipping disruptions near crucial trade routes, increased labor costs and labor availability, decreased consumer traffic or deteriorating economic conditions could result in lower than expected sales during the holiday shopping season or other periods in which we typically experience higher net sales, which could materially adversely impact our financial condition and results of operations. Our quarterly results of operations also may fluctuate significantly based on other factors such as:</w:t>
      </w:r>
    </w:p>
    <w:p>
      <w:pPr>
        <w:spacing w:after="0" w:line="5" w:lineRule="exact"/>
        <w:rPr>
          <w:sz w:val="20"/>
          <w:szCs w:val="20"/>
          <w:color w:val="auto"/>
        </w:rPr>
      </w:pPr>
    </w:p>
    <w:p>
      <w:pPr>
        <w:ind w:left="760" w:hanging="378"/>
        <w:spacing w:after="0"/>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any new store openings and renewals;</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net sales contributed by new and existing stores;</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certain holidays and sales events;</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quarter end dates due to the 53-week year in Fiscal 2024 versus a 52-week year in Fiscal 2025;</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merchandise mix;</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 w:name="page16"/>
    <w:bookmarkEnd w:id="15"/>
    <w:p>
      <w:pPr>
        <w:spacing w:after="0" w:line="140" w:lineRule="exact"/>
        <w:rPr>
          <w:sz w:val="20"/>
          <w:szCs w:val="20"/>
          <w:color w:val="auto"/>
        </w:rPr>
      </w:pPr>
    </w:p>
    <w:p>
      <w:pPr>
        <w:ind w:left="760" w:hanging="378"/>
        <w:spacing w:after="0"/>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weather conditions that affect consumer spending; and</w:t>
      </w:r>
    </w:p>
    <w:p>
      <w:pPr>
        <w:spacing w:after="0" w:line="2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of competitors, including promotional activity.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the retail industry could have a material adverse effect on our business or financial condition.</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recent years, the retail industry has experienced consolidation, store closures, bankruptcies and other ownership changes. In the future, retailers in the U.S. and in foreign markets may further consolidate, undergo restructurings or reorganizations, or realign their affiliations, any of which could decrease the number of stores that carry our products or our licensees’ products or increase the ownership concentration within the retail industry. Changing shopping patterns, including the rapid expansion of online retail shopping, have adversely affected customer traffic in mall and outlet centers. We expect competition in the e-commerce market will continue to intensify. Growth in e-commerce competition could result in financial difficulties, including store closures, bankruptcies or liquidations for our brick-and-mortar stores and those of our wholesale customers who fail to compete effectively in the e-commerce market. We cannot control the success of individual malls, and an increase in store closures by other retailers may lead to reduced foot traffic, mall vacancies and mall bankruptcies. A continuation or worsening of these trends could cause financial difficulties for one or more of our segments, which, in turn, could substantially increase our credit risk and have a material adverse effect on our results of operations, financial condition and cash flows.</w:t>
      </w:r>
    </w:p>
    <w:p>
      <w:pPr>
        <w:spacing w:after="0" w:line="14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future success will be determined, in part, on our ability to manage the impact of the rapidly changing retail environment and identify and capitalize on retail trends, including technology, enhanced digital capabilities, e-commerce and other process efficiencies that will better service our customers.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 is intensely competitive and increased or new competition could have a material adverse effect on us.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retail footwear and accessory markets are intensely competitive. We currently compete against a diverse group of retailers, including other regional and national specialty stores, department and discount stores, small independents and e-commerce retailers, as well as our own vendors who are increasingly selling direct-to-consumers, which sell products similar to and often identical to those we sell. Our branded businesses, selling footwear at wholesale, also face intense competition, both from other branded wholesale vendors and from private label initiatives of their retailer customers. A number of different competitive factors could have a material adverse effect on our business, including:</w:t>
      </w:r>
    </w:p>
    <w:p>
      <w:pPr>
        <w:spacing w:after="0" w:line="3" w:lineRule="exact"/>
        <w:rPr>
          <w:sz w:val="20"/>
          <w:szCs w:val="20"/>
          <w:color w:val="auto"/>
        </w:rPr>
      </w:pPr>
    </w:p>
    <w:p>
      <w:pPr>
        <w:ind w:left="760" w:hanging="378"/>
        <w:spacing w:after="0"/>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operational efficiencies of competitors;</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pricing strategies;</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by existing competitors;</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of direct-to-consumer selling by our vendors;</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entry by new competitors into markets in which we currently operate; and</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adoption by existing retail competitors of innovative store formats or sales methods.</w:t>
      </w:r>
    </w:p>
    <w:p>
      <w:pPr>
        <w:spacing w:after="0" w:line="37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If our online e-commerce sites, or those of our customers, do not function effectively or meet the expectations or preferences of our customers, our business and financial results could be materially adversely affected.</w:t>
      </w:r>
    </w:p>
    <w:p>
      <w:pPr>
        <w:spacing w:after="0" w:line="13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An increasing amount of our products are sold on our e-commerce sites and third-party e-commerce sites. Consumers are also increasingly using mobile-based applications to engage with us and our competitors through digital experiences that are offered on mobile platforms, and we are increasingly using social media to interact with our consumers as a means to enhance their shopping experience. Any failure on our part or on the part of third parties to provide effective, reliable, user-friendly e-commerce platforms that offer a wide assortment of our products and that continually meet the evolving expectations of online shoppers or any failure to provide attractive digital experiences could place us at a competitive disadvantage, result in the loss of sales, and could have a material adverse impact on our business and financial results. Our e-commerce business may be particularly</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 w:name="page17"/>
    <w:bookmarkEnd w:id="16"/>
    <w:p>
      <w:pPr>
        <w:spacing w:after="0" w:line="3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vulnerable to cyber threats including unauthorized access and denial of service attacks. Sales in our e-commerce channel may also divert sales from our retail and wholesale channels.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Investments and Infrastructure Risks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face a number of risks in opening new stores and renewing leases on existing stores.</w:t>
      </w:r>
    </w:p>
    <w:p>
      <w:pPr>
        <w:spacing w:after="0" w:line="20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may open new stores, both in regional malls, where most of the operational experience of our U.S. businesses lies, and in other venues including outlet centers, airports and other off-mall locations. We cannot offer assurances that we will be able to open as many stores as we have planned, that any new store will achieve similar operating results to those of our existing stores or that new stores opened in markets in which we operate will not have a material adverse effect on the revenues and profitability of our existing stores. In addition to the risks already discussed for existing stores, the success of any planned expansion or remodels is dependent upon numerous factors, many of which are beyond our control, including the following:</w:t>
      </w:r>
    </w:p>
    <w:p>
      <w:pPr>
        <w:spacing w:after="0" w:line="3" w:lineRule="exact"/>
        <w:rPr>
          <w:sz w:val="20"/>
          <w:szCs w:val="20"/>
          <w:color w:val="auto"/>
        </w:rPr>
      </w:pPr>
    </w:p>
    <w:p>
      <w:pPr>
        <w:ind w:left="760" w:hanging="378"/>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suitable markets and individual store sites within those markets;</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competition for suitable store sites;</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negotiate favorable lease terms for new stores and renewals (including rent and other costs) with landlords;</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governmental and other third-party consents, permits and licenses necessary to the operation of our stores or otherwise;</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build and remodel stores on schedule and at acceptable cost;</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employees to staff new stores and our ability to hire, train, motivate and retain store personnel;</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changes to laws and regulations, including wage, over-time, and employee benefits laws on store expense;</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adequate management and financial resources to manage an increased number of stores;</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adapt our distribution and other operational and management systems to an expanded network of stores; and</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events could prevent or delay store openings and impact our liquidity needed for store openings.</w:t>
      </w:r>
    </w:p>
    <w:p>
      <w:pPr>
        <w:spacing w:after="0" w:line="16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Additionally, the results we expect to achieve during each fiscal quarter are dependent upon opening new stores and renewing leases on existing stores on schedule and at expected costs. If we fall behind in our new store openings, we will lose expected sales and earnings between the planned opening date and the actual opening and may further complicate the logistics of opening stores, possibly resulting in additional delays, seasonally inappropriate product assortments, and other undesirable conditions.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Any acquisitions we make or new businesses we launch, as well as any dispositions of assets or businesses, involve a degree of risk.</w:t>
      </w:r>
    </w:p>
    <w:p>
      <w:pPr>
        <w:spacing w:after="0" w:line="20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Acquisitions have been a component of our growth strategy and we expect that in the future we may engage in acquisitions or launch new businesses to grow our revenues and meet our other strategic objectives. If acquisitions are not successfully integrated with our business, our ongoing operations could be adversely affected. Additionally, acquisitions or new businesses may not achieve desired profitability objectives or result in any anticipated successful expansion of the businesses or concepts, causing lower than expected earnings and cash flow and potentially requiring impairment of goodwill and other intangibles. Although we review and analyze assets or companies we acquire, such reviews are subject to uncertainties and may not reveal all potential risks. Additionally, although we attempt to obtain protective contractual provisions, such as representations, warranties and indemnities, in connection with acquisitions, we cannot offer assurance that we can obtain such provisions in our acquisitions or that they will fully protect us from unforeseen costs of, or liabilities associated with, the acquisitions. We may also incur significant costs and diversion of management time and attention in connection with pursuing possible acquisitions even if the acquisition is not ultimately consummated.</w:t>
      </w:r>
    </w:p>
    <w:p>
      <w:pPr>
        <w:spacing w:after="0" w:line="14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Additionally, we have in the past and may in the future divest assets or businesses. Following any such divestitures, we may retain or incur liabilities or costs relating to our previous ownership of the assets or business that we sell. Any required payments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 w:name="page18"/>
    <w:bookmarkEnd w:id="17"/>
    <w:p>
      <w:pPr>
        <w:spacing w:after="0" w:line="3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retained liabilities or indemnification obligations with respect to past or future asset or business divestitures could have a material adverse effect on our business or results of operations. Dispositions may also involve our continued financial involvement in the divested business, such as through transition services agreements and guarantees. Under these arrangements, performance by the divested businesses or conditions outside our control could adversely affect our business and results of operations.</w:t>
      </w:r>
    </w:p>
    <w:p>
      <w:pPr>
        <w:spacing w:after="0" w:line="1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Further, acquisitions and dispositions are often structured such that the purchase price paid or received by us, as applicable, is subject to post-closing adjustments, whether as a result of net working capital adjustments, contingent payments (i.e., earn-outs) or otherwise. Any such adjustments could result in a material change in the consideration paid to or received by us, as applicable, in such transactions.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 recorded with acquisitions is subject to impairment which could reduce the Company's profitability.</w:t>
      </w:r>
    </w:p>
    <w:p>
      <w:pPr>
        <w:spacing w:after="0" w:line="20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connection with acquisitions, we record goodwill on our Consolidated Balance Sheets. This asset is not amortized but is subject to an impairment test at least annually, where we have the option first to assess qualitative factors to determine whether events and circumstances indicate that it is more likely than not that goodwill is impaired. If after such assessment we conclude that the asset is impaired, we are required to determine the fair value of the asset using a quantitative impairment test that is based on projected future cash flows from the acquired business discounted at a rate commensurate with the risk we consider to be inherent in our current business model. We perform the impairment test annually at the beginning of our fourth quarter, or more frequently if events or circumstances indicate that the value of the asset might be impaired.</w:t>
      </w:r>
    </w:p>
    <w:p>
      <w:pPr>
        <w:spacing w:after="0" w:line="14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Deterioration in our equity market value, whether related to our operating performance or to disruptions in the equity markets or deterioration in the operating performance of the business unit with which goodwill is associated could cause us to recognize the impairment of some or all of the $8.9 million of goodwill on our Consolidated Balance Sheets at February 1, 2025, resulting in the reduction of net assets and a corresponding non-cash charge to earnings in the amount of the impairment.</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Technology, Data Security and Privacy Risks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operation of our business is heavily dependent on our information systems.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depend on a variety of information technology systems for the efficient functioning of our business (including multiple e-commerce websites) and security of information. Much information essential to our business is maintained electronically, including competitively sensitive information and potentially sensitive personal information about customers and employees.</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Despite our preventative efforts, our IT systems and websites may from time to time be vulnerable to damage or interruption from events such as difficulties in replacing or integrating the systems of acquired businesses, computer viruses, security breaches and power outages.</w:t>
      </w:r>
    </w:p>
    <w:p>
      <w:pPr>
        <w:spacing w:after="0" w:line="13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insurance policies may not provide coverage for security breaches and similar incidents or may have coverage limits which may not be adequate to reimburse us for losses caused by security breaches. We also rely on certain hardware and software vendors, including cloud-service providers, to maintain and periodically upgrade many of these systems so that they can continue to support our business. The software programs supporting many of our systems are licensed to us by independent software companies. The inability of our employees and developers or our inability to continue to maintain and upgrade these information systems and software programs could disrupt or reduce the efficiency of our operations. In addition, costs and potential problems and interruptions associated with the implementation of new or upgraded systems and technology or with maintenance or adequate support of existing systems could also disrupt or reduce the efficiency of our operations or leave us vulnerable to security breaches.</w:t>
      </w:r>
    </w:p>
    <w:p>
      <w:pPr>
        <w:spacing w:after="0" w:line="14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also rely heavily on our information technology staff. If we cannot meet our staffing needs in this area, we may not be able to fulfill our technology initiatives or to provide maintenance on existing systems.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 w:name="page19"/>
    <w:bookmarkEnd w:id="18"/>
    <w:p>
      <w:pPr>
        <w:spacing w:after="0" w:line="3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We are subject to payment-related risks that could increase our operating costs, expose us to fraud or theft, subject us to potential liability and potentially disrupt our business.</w:t>
      </w:r>
    </w:p>
    <w:p>
      <w:pPr>
        <w:spacing w:after="0" w:line="11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a retailer who accepts payments using a variety of methods, including buy now pay later methods, PayPal, and gift cards, we are subject to rules, regulations, contractual obligations and compliance requirements, including payment network rules and operating guidelines, data security standards and certification requirements, and rules governing electronic funds transfers. The regulatory environment related to information security and privacy is increasingly rigorous, with new and constantly changing requirements applicable to our business, and compliance with those requirements could result in additional costs or accelerate these costs with additional legal and financial exposure for noncompliance. For these payment methods, we pay interchange and other fees, which can increase over time and raise our operating costs. We rely on third parties to provide payment processing services. If these companies become unable to provide these services to us, or if their systems are compromised, it could disrupt our business.</w:t>
      </w:r>
    </w:p>
    <w:p>
      <w:pPr>
        <w:spacing w:after="0" w:line="14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payment methods that we offer also subject us to potential fraud and theft by persons who seek to obtain unauthorized access to or exploit any weaknesses that may exist in the payment systems. We completed the implementation of Europay, Mastercard and Visa ("EMV") technology and received certification in Fiscal 2018; however future upgrades to our Company's systems could expose us to the fraudulent use of credit cards and increased costs, including possible fines and restrictions on our Company's ability to accept payments by credit or debit cards, if we were not to receive recertification. Because we accept debit and credit cards for payment, we are also subject to industry data protection standards and protocols, such as the Payment Card Industry Data Security Standards (“PCI DSS”), issued by the Payment Card Industry Security Standards Council. Additionally, we have implemented technology in our stores to allow for the acceptance of EMV credit transactions and point-to-point encryption. Complying with PCI DSS standards and implementing related procedures, technology and information security measures require significant resources and ongoing attention. However, even if we comply with PCI DSS standards and offer EMV and point-to-point encryption technology in our stores, we may be vulnerable to, and unable to detect and appropriately respond to, data security breaches and data loss, including cybersecurity attacks or other breach of cardholder data.</w:t>
      </w:r>
    </w:p>
    <w:p>
      <w:pPr>
        <w:spacing w:after="0" w:line="16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the Payment Card Industry (“PCI”) is controlled by a limited number of vendors who have the ability to impose changes in the PCI’s fee structure and operational requirements on us without negotiation. Such changes in fees and operational requirements may result in our failure to comply with PCI DSS, and cause us to incur significant unanticipated expenses.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 w:name="page20"/>
    <w:bookmarkEnd w:id="19"/>
    <w:p>
      <w:pPr>
        <w:spacing w:after="0" w:line="3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A privacy breach, through a cybersecurity incident or otherwise, or failure to comply with privacy laws could materially adversely affect our business.</w:t>
      </w:r>
    </w:p>
    <w:p>
      <w:pPr>
        <w:spacing w:after="0" w:line="11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As part of normal operations, we and our third-party vendors and partners, receive and maintain confidential and personally identifiable information (“PII”) about our customers and employees, and confidential financial, intellectual property, and other information. We regard the protection of our customer, employee, and company information as critical. The regulatory environment surrounding information security and privacy is very demanding, with the frequent imposition of new and changing requirements some of which involve significant costs to implement and significant penalties if not followed properly. Despite our efforts and technology to secure our computer network and systems, a cybersecurity breach, whether targeted, random, or inadvertent, and whether at the hands of cyber criminals, hackers, rogue employees or other persons, may occur and could go undetected for a period of time, resulting in a material disruption of our computer network, a loss of information valuable to our business, including without limitation customer or employee PII, and/or theft. A similar cybersecurity breach to the computer networks and systems of our third-party vendors and partners, including those that are cloud-based, over which we have no control, may occur, and could lead to a material disruption of our computer network and/or the areas of our business that are dependent on the support, services and other products provided by our third-party vendors and partners. Additionally, the rapid evolution and increased adoption of machine learning and artificial intelligence ("AI") is further increasing risks in this area, including by making fraud detection more difficult, particularly with detection devices that use voice recognition or authentication. Our computer networks and our business may be adversely affected by such a breach of our third-party vendors and partners, which could result in a decrease in our e-commerce sales and/or a loss of information valuable to our business, including, without limitation, PII of customers or employees. Such a cyber-incident could result in any of the following:</w:t>
      </w:r>
    </w:p>
    <w:p>
      <w:pPr>
        <w:spacing w:after="0" w:line="12" w:lineRule="exact"/>
        <w:rPr>
          <w:sz w:val="20"/>
          <w:szCs w:val="20"/>
          <w:color w:val="auto"/>
        </w:rPr>
      </w:pPr>
    </w:p>
    <w:p>
      <w:pPr>
        <w:jc w:val="both"/>
        <w:ind w:left="760" w:hanging="378"/>
        <w:spacing w:after="0" w:line="250" w:lineRule="auto"/>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theft, destruction, loss, misappropriation, or release of confidential financial and other data, intellectual property, customer awards, or customer or employee information, including PII such as payment card information, email addresses, passwords, social security numbers, home addresses, or health information;</w:t>
      </w:r>
    </w:p>
    <w:p>
      <w:pPr>
        <w:spacing w:after="0" w:line="1" w:lineRule="exact"/>
        <w:rPr>
          <w:rFonts w:ascii="Times New Roman" w:cs="Times New Roman" w:eastAsia="Times New Roman" w:hAnsi="Times New Roman"/>
          <w:sz w:val="18"/>
          <w:szCs w:val="18"/>
          <w:color w:val="auto"/>
        </w:rPr>
      </w:pPr>
    </w:p>
    <w:p>
      <w:pPr>
        <w:ind w:left="760" w:right="20" w:hanging="378"/>
        <w:spacing w:after="0" w:line="250" w:lineRule="auto"/>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operational or business delays resulting from the disruption of our e-commerce sites, computer networks or the computer networks of our third-party vendors and partners and subsequent material clean-up and mitigation costs and activities;</w:t>
      </w:r>
    </w:p>
    <w:p>
      <w:pPr>
        <w:ind w:left="760" w:hanging="378"/>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publicity resulting in material reputation or brand damage with our customers, vendors, third-party partners or industry peers;</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sales, including those generated through our e-commerce websites; and</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governmental penalties, fines and/or enforcement actions, payment and industry penalties and fines and/or class action and other lawsuits.</w:t>
      </w:r>
    </w:p>
    <w:p>
      <w:pPr>
        <w:spacing w:after="0" w:line="16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Any of the above risks, individually or in aggregate, could materially damage our reputation and result in lost sales, governmental and payment card industry fines, and/or class action and other lawsuits. Although we carry cybersecurity insurance, that insurance may not be extensive enough or adequate in scope of coverage or amount to reimburse us for damages we may incur. Further, a significant breach of federal, state, provincial, local or international privacy laws could have a material adverse effect on our reputation.</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Data protection requirements are constantly evolving and these requirements could adversely affect our business and operating results.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access to collect or maintain information about our customers, and the protection of that data is critical to our business. The regulatory environment surrounding information security and privacy continues to evolve and new laws are increasingly giving customers the right to control how their personal data is used. One such law is the European Union's GDPR. Our failure to comply with the obligations of GDPR and similar U.S. federal and state laws, including California privacy laws, could in the future result in significant penalties which could have a material adverse effect on our business and results of operations. Data protection compliance could also cause us to incur substantial costs, forego a substantial amount of revenue or be subject to business risk associated with system changes and new business processes.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 w:name="page21"/>
    <w:bookmarkEnd w:id="20"/>
    <w:p>
      <w:pPr>
        <w:spacing w:after="0" w:line="3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The utilization, expansion and management of machine learning and other types of artificial intelligence in our business could adversely affect our business, financial condition and results of operations.</w:t>
      </w:r>
    </w:p>
    <w:p>
      <w:pPr>
        <w:spacing w:after="0" w:line="11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have been increasing our utilization of AI in our business and we anticipate that as technology advances, we may expand our application of AI, including generative AI. AI may become more important to our operations over time as we increase reliance on AI throughout our operations and administration. The rapid evolution of AI technology and potential regulation of AI may require that we expend significant resources to develop, test and maintain our implementation of AI. Our development, integration and use of AI technology in our operations remains in the early phases. Although we aim to implement AI technology according to responsible procedures and adequate safeguards, our current or future use of AI tools in our business operations could expose us to new or additional costs and risks, including the potential introduction of new vulnerabilities or cybersecurity risks within our information technology systems; the potential inadvertent or unauthorized release of our confidential or proprietary information resulting from the use (whether or not authorized) of AI tools by our employees, contractors, agents, representatives, vendors or customers; the potential loss of our intellectual property rights or our potential infringement of the intellectual property rights of third parties resulting from the use (whether or not authorized) of AI tools in our operations; and potential legal or reputational harms due to insufficient or flawed data, insufficient quality control, or unlawful bias or discrimination associated with the use of AI tools. In addition, the AI tools we may incorporate into certain aspects of our operations may not generate the intended efficiencies and may impact our business results. Our competitors may incorporate AI into their businesses faster or more successfully than us, which could impair our ability to compete effectively and adversely affect our results of operations. Additionally, if the information generated through our use of AI is or is deemed to be deficient, inaccurate or biased, our business, financial condition, and results of operations may be adversely affected.</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Operational, Supply Chain and Third-Party Risks</w:t>
      </w:r>
    </w:p>
    <w:p>
      <w:pPr>
        <w:spacing w:after="0" w:line="19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Increased operating costs, including wage increases resulting from potential increases in the minimum wage or competitive pressures, could have an adverse effect on our results.</w:t>
      </w:r>
    </w:p>
    <w:p>
      <w:pPr>
        <w:spacing w:after="0" w:line="11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Increased operating costs, including wage increases resulting from potential increases in the minimum wage or wage increases reflecting competition in relevant labor markets, store occupancy costs, distribution center costs and other expense items, including healthcare costs, may reduce our operating margin, and make it more difficult to identify new store locations that we believe will meet our investment return requirements. In addition, other employment and healthcare law changes may increase the cost of provided retirement and healthcare benefits expenses. Increases in our overall employment costs could have a material adverse effect on the Company’s business, results of operations and financial and competitive position.</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If we lose key members of management or are unable to attract and retain the talent required for our business, our operating results could suffer.</w:t>
      </w:r>
    </w:p>
    <w:p>
      <w:pPr>
        <w:spacing w:after="0" w:line="20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performance depends largely on the efforts and abilities of members of our management team. Our executives have substantial experience and expertise in our business and have made significant contributions to our growth and success. The unexpected future loss of services of one or more key members of our management team could have an adverse effect on our business. In addition, future performance will depend upon our ability to attract, retain and motivate qualified employees, including store personnel and field management. If we are unable to do so, our ability to meet our operating goals may be compromised. Finally, our stores are decentralized, are managed through a network of geographically dispersed management personnel and historically experience a high degree of turnover. If we are for any reason unable to maintain appropriate controls on store operations due to turnover or other reasons, including the ability to control losses resulting from inventory and cash shrinkage, our sales and operating margins may be adversely affected. There can be no assurance that we will be able to attract and retain the personnel we need in the future.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 w:name="page22"/>
    <w:bookmarkEnd w:id="21"/>
    <w:p>
      <w:pPr>
        <w:spacing w:after="0" w:line="3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The loss of, or disruption in, one of our distribution centers and other factors affecting the distribution of merchandise, including freight cost, could materially adversely affect our business.</w:t>
      </w:r>
    </w:p>
    <w:p>
      <w:pPr>
        <w:spacing w:after="0" w:line="11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Each of our divisions uses a single distribution center or third-party logistics provider to handle all or a significant amount of its merchandise. Most of our operations’ inventory is shipped directly from suppliers to our operations' distribution centers or third-party logistics provider, where the inventory is then processed, sorted and shipped to our stores, to our wholesale customers or to our e-commerce customers. We depend on the orderly operation of this receiving and distribution process, which depends, in turn, on adherence to shipping schedules and effective management of the distribution centers. Although we believe that our receiving and distribution processes are efficient and well positioned to support our current business and potential expansions, we cannot offer assurance that we have anticipated all of the changing demands that our expanding operations, particularly our e-commerce operations, will impose on our receiving and distribution system, or that events beyond our control, such as disruptions in operations due to fire or other catastrophic events, labor disagreements or shortages or shipping problems (whether in our own or in our third-party vendors’ or carriers’ businesses), will not result in delays in the delivery of merchandise to our stores or to our wholesale customers or e-commerce/retail customers. In addition, to the extent we need to add capacity to distribution centers by either leasing or building new distribution centers or adding capacity at existing centers or make changes in our distribution processes to improve efficiency and maximize capacity, we cannot assure that these changes will not result in unanticipated delays or interruptions in distribution. We depend upon third parties for shipment of a significant amount of merchandise. Interruptions in the services provided by third parties may occasionally result from damage or destruction to our distribution centers; weather-related events; natural disasters; pandemics; trade policy changes or restrictions; tariffs or import-related taxes; third-party labor disruptions; shipping capacity constraints; third-party contract disputes; military conflicts; acts of terrorism; or other factors beyond our control. An interruption in service by third parties for any reason could cause temporary disruptions in our business, a loss of sales and profits, and other material adverse effects.</w:t>
      </w:r>
    </w:p>
    <w:p>
      <w:pPr>
        <w:spacing w:after="0" w:line="1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freight costs are impacted by changes in fuel prices, surcharges and other factors which can affect cost both on inbound freight from vendors to our distribution centers and outbound freight from distribution centers to our stores and customers. Increases in freight costs, including in connection with increased fuel prices, may increase our cost of goods sold and our selling and administrative expenses.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 increase in the cost or a disruption in the flow of our imported products could adversely affect our business.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Merchandise originally manufactured and imported from overseas makes up a large proportion of our total inventory. A disruption in the shipping of our imported merchandise or an increase in the cost of those products may significantly decrease our sales and profits. We may be unable to meet customer demands or pass on price increases to our customers. In addition, if imported merchandise becomes more expensive or unavailable, the transition to alternative sources may not occur in time to meet demand. Products from alternative sources may also be of lesser quality or more expensive than those we currently import. Risks associated with our reliance on imported products include:</w:t>
      </w:r>
    </w:p>
    <w:p>
      <w:pPr>
        <w:spacing w:after="0" w:line="3" w:lineRule="exact"/>
        <w:rPr>
          <w:sz w:val="20"/>
          <w:szCs w:val="20"/>
          <w:color w:val="auto"/>
        </w:rPr>
      </w:pPr>
    </w:p>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in the shipping and importation of imported products because of factors such as:</w:t>
      </w:r>
    </w:p>
    <w:p>
      <w:pPr>
        <w:spacing w:after="0" w:line="9"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raw material shortages, work stoppages, strikes, political unrest and civil disturbances;</w:t>
      </w:r>
    </w:p>
    <w:p>
      <w:pPr>
        <w:spacing w:after="0" w:line="9"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problems with oceanic shipping, including shipping container shortages, disruptions to significant trade routes and delays in ports;</w:t>
      </w:r>
    </w:p>
    <w:p>
      <w:pPr>
        <w:spacing w:after="0" w:line="9"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customs inspections of import shipments or other factors that could result in penalties causing delays in shipments;</w:t>
      </w:r>
    </w:p>
    <w:p>
      <w:pPr>
        <w:spacing w:after="0" w:line="9" w:lineRule="exact"/>
        <w:rPr>
          <w:rFonts w:ascii="Times New Roman" w:cs="Times New Roman" w:eastAsia="Times New Roman" w:hAnsi="Times New Roman"/>
          <w:sz w:val="18"/>
          <w:szCs w:val="18"/>
          <w:color w:val="auto"/>
        </w:rPr>
      </w:pPr>
    </w:p>
    <w:p>
      <w:pPr>
        <w:ind w:left="1140" w:right="20" w:hanging="383"/>
        <w:spacing w:after="0" w:line="250" w:lineRule="auto"/>
        <w:tabs>
          <w:tab w:leader="none" w:pos="114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crises, natural disasters, pandemics, international disputes and wars, including the Russia-Ukraine war and the Israel-Hamas war; and</w:t>
      </w:r>
    </w:p>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the cost of purchasing or shipping foreign merchandise resulting from:</w:t>
      </w:r>
    </w:p>
    <w:p>
      <w:pPr>
        <w:spacing w:after="0" w:line="9"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imposition of additional cargo or safeguard measures;</w:t>
      </w:r>
    </w:p>
    <w:p>
      <w:pPr>
        <w:spacing w:after="0" w:line="9" w:lineRule="exact"/>
        <w:rPr>
          <w:rFonts w:ascii="Times New Roman" w:cs="Times New Roman" w:eastAsia="Times New Roman" w:hAnsi="Times New Roman"/>
          <w:sz w:val="18"/>
          <w:szCs w:val="18"/>
          <w:color w:val="auto"/>
        </w:rPr>
      </w:pPr>
    </w:p>
    <w:p>
      <w:pPr>
        <w:ind w:left="1140" w:right="20" w:hanging="383"/>
        <w:spacing w:after="0" w:line="260" w:lineRule="auto"/>
        <w:tabs>
          <w:tab w:leader="none" w:pos="114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denial by the United States of “most favored nation” trading status to or the imposition of quotas or other restriction on imports from a foreign country from which we purchase goods;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 w:name="page23"/>
    <w:bookmarkEnd w:id="22"/>
    <w:p>
      <w:pPr>
        <w:spacing w:after="0" w:line="140" w:lineRule="exact"/>
        <w:rPr>
          <w:sz w:val="20"/>
          <w:szCs w:val="20"/>
          <w:color w:val="auto"/>
        </w:rPr>
      </w:pPr>
    </w:p>
    <w:p>
      <w:pPr>
        <w:ind w:left="1140" w:hanging="383"/>
        <w:spacing w:after="0"/>
        <w:tabs>
          <w:tab w:leader="none" w:pos="11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import duties, import quotas, tariffs and other trade sanctions; and</w:t>
      </w:r>
    </w:p>
    <w:p>
      <w:pPr>
        <w:spacing w:after="0" w:line="2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shipping rates.</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Some of the inventory we sell is imported from China, which has historically been subject to efforts to increase duty rates or to impose restrictions on imports of certain products.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we or our suppliers or licensees are unable to source raw materials or finished goods from the countries where we or they wish to purchase them, either because of a regulatory change or for any other reason, or if the cost of doing so should increase, it could have a material adverse effect on our sales and earnings.</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small portion of the products we buy abroad is priced in foreign currencies and, therefore, we are affected by fluctuating currency exchange rates. We may not be able to effectively protect ourselves in the future against currency rate fluctuations. Even dollar-denominated foreign purchases may be affected by currency fluctuations to reflect appreciation in the local currency against the dollar in the price of the products that they provide. See Item 7, “Management’s Discussion and Analysis of Financial Condition and Results of Operations” for more information about our foreign currency exchange rate exposure and any hedging activities.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are dependent on third-party vendors and licensors for the merchandise we sell.</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do not manufacture the merchandise we sell, and our Genesco Brands Group business is dependent on third-party licenses. Accordingly, our product supply is subject to our ability to renew our license agreements or identify new licenses and the ability and willingness of third-party suppliers to deliver merchandise we order on time and in the quantities and of the quality we need. In addition, a material portion of our retail footwear sales consists of products marketed under brands belonging to unaffiliated vendors, which have fashion significance to our customers. If those vendors were to decide not to sell to us or to limit the availability of their products to us, or if they become unable because of economic conditions, pandemics, work stoppages, labor shortages, strikes, political unrest and civil disturbances, raw materials supply disruptions, or any other reason to supply us with products, we could be unable to offer our customers the products they wish to buy and could lose their business. Additionally, manufacturers are required to remain in compliance with certain wage, labor and environment-related laws, regulations and policies. Delayed compliance or failure to comply with such laws, regulations and policies by our vendors could adversely affect our ability to obtain products generally or at favorable costs, affecting our overall ability to maintain and manage inventory levels.</w:t>
      </w:r>
    </w:p>
    <w:p>
      <w:pPr>
        <w:spacing w:after="0" w:line="15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The manufacture of our products and our distributing operations are subject to the risks of doing business abroad, including in China, which could affect our ability to obtain products from foreign suppliers or control the costs of our products.</w:t>
      </w:r>
    </w:p>
    <w:p>
      <w:pPr>
        <w:spacing w:after="0" w:line="13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been diversifying our sourcing base to ensure that we are not too concentrated in any single country. As we source some products in China, the possibility of adverse changes in trade or political relations with China, political instability, increases in labor costs, the occurrence of prolonged adverse weather conditions or a natural disaster such as an earthquake or typhoon, or the outbreak of infectious diseases in China could severely interfere with the manufacturing and/or shipment of our products and would have a material adverse effect on our operations. Our ability to source products from China may be adversely affected by changes in Chinese laws and regulations (or the interpretation thereof), including those relating to taxation, import and export tariffs, relations with the U.S. government, raw materials, environmental regulations, land use rights, property and other matters. Policy changes in China could adversely affect our interests through, among other factors: changes in laws and regulations, confiscatory taxation, restrictions on currency conversion, imports or sources of supplies, or the expropriation or nationalization of private enterprises. In addition, electrical shortages, labor shortages or work stoppages may extend the production time necessary to produce our orders. There may be circumstances in the future where we may have to incur higher freight charges to expedite the delivery of product to our customers which could negatively affect our gross profit if we are unable to pass on those charges to our customers.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 w:name="page24"/>
    <w:bookmarkEnd w:id="23"/>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Tax, Legal, Regulatory, Global and Other External Risks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tax laws may result in increased volatility in our effective tax rates.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financial results are significantly impacted by the effective tax rates of both our domestic and international operations. Future changes in tax laws could materially impact our effective tax rate. Other factors, such as changes in the mix of earnings in countries with differing statutory tax rates, changes in permitted deductions, interpretations, policies and treaties and the outcome of income tax audits in various jurisdictions, may result in higher taxes, lower profitability and increased volatility in our financial results.</w:t>
      </w:r>
    </w:p>
    <w:p>
      <w:pPr>
        <w:spacing w:after="0" w:line="15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changes in the tax laws of foreign jurisdictions may arise as a result of the Pillar Two (“Pillar Two”) Global Anti-Base Erosion model rules that were released by the Organization for Economic Cooperation and Development (OECD) in 2021. The OECD continues to release guidance and in many of the countries implementing the Pillar Two rule, the first component of the Pillar Two rule became effective in 2024, with the second component expected to come into effect in 2025. It is possible that the Pillar Two rule could adversely impact our effective tax rate in future periods. Additionally, administrative guidance with respect to tax law can be incomplete or vary from legislative intent, and therefore the application of tax law is uncertain. While we believe our reported positions comply with relevant tax laws and regulations, taxing authorities could interpret the application of certain laws and regulations differently.</w:t>
      </w:r>
    </w:p>
    <w:p>
      <w:pPr>
        <w:spacing w:after="0" w:line="14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continue to expect the United States Treasury and the Internal Revenue Service to issue regulations and other guidance that could have a material impact on our effective tax rate in future periods.</w:t>
      </w:r>
    </w:p>
    <w:p>
      <w:pPr>
        <w:spacing w:after="0" w:line="117"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212121"/>
        </w:rPr>
        <w:t>Our ability to source our merchandise profitably or at all could be negatively impacted if new trade restrictions are imposed, existing trade restrictions become more burdensome or disruptions occur at our suppliers or at the ports.</w:t>
      </w:r>
    </w:p>
    <w:p>
      <w:pPr>
        <w:spacing w:after="0" w:line="13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212121"/>
        </w:rPr>
        <w:t xml:space="preserve">Trade restrictions, including increased tariffs, safeguards or quotas, on footwear, apparel and accessories could increase the cost or reduce the supply of merchandise available to us. </w:t>
      </w:r>
      <w:r>
        <w:rPr>
          <w:rFonts w:ascii="Times New Roman" w:cs="Times New Roman" w:eastAsia="Times New Roman" w:hAnsi="Times New Roman"/>
          <w:sz w:val="18"/>
          <w:szCs w:val="18"/>
          <w:color w:val="000000"/>
        </w:rPr>
        <w:t>We source footwear, apparel and accessory products from foreign manufacturers located in Brazil, Cambodia, Canada, China,</w:t>
      </w:r>
      <w:r>
        <w:rPr>
          <w:rFonts w:ascii="Times New Roman" w:cs="Times New Roman" w:eastAsia="Times New Roman" w:hAnsi="Times New Roman"/>
          <w:sz w:val="18"/>
          <w:szCs w:val="18"/>
          <w:color w:val="212121"/>
        </w:rPr>
        <w:t xml:space="preserve"> </w:t>
      </w:r>
      <w:r>
        <w:rPr>
          <w:rFonts w:ascii="Times New Roman" w:cs="Times New Roman" w:eastAsia="Times New Roman" w:hAnsi="Times New Roman"/>
          <w:sz w:val="18"/>
          <w:szCs w:val="18"/>
          <w:color w:val="000000"/>
        </w:rPr>
        <w:t xml:space="preserve">Hong Kong, India, Indonesia, Italy, Mexico, Pakistan, Portugal, Peru, Spain, Turkey and Vietnam. Our retail operations, excluding Johnston &amp; Murphy, sell primarily branded products from third parties who source primarily overseas. </w:t>
      </w:r>
      <w:r>
        <w:rPr>
          <w:rFonts w:ascii="Times New Roman" w:cs="Times New Roman" w:eastAsia="Times New Roman" w:hAnsi="Times New Roman"/>
          <w:sz w:val="18"/>
          <w:szCs w:val="18"/>
          <w:color w:val="212121"/>
        </w:rPr>
        <w:t>The investments we are making to develop our sourcing capabilities may</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12121"/>
        </w:rPr>
        <w:t>not be successful and may, in turn, have an adverse impact on our financial position and results of operations.</w:t>
      </w:r>
    </w:p>
    <w:p>
      <w:pPr>
        <w:spacing w:after="0" w:line="14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212121"/>
        </w:rPr>
        <w:t xml:space="preserve">There are quotas and trade restrictions on certain categories of goods and apparel from </w:t>
      </w:r>
      <w:r>
        <w:rPr>
          <w:rFonts w:ascii="Times New Roman" w:cs="Times New Roman" w:eastAsia="Times New Roman" w:hAnsi="Times New Roman"/>
          <w:sz w:val="18"/>
          <w:szCs w:val="18"/>
          <w:color w:val="252525"/>
        </w:rPr>
        <w:t>China</w:t>
      </w:r>
      <w:r>
        <w:rPr>
          <w:rFonts w:ascii="Times New Roman" w:cs="Times New Roman" w:eastAsia="Times New Roman" w:hAnsi="Times New Roman"/>
          <w:sz w:val="18"/>
          <w:szCs w:val="18"/>
          <w:color w:val="212121"/>
        </w:rPr>
        <w:t xml:space="preserve"> and countries that are not subject to the applicable World Trade Organization Agreement, which could have a significant impact on our sourcing patterns in the future. In addition, political uncertainty in the United States may result in significant changes to U.S. trade policies, treaties and </w:t>
      </w:r>
      <w:r>
        <w:rPr>
          <w:rFonts w:ascii="Times New Roman" w:cs="Times New Roman" w:eastAsia="Times New Roman" w:hAnsi="Times New Roman"/>
          <w:sz w:val="18"/>
          <w:szCs w:val="18"/>
          <w:color w:val="252525"/>
        </w:rPr>
        <w:t>tariffs</w:t>
      </w:r>
      <w:r>
        <w:rPr>
          <w:rFonts w:ascii="Times New Roman" w:cs="Times New Roman" w:eastAsia="Times New Roman" w:hAnsi="Times New Roman"/>
          <w:sz w:val="18"/>
          <w:szCs w:val="18"/>
          <w:color w:val="212121"/>
        </w:rPr>
        <w:t xml:space="preserve">, including trade policies and </w:t>
      </w:r>
      <w:r>
        <w:rPr>
          <w:rFonts w:ascii="Times New Roman" w:cs="Times New Roman" w:eastAsia="Times New Roman" w:hAnsi="Times New Roman"/>
          <w:sz w:val="18"/>
          <w:szCs w:val="18"/>
          <w:color w:val="252525"/>
        </w:rPr>
        <w:t>tariffs</w:t>
      </w:r>
      <w:r>
        <w:rPr>
          <w:rFonts w:ascii="Times New Roman" w:cs="Times New Roman" w:eastAsia="Times New Roman" w:hAnsi="Times New Roman"/>
          <w:sz w:val="18"/>
          <w:szCs w:val="18"/>
          <w:color w:val="212121"/>
        </w:rPr>
        <w:t xml:space="preserve"> regarding goods imported from </w:t>
      </w:r>
      <w:r>
        <w:rPr>
          <w:rFonts w:ascii="Times New Roman" w:cs="Times New Roman" w:eastAsia="Times New Roman" w:hAnsi="Times New Roman"/>
          <w:sz w:val="18"/>
          <w:szCs w:val="18"/>
          <w:color w:val="252525"/>
        </w:rPr>
        <w:t>China,</w:t>
      </w:r>
      <w:r>
        <w:rPr>
          <w:rFonts w:ascii="Times New Roman" w:cs="Times New Roman" w:eastAsia="Times New Roman" w:hAnsi="Times New Roman"/>
          <w:sz w:val="18"/>
          <w:szCs w:val="18"/>
          <w:color w:val="212121"/>
        </w:rPr>
        <w:t xml:space="preserve"> </w:t>
      </w:r>
      <w:r>
        <w:rPr>
          <w:rFonts w:ascii="Times New Roman" w:cs="Times New Roman" w:eastAsia="Times New Roman" w:hAnsi="Times New Roman"/>
          <w:sz w:val="18"/>
          <w:szCs w:val="18"/>
          <w:color w:val="252525"/>
        </w:rPr>
        <w:t>Canada and Mexico</w:t>
      </w:r>
      <w:r>
        <w:rPr>
          <w:rFonts w:ascii="Times New Roman" w:cs="Times New Roman" w:eastAsia="Times New Roman" w:hAnsi="Times New Roman"/>
          <w:sz w:val="18"/>
          <w:szCs w:val="18"/>
          <w:color w:val="212121"/>
        </w:rPr>
        <w:t>. Existing and potential future tariffs on certain imported products could result in an increase in prices for those products. These</w:t>
      </w:r>
      <w:r>
        <w:rPr>
          <w:rFonts w:ascii="Times New Roman" w:cs="Times New Roman" w:eastAsia="Times New Roman" w:hAnsi="Times New Roman"/>
          <w:sz w:val="18"/>
          <w:szCs w:val="18"/>
          <w:color w:val="252525"/>
        </w:rPr>
        <w:t xml:space="preserve"> </w:t>
      </w:r>
      <w:r>
        <w:rPr>
          <w:rFonts w:ascii="Times New Roman" w:cs="Times New Roman" w:eastAsia="Times New Roman" w:hAnsi="Times New Roman"/>
          <w:sz w:val="18"/>
          <w:szCs w:val="18"/>
          <w:color w:val="212121"/>
        </w:rPr>
        <w:t xml:space="preserve">developments, or the perception that any of them could occur, may have a material adverse effect on global economic conditions and the stability of global financial markets, and may significantly reduce global trade. Any of these factors could depress economic activity, restrict our sourcing from suppliers and have a material adverse effect on our business, financial condition and results of operations. We cannot predict whether any of the countries in which our merchandise is currently or may be manufactured in the future will be subject to additional trade restrictions imposed by the U.S. and foreign governments, nor can we predict the likelihood, type or effect of any such restrictions. Trade restrictions, including increased </w:t>
      </w:r>
      <w:r>
        <w:rPr>
          <w:rFonts w:ascii="Times New Roman" w:cs="Times New Roman" w:eastAsia="Times New Roman" w:hAnsi="Times New Roman"/>
          <w:sz w:val="18"/>
          <w:szCs w:val="18"/>
          <w:color w:val="252525"/>
        </w:rPr>
        <w:t>tariffs</w:t>
      </w:r>
      <w:r>
        <w:rPr>
          <w:rFonts w:ascii="Times New Roman" w:cs="Times New Roman" w:eastAsia="Times New Roman" w:hAnsi="Times New Roman"/>
          <w:sz w:val="18"/>
          <w:szCs w:val="18"/>
          <w:color w:val="212121"/>
        </w:rPr>
        <w:t xml:space="preserve"> or quotas, embargoes, safeguards and customs restrictions against items we source from foreign manufacturers could increase the cost, delay shipping or reduce the supply of products available to us or may require us to modify our current business practices, any of which could hurt our profitability. If we are unable to pass along increased costs to our customers, our gross margins could be adversely affected. Additionally, tariffs may cause us to shift production to other countries, resulting in significant costs and disruption to our business.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 w:name="page25"/>
    <w:bookmarkEnd w:id="24"/>
    <w:p>
      <w:pPr>
        <w:spacing w:after="0" w:line="3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12121"/>
        </w:rPr>
        <w:t>We rely on our suppliers to manufacture and ship the products they produce for us in a timely and cost-effective manner. We also rely on the free flow of goods through open and operational ports worldwide. Labor disputes and other disruptions at various ports or at our suppliers could increase costs for us and delay our receipt of merchandise, particularly if these disputes result in work slowdowns, lockouts, strikes or other disruptions.</w:t>
      </w:r>
    </w:p>
    <w:p>
      <w:pPr>
        <w:spacing w:after="0" w:line="13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The impact of climate change, extreme weather, infectious disease outbreaks, and other unexpected events could result in an interruption to our business, as well as to the operations of our third-party partners, and have a material adverse impact on our business.</w:t>
      </w:r>
    </w:p>
    <w:p>
      <w:pPr>
        <w:spacing w:after="0" w:line="11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operations of our retail stores, corporate offices, distribution centers, digital operations and supply chain, as well as the operations of our third-party partners, including vendors and manufacturers, are vulnerable to disruption from climate change, natural disasters, pandemics and other infectious disease outbreaks and other unexpected events. In addition to impacts on global operations, these events could result in the potential loss of customers and revenues due to mandatory or voluntary store closures, delay or cancellation of merchandise deliveries, reduced consumer confidence or changes in consumers’ discretionary spending habits.</w:t>
      </w:r>
    </w:p>
    <w:p>
      <w:pPr>
        <w:spacing w:after="0" w:line="1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These events could reduce the availability or quality of the materials used to manufacture our merchandise, which could cause delays in responding to consumer demand resulting in the potential loss of customers and revenues or we may incur increased costs to meet demand and may not be able to pass all or a portion of higher costs on to our customers, which could adversely affect our gross margin and results of our operations.</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historically, our operations have been seasonal, and extreme weather conditions, including natural disasters, unseasonable weather or changes in weather patterns, may diminish demand for our seasonal merchandise and could also influence consumer preferences and fashion trends, consumer traffic and shopping habits. In addition, we may incur costs that exceed our applicable insurance coverage for any necessary repairs to property damage or business disruption resulting from climate or weather conditions.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Establishing and protecting our intellectual property is critical to our business.</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ability to remain competitive is dependent upon our continued ability to secure and protect trademarks, patents and other intellectual property rights in the U.S. and internationally for all of our businesses. We rely on a combination of trade secret, patent, trademark, copyright and other laws, license agreements and other contractual provisions and technical measures to protect our intellectual property rights; however, some countries do not protect intellectual property rights to the same extent as the U.S.</w:t>
      </w:r>
    </w:p>
    <w:p>
      <w:pPr>
        <w:spacing w:after="0" w:line="13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business could be significantly harmed if we are not able to protect our intellectual property, or if a court found us to be infringing on others’ intellectual property rights. Any future intellectual property lawsuits or threatened lawsuits in which we are involved, either as a plaintiff or as a defendant, could cost us a significant amount of time and money and distract management’s attention from operating our business. If we do not prevail on any intellectual property claims, then we may have to change our manufacturing processes, products or trade names, any of which could reduce our profitability.</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Legislative or regulatory initiatives related to climate change could have a material adverse effect on our business.</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Greenhouse gases may have an adverse effect on global temperatures, weather patterns, and the frequency and severity of extreme weather and natural disaster. Such events could have a negative effect on our business. Concern over climate change may result in new or additional legislative and regulatory requirements to reduce or mitigate the effects of climate change on the environment, which could result in future tax, transportation cost, and utility increases. These risks could have a material adverse effect on our business.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 w:name="page26"/>
    <w:bookmarkEnd w:id="25"/>
    <w:p>
      <w:pPr>
        <w:spacing w:after="0" w:line="3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The scope of our non-U.S. operations exposes our performance to risks including foreign, political, legal and economic conditions and exchange rate fluctuations.</w:t>
      </w:r>
    </w:p>
    <w:p>
      <w:pPr>
        <w:spacing w:after="0" w:line="11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performance depends in part on general economic conditions affecting all countries in which we do business. Although the U.K. and the European Union (“E.U.”) entered into the E.U.-U.K. Trade and Cooperation Agreement on December 30, 2020, uncertainty remains about the impact on our business in the U.K. and ROI, including impact on tariffs, shipping costs, consumer demand and currency fluctuations.</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across all of our markets, we could be adversely impacted by changes in trade policies, labor, tax or other laws and regulations, intellectual property rights and supply chain logistics. We are also dependent on foreign manufacturers for the products we sell, and our inventory is subject to cost and availability of foreign materials and labor. In addition to the other risks disclosed herein, demand for our product offering in our non-U.S. operations is also subject to local market conditions.</w:t>
      </w:r>
    </w:p>
    <w:p>
      <w:pPr>
        <w:spacing w:after="0" w:line="15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we expand our international operations, we also increase our exposure to exchange rate fluctuations. Sales from stores outside the U.S. are denominated in the currency of the country in which these operations or stores are located and changes in foreign exchange rates affect the translation of the sales and earnings of these businesses into U.S. dollars for financial reporting purposes. Additionally, inventory purchase agreements may also be denominated in the currency of the country where the vendor resides.</w:t>
      </w:r>
    </w:p>
    <w:p>
      <w:pPr>
        <w:spacing w:after="0" w:line="1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the U.S. dollar strengthens relative to foreign currencies, our revenues and profits are reduced when converted into U.S. dollars and our margins may be negatively impacted by the increase in product costs. Although we typically have sought to mitigate the negative impacts of foreign currency exchange rate fluctuations through price increases and further actions to reduce costs, we may not be able to fully offset the impact, if at all.</w:t>
      </w:r>
    </w:p>
    <w:p>
      <w:pPr>
        <w:spacing w:after="0" w:line="13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We are subject to regulatory proceedings and litigation and to regulatory changes that could have an adverse effect on our financial condition and results of operations.</w:t>
      </w:r>
    </w:p>
    <w:p>
      <w:pPr>
        <w:spacing w:after="0" w:line="13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party to certain lawsuits, governmental investigations, and regulatory proceedings, including the proceedings arising out of alleged environmental contamination relating to historical operations of the Company and various suits involving current operations as disclosed in Item 3, "Legal Proceedings" and Note 15 to the Consolidated Financial Statements. If these or similar matters are resolved against us, or if we incur significant costs to pursue claims against third parties, our results of operations, our cash flows, or our financial condition could be adversely affected. The costs of prosecuting or defending such lawsuits and responding to such investigations and regulatory proceedings may be substantial and their potential to distract management from day-to-day business is significant. Moreover, with retail operations in the United States, Puerto Rico, Canada, the U.K., and the ROI, we are subject to federal, state, provincial, territorial, local and foreign regulations, which impose costs and risks on our business. Numerous states and municipalities as well as the federal government of the U.S. are proposing or have implemented changes to minimum wage, overtime, employee leave, employee benefit requirements and other requirements that will increase costs. Changes in regulations could make compliance more difficult and costly, and failure to comply with these requirements, including even a seemingly minor infraction, could result in liability for damages or penalties.</w:t>
      </w:r>
    </w:p>
    <w:p>
      <w:pPr>
        <w:spacing w:after="0" w:line="15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Actions of activist shareholders have caused, and could cause us in the future to incur substantial costs, divert management’s attention and resources, and have an adverse effect on our business.</w:t>
      </w:r>
    </w:p>
    <w:p>
      <w:pPr>
        <w:spacing w:after="0" w:line="11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shareholders may from time to time engage in proxy solicitations, advance shareholders proposals or otherwise attempt to affect changes or acquire control over the Company. Activist shareholder activities could adversely affect our business because responding to proxy contests and reacting to other actions by activist shareholders can be costly and time-consuming, disrupt our operations and divert the attention of management and our employees. For example, we have retained, and may in the future, retain the services of various professionals to advise us on activist shareholder matters, including legal, financial and communication advisors, the costs of which may negatively impact our future financial results. In addition, perceived uncertainties as to our future direction, strategy or leadership created as a consequence of activist shareholders initiatives may</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 w:name="page27"/>
    <w:bookmarkEnd w:id="26"/>
    <w:p>
      <w:pPr>
        <w:spacing w:after="0" w:line="3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result in the loss of potential business opportunities, harm our ability to attract new investors, customers, and employees, and cause our stock price to experience periods of volatility or stagnation.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Financial Risks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indebtedness is subject to floating interest rates.</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Borrowings under our credit facility bear interest at varying rates and expose us to interest rate risk. If interest rates were to increase, our debt service obligations on the variable rate indebtedness referred to above would increase even if the principal amount borrowed remained the same, and our net income and cash flows will correspondingly decrease. Additionally, in connection with the Intercontinental Exchange Benchmark Administration’s announced phase-out of the London Inter-Bank Offered Rate ("LIBOR"), we amended our credit facility to, among other things, replace LIBOR with the Secured Overnight Financing Rate (“SOFR”), the Sterling Overnight Index Average (“SONIA”) and the Euro Interbank Offered Rate (“EURIBOR”).</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1B. UNRESOLVED STAFF COMMENTS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1C. CYBERSECURITY</w:t>
      </w:r>
    </w:p>
    <w:p>
      <w:pPr>
        <w:spacing w:after="0" w:line="200" w:lineRule="exact"/>
        <w:rPr>
          <w:sz w:val="20"/>
          <w:szCs w:val="20"/>
          <w:color w:val="auto"/>
        </w:rPr>
      </w:pPr>
    </w:p>
    <w:p>
      <w:pPr>
        <w:spacing w:after="0" w:line="20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Cybersecurity is one of our most critical risks. For many activities important to our business, we depend on the confidentiality, integrity and availability of information systems and data, some of which are provided or managed by third parties. We have strategically integrated cybersecurity risk management into our broader enterprise risk management function to promote a company-wide culture of cybersecurity risk management.</w:t>
      </w:r>
    </w:p>
    <w:p>
      <w:pPr>
        <w:spacing w:after="0" w:line="13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Management is responsible for the day-to-day handling of risks facing the Company, while the Board of Directors, as a whole and through its committees, oversees risk management, including cybersecurity risks. The Board has delegated certain risk management responsibilities with respect to cybersecurity to the Audit Committee.</w:t>
      </w:r>
    </w:p>
    <w:p>
      <w:pPr>
        <w:spacing w:after="0" w:line="1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behalf of the Board, the Audit Committee provides oversight of our management of cybersecurity risk. The Audit Committee regularly reviews our cybersecurity risks, incidents, audits, assessments, crisis readiness, awareness activities and compliance with cybersecurity and privacy laws and regulations. Our Vice President, Information Security and Privacy jointly with our Senior Vice President, Chief Strategy and Digital Officer brief the Audit Committee quarterly, and more often, if necessary, on active and emerging cybersecurity threats and efforts to strengthen our defenses against these threats.</w:t>
      </w:r>
    </w:p>
    <w:p>
      <w:pPr>
        <w:spacing w:after="0" w:line="13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Information Security and Privacy teams reduce first and third-party risk by maintaining a proactive security posture aligned with current threats, detecting cybersecurity events and responding quickly, and building procedures to rapidly recover. These teams are managed by the Vice President, Information Security and Privacy, who reports to the Senior Vice President, Chief Strategy and Digital Officer. Our cybersecurity leaders collectively have more than 25 years of relevant experience and multiple professional certifications.</w:t>
      </w:r>
    </w:p>
    <w:p>
      <w:pPr>
        <w:spacing w:after="0" w:line="13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Internal and third-party risks are reviewed, monitored, and managed by our Cybersecurity and Privacy teams, audited by an Internal Audit team and various external experts, and tracked within an Enterprise Risk Management framework. We regularly engage third-party experts to assess the effectiveness of our cybersecurity programs. Biennially, an external independent consultancy team conducts an assessment of our cybersecurity program using the inputs from accepted Cybersecurity Frameworks. Targeted assessments are conducted regularly by internal and third-party experts to ensure compliance with specific federal and state laws and regulations. We continue to participate in the VISA TIP program and AMEX STEP program around our PCI DSS compliance.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7" w:name="page28"/>
    <w:bookmarkEnd w:id="27"/>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processes for identifying and managing first and third-party risks from cybersecurity threats include:</w:t>
      </w:r>
    </w:p>
    <w:p>
      <w:pPr>
        <w:spacing w:after="0" w:line="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•Continuous monitoring of our systems and network for cybersecurity events;</w:t>
      </w:r>
    </w:p>
    <w:p>
      <w:pPr>
        <w:spacing w:after="0" w:line="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•Regular testing of our Security Incident Response Plan, Business Continuity plans, and Disaster Recovery plans;</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•Required annual security training for our employees with access to email, as well as tailored training for employees in  more sensitive roles.</w:t>
      </w: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Periodic testing to ensure the security training is effective.</w:t>
      </w:r>
    </w:p>
    <w:p>
      <w:pPr>
        <w:spacing w:after="0" w:line="16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External managed security services providers and industry-leading security tools continuously monitor our systems and network for cybersecurity threats. Our cybersecurity teams evaluate the escalated threats, and if necessary, take steps to contain and recover from pervasive threats in accordance with our Security Incident Response Plan. The plan includes reporting and escalation procedures to inform the Executive Committee, Audit Committee, and full Board, as appropriate to enable them to carry out their oversight responsibilities, and to ensure timely compliance with applicable reporting rules. Our Business Continuity Management and Disaster Recovery plans include procedures for business recovery and are tested regularly.</w:t>
      </w:r>
    </w:p>
    <w:p>
      <w:pPr>
        <w:spacing w:after="0" w:line="14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 risks from cybersecurity threats or previous cybersecurity incidents have materially affected our business strategy, results of operations, or financial condition. However, there can be no assurance that our controls and procedures in place to monitor and mitigate the risks of cyber threats will be sufficient and/or timely and that we will not suffer material losses or consequences in the future. Additionally, while we have in place insurance coverage designed to address certain aspects of cyber risks, such insurance coverage may be insufficient to cover all insured losses or all types of claims that may arise.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8" w:name="page29"/>
    <w:bookmarkEnd w:id="28"/>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2. PROPERTIES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At February 1, 2025, we operated 1,278 retail footwear, apparel and accessory stores throughout the United States, Puerto Rico, Canada, the U.K. and the ROI. New shopping center store leases in the United States, Puerto Rico and Canada typically have initial terms of approximately 10 years. New store leases in the U.K. and the ROI typically have initial terms of between 10 and 15 years. We have leases with fixed base rental payments, rental payments based on a percentage of retail sales over contractual amounts and others with predetermined fixed escalations of the minimum rental payments based on a defined consumer price index or percentage.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general location, use and approximate size of our principal properties are set forth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88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Approximate</w:t>
            </w:r>
          </w:p>
        </w:tc>
      </w:tr>
      <w:tr>
        <w:trPr>
          <w:trHeight w:val="216"/>
        </w:trPr>
        <w:tc>
          <w:tcPr>
            <w:tcW w:w="38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88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Area</w:t>
            </w:r>
          </w:p>
        </w:tc>
      </w:tr>
      <w:tr>
        <w:trPr>
          <w:trHeight w:val="216"/>
        </w:trPr>
        <w:tc>
          <w:tcPr>
            <w:tcW w:w="3860" w:type="dxa"/>
            <w:vAlign w:val="bottom"/>
          </w:tcPr>
          <w:p>
            <w:pPr>
              <w:spacing w:after="0"/>
              <w:rPr>
                <w:sz w:val="18"/>
                <w:szCs w:val="18"/>
                <w:color w:val="auto"/>
              </w:rPr>
            </w:pPr>
          </w:p>
        </w:tc>
        <w:tc>
          <w:tcPr>
            <w:tcW w:w="1360" w:type="dxa"/>
            <w:vAlign w:val="bottom"/>
          </w:tcPr>
          <w:p>
            <w:pPr>
              <w:jc w:val="center"/>
              <w:ind w:left="190"/>
              <w:spacing w:after="0"/>
              <w:rPr>
                <w:sz w:val="20"/>
                <w:szCs w:val="20"/>
                <w:color w:val="auto"/>
              </w:rPr>
            </w:pPr>
            <w:r>
              <w:rPr>
                <w:rFonts w:ascii="Times New Roman" w:cs="Times New Roman" w:eastAsia="Times New Roman" w:hAnsi="Times New Roman"/>
                <w:sz w:val="18"/>
                <w:szCs w:val="18"/>
                <w:b w:val="1"/>
                <w:bCs w:val="1"/>
                <w:color w:val="auto"/>
                <w:w w:val="99"/>
              </w:rPr>
              <w:t>Owned/</w:t>
            </w:r>
          </w:p>
        </w:tc>
        <w:tc>
          <w:tcPr>
            <w:tcW w:w="18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88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Square</w:t>
            </w:r>
          </w:p>
        </w:tc>
      </w:tr>
      <w:tr>
        <w:trPr>
          <w:trHeight w:val="238"/>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Location</w:t>
            </w:r>
          </w:p>
        </w:tc>
        <w:tc>
          <w:tcPr>
            <w:tcW w:w="13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Leased</w:t>
            </w:r>
          </w:p>
        </w:tc>
        <w:tc>
          <w:tcPr>
            <w:tcW w:w="1800" w:type="dxa"/>
            <w:vAlign w:val="bottom"/>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9"/>
              </w:rPr>
              <w:t>Segment</w:t>
            </w:r>
          </w:p>
        </w:tc>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Use</w:t>
            </w:r>
          </w:p>
        </w:tc>
        <w:tc>
          <w:tcPr>
            <w:tcW w:w="188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6"/>
              </w:rPr>
              <w:t>Feet</w:t>
            </w:r>
          </w:p>
        </w:tc>
      </w:tr>
      <w:tr>
        <w:trPr>
          <w:trHeight w:val="191"/>
        </w:trPr>
        <w:tc>
          <w:tcPr>
            <w:tcW w:w="3860" w:type="dxa"/>
            <w:vAlign w:val="bottom"/>
            <w:tcBorders>
              <w:top w:val="single" w:sz="8" w:color="auto"/>
            </w:tcBorders>
            <w:shd w:val="clear" w:color="auto" w:fill="CFF0FC"/>
          </w:tcPr>
          <w:p>
            <w:pPr>
              <w:spacing w:after="0"/>
              <w:rPr>
                <w:sz w:val="16"/>
                <w:szCs w:val="16"/>
                <w:color w:val="auto"/>
              </w:rPr>
            </w:pPr>
          </w:p>
        </w:tc>
        <w:tc>
          <w:tcPr>
            <w:tcW w:w="1360" w:type="dxa"/>
            <w:vAlign w:val="bottom"/>
            <w:tcBorders>
              <w:top w:val="single" w:sz="8" w:color="auto"/>
            </w:tcBorders>
            <w:shd w:val="clear" w:color="auto" w:fill="CFF0FC"/>
          </w:tcPr>
          <w:p>
            <w:pPr>
              <w:spacing w:after="0"/>
              <w:rPr>
                <w:sz w:val="16"/>
                <w:szCs w:val="16"/>
                <w:color w:val="auto"/>
              </w:rPr>
            </w:pPr>
          </w:p>
        </w:tc>
        <w:tc>
          <w:tcPr>
            <w:tcW w:w="1800" w:type="dxa"/>
            <w:vAlign w:val="bottom"/>
            <w:tcBorders>
              <w:top w:val="single" w:sz="8" w:color="auto"/>
            </w:tcBorders>
            <w:shd w:val="clear" w:color="auto" w:fill="CFF0FC"/>
          </w:tcPr>
          <w:p>
            <w:pPr>
              <w:spacing w:after="0"/>
              <w:rPr>
                <w:sz w:val="16"/>
                <w:szCs w:val="16"/>
                <w:color w:val="auto"/>
              </w:rPr>
            </w:pPr>
          </w:p>
        </w:tc>
        <w:tc>
          <w:tcPr>
            <w:tcW w:w="2340" w:type="dxa"/>
            <w:vAlign w:val="bottom"/>
            <w:tcBorders>
              <w:top w:val="single" w:sz="8" w:color="auto"/>
            </w:tcBorders>
            <w:shd w:val="clear" w:color="auto" w:fill="CFF0FC"/>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Distribution warehouse and</w:t>
            </w:r>
          </w:p>
        </w:tc>
        <w:tc>
          <w:tcPr>
            <w:tcW w:w="1560" w:type="dxa"/>
            <w:vAlign w:val="bottom"/>
            <w:tcBorders>
              <w:top w:val="single" w:sz="8" w:color="auto"/>
            </w:tcBorders>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r>
      <w:tr>
        <w:trPr>
          <w:trHeight w:val="234"/>
        </w:trPr>
        <w:tc>
          <w:tcPr>
            <w:tcW w:w="3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Lebanon, TN</w:t>
            </w:r>
          </w:p>
        </w:tc>
        <w:tc>
          <w:tcPr>
            <w:tcW w:w="1360" w:type="dxa"/>
            <w:vAlign w:val="bottom"/>
            <w:shd w:val="clear" w:color="auto" w:fill="CFF0FC"/>
          </w:tcPr>
          <w:p>
            <w:pPr>
              <w:jc w:val="center"/>
              <w:ind w:left="190"/>
              <w:spacing w:after="0"/>
              <w:rPr>
                <w:sz w:val="20"/>
                <w:szCs w:val="20"/>
                <w:color w:val="auto"/>
              </w:rPr>
            </w:pPr>
            <w:r>
              <w:rPr>
                <w:rFonts w:ascii="Times New Roman" w:cs="Times New Roman" w:eastAsia="Times New Roman" w:hAnsi="Times New Roman"/>
                <w:sz w:val="18"/>
                <w:szCs w:val="18"/>
                <w:color w:val="auto"/>
                <w:w w:val="99"/>
              </w:rPr>
              <w:t>Owned</w:t>
            </w:r>
          </w:p>
        </w:tc>
        <w:tc>
          <w:tcPr>
            <w:tcW w:w="1800" w:type="dxa"/>
            <w:vAlign w:val="bottom"/>
            <w:shd w:val="clear" w:color="auto" w:fill="CFF0FC"/>
          </w:tcPr>
          <w:p>
            <w:pPr>
              <w:jc w:val="center"/>
              <w:ind w:left="70"/>
              <w:spacing w:after="0"/>
              <w:rPr>
                <w:sz w:val="20"/>
                <w:szCs w:val="20"/>
                <w:color w:val="auto"/>
              </w:rPr>
            </w:pPr>
            <w:r>
              <w:rPr>
                <w:rFonts w:ascii="Times New Roman" w:cs="Times New Roman" w:eastAsia="Times New Roman" w:hAnsi="Times New Roman"/>
                <w:sz w:val="18"/>
                <w:szCs w:val="18"/>
                <w:color w:val="auto"/>
              </w:rPr>
              <w:t>Journeys Group</w:t>
            </w:r>
          </w:p>
        </w:tc>
        <w:tc>
          <w:tcPr>
            <w:tcW w:w="23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administrative offices</w:t>
            </w:r>
          </w:p>
        </w:tc>
        <w:tc>
          <w:tcPr>
            <w:tcW w:w="15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563,000</w:t>
            </w:r>
          </w:p>
        </w:tc>
        <w:tc>
          <w:tcPr>
            <w:tcW w:w="320" w:type="dxa"/>
            <w:vAlign w:val="bottom"/>
            <w:shd w:val="clear" w:color="auto" w:fill="CFF0FC"/>
          </w:tcPr>
          <w:p>
            <w:pPr>
              <w:spacing w:after="0"/>
              <w:rPr>
                <w:sz w:val="20"/>
                <w:szCs w:val="20"/>
                <w:color w:val="auto"/>
              </w:rPr>
            </w:pPr>
          </w:p>
        </w:tc>
      </w:tr>
      <w:tr>
        <w:trPr>
          <w:trHeight w:val="216"/>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Bathgate, Scotland</w:t>
            </w:r>
          </w:p>
        </w:tc>
        <w:tc>
          <w:tcPr>
            <w:tcW w:w="136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9"/>
              </w:rPr>
              <w:t>Owned</w:t>
            </w:r>
          </w:p>
        </w:tc>
        <w:tc>
          <w:tcPr>
            <w:tcW w:w="180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rPr>
              <w:t>Schuh Group</w:t>
            </w:r>
          </w:p>
        </w:tc>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Distribution warehouse</w:t>
            </w:r>
          </w:p>
        </w:tc>
        <w:tc>
          <w:tcPr>
            <w:tcW w:w="1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244,644</w:t>
            </w:r>
          </w:p>
        </w:tc>
        <w:tc>
          <w:tcPr>
            <w:tcW w:w="320" w:type="dxa"/>
            <w:vAlign w:val="bottom"/>
          </w:tcPr>
          <w:p>
            <w:pPr>
              <w:spacing w:after="0"/>
              <w:rPr>
                <w:sz w:val="18"/>
                <w:szCs w:val="18"/>
                <w:color w:val="auto"/>
              </w:rPr>
            </w:pPr>
          </w:p>
        </w:tc>
      </w:tr>
      <w:tr>
        <w:trPr>
          <w:trHeight w:val="198"/>
        </w:trPr>
        <w:tc>
          <w:tcPr>
            <w:tcW w:w="386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800" w:type="dxa"/>
            <w:vAlign w:val="bottom"/>
            <w:shd w:val="clear" w:color="auto" w:fill="CFF0FC"/>
          </w:tcPr>
          <w:p>
            <w:pPr>
              <w:jc w:val="center"/>
              <w:ind w:left="10"/>
              <w:spacing w:after="0" w:line="198" w:lineRule="exact"/>
              <w:rPr>
                <w:sz w:val="20"/>
                <w:szCs w:val="20"/>
                <w:color w:val="auto"/>
              </w:rPr>
            </w:pPr>
            <w:r>
              <w:rPr>
                <w:rFonts w:ascii="Times New Roman" w:cs="Times New Roman" w:eastAsia="Times New Roman" w:hAnsi="Times New Roman"/>
                <w:sz w:val="18"/>
                <w:szCs w:val="18"/>
                <w:color w:val="auto"/>
              </w:rPr>
              <w:t>Genesco Brands</w:t>
            </w:r>
          </w:p>
        </w:tc>
        <w:tc>
          <w:tcPr>
            <w:tcW w:w="2340" w:type="dxa"/>
            <w:vAlign w:val="bottom"/>
            <w:shd w:val="clear" w:color="auto" w:fill="CFF0FC"/>
          </w:tcPr>
          <w:p>
            <w:pPr>
              <w:spacing w:after="0"/>
              <w:rPr>
                <w:sz w:val="17"/>
                <w:szCs w:val="17"/>
                <w:color w:val="auto"/>
              </w:rPr>
            </w:pPr>
          </w:p>
        </w:tc>
        <w:tc>
          <w:tcPr>
            <w:tcW w:w="15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r>
      <w:tr>
        <w:trPr>
          <w:trHeight w:val="234"/>
        </w:trPr>
        <w:tc>
          <w:tcPr>
            <w:tcW w:w="3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Chapel Hill, TN</w:t>
            </w:r>
          </w:p>
        </w:tc>
        <w:tc>
          <w:tcPr>
            <w:tcW w:w="1360" w:type="dxa"/>
            <w:vAlign w:val="bottom"/>
            <w:shd w:val="clear" w:color="auto" w:fill="CFF0FC"/>
          </w:tcPr>
          <w:p>
            <w:pPr>
              <w:jc w:val="center"/>
              <w:ind w:left="190"/>
              <w:spacing w:after="0"/>
              <w:rPr>
                <w:sz w:val="20"/>
                <w:szCs w:val="20"/>
                <w:color w:val="auto"/>
              </w:rPr>
            </w:pPr>
            <w:r>
              <w:rPr>
                <w:rFonts w:ascii="Times New Roman" w:cs="Times New Roman" w:eastAsia="Times New Roman" w:hAnsi="Times New Roman"/>
                <w:sz w:val="18"/>
                <w:szCs w:val="18"/>
                <w:color w:val="auto"/>
                <w:w w:val="99"/>
              </w:rPr>
              <w:t>Owned</w:t>
            </w:r>
          </w:p>
        </w:tc>
        <w:tc>
          <w:tcPr>
            <w:tcW w:w="1800" w:type="dxa"/>
            <w:vAlign w:val="bottom"/>
            <w:shd w:val="clear" w:color="auto" w:fill="CFF0FC"/>
          </w:tcPr>
          <w:p>
            <w:pPr>
              <w:jc w:val="center"/>
              <w:ind w:left="50"/>
              <w:spacing w:after="0"/>
              <w:rPr>
                <w:sz w:val="20"/>
                <w:szCs w:val="20"/>
                <w:color w:val="auto"/>
              </w:rPr>
            </w:pPr>
            <w:r>
              <w:rPr>
                <w:rFonts w:ascii="Times New Roman" w:cs="Times New Roman" w:eastAsia="Times New Roman" w:hAnsi="Times New Roman"/>
                <w:sz w:val="18"/>
                <w:szCs w:val="18"/>
                <w:color w:val="auto"/>
                <w:w w:val="99"/>
              </w:rPr>
              <w:t>Group</w:t>
            </w:r>
          </w:p>
        </w:tc>
        <w:tc>
          <w:tcPr>
            <w:tcW w:w="23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Distribution warehouse</w:t>
            </w:r>
          </w:p>
        </w:tc>
        <w:tc>
          <w:tcPr>
            <w:tcW w:w="15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182,000</w:t>
            </w:r>
          </w:p>
        </w:tc>
        <w:tc>
          <w:tcPr>
            <w:tcW w:w="320" w:type="dxa"/>
            <w:vAlign w:val="bottom"/>
            <w:shd w:val="clear" w:color="auto" w:fill="CFF0FC"/>
          </w:tcPr>
          <w:p>
            <w:pPr>
              <w:spacing w:after="0"/>
              <w:rPr>
                <w:sz w:val="20"/>
                <w:szCs w:val="20"/>
                <w:color w:val="auto"/>
              </w:rPr>
            </w:pPr>
          </w:p>
        </w:tc>
      </w:tr>
      <w:tr>
        <w:trPr>
          <w:trHeight w:val="198"/>
        </w:trPr>
        <w:tc>
          <w:tcPr>
            <w:tcW w:w="38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800" w:type="dxa"/>
            <w:vAlign w:val="bottom"/>
          </w:tcPr>
          <w:p>
            <w:pPr>
              <w:jc w:val="center"/>
              <w:ind w:left="30"/>
              <w:spacing w:after="0" w:line="198" w:lineRule="exact"/>
              <w:rPr>
                <w:sz w:val="20"/>
                <w:szCs w:val="20"/>
                <w:color w:val="auto"/>
              </w:rPr>
            </w:pPr>
            <w:r>
              <w:rPr>
                <w:rFonts w:ascii="Times New Roman" w:cs="Times New Roman" w:eastAsia="Times New Roman" w:hAnsi="Times New Roman"/>
                <w:sz w:val="18"/>
                <w:szCs w:val="18"/>
                <w:color w:val="auto"/>
                <w:w w:val="99"/>
              </w:rPr>
              <w:t>Johnston &amp; Murphy</w:t>
            </w:r>
          </w:p>
        </w:tc>
        <w:tc>
          <w:tcPr>
            <w:tcW w:w="23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320" w:type="dxa"/>
            <w:vAlign w:val="bottom"/>
          </w:tcPr>
          <w:p>
            <w:pPr>
              <w:spacing w:after="0"/>
              <w:rPr>
                <w:sz w:val="17"/>
                <w:szCs w:val="17"/>
                <w:color w:val="auto"/>
              </w:rPr>
            </w:pPr>
          </w:p>
        </w:tc>
      </w:tr>
      <w:tr>
        <w:trPr>
          <w:trHeight w:val="234"/>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Fayetteville, TN</w:t>
            </w:r>
          </w:p>
        </w:tc>
        <w:tc>
          <w:tcPr>
            <w:tcW w:w="136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9"/>
              </w:rPr>
              <w:t>Owned</w:t>
            </w:r>
          </w:p>
        </w:tc>
        <w:tc>
          <w:tcPr>
            <w:tcW w:w="180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Group</w:t>
            </w:r>
          </w:p>
        </w:tc>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Distribution warehouse</w:t>
            </w:r>
          </w:p>
        </w:tc>
        <w:tc>
          <w:tcPr>
            <w:tcW w:w="1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178,500</w:t>
            </w:r>
          </w:p>
        </w:tc>
        <w:tc>
          <w:tcPr>
            <w:tcW w:w="320" w:type="dxa"/>
            <w:vAlign w:val="bottom"/>
          </w:tcPr>
          <w:p>
            <w:pPr>
              <w:spacing w:after="0"/>
              <w:rPr>
                <w:sz w:val="20"/>
                <w:szCs w:val="20"/>
                <w:color w:val="auto"/>
              </w:rPr>
            </w:pPr>
          </w:p>
        </w:tc>
      </w:tr>
      <w:tr>
        <w:trPr>
          <w:trHeight w:val="198"/>
        </w:trPr>
        <w:tc>
          <w:tcPr>
            <w:tcW w:w="386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800" w:type="dxa"/>
            <w:vAlign w:val="bottom"/>
            <w:shd w:val="clear" w:color="auto" w:fill="CFF0FC"/>
          </w:tcPr>
          <w:p>
            <w:pPr>
              <w:jc w:val="center"/>
              <w:ind w:left="30"/>
              <w:spacing w:after="0" w:line="198" w:lineRule="exact"/>
              <w:rPr>
                <w:sz w:val="20"/>
                <w:szCs w:val="20"/>
                <w:color w:val="auto"/>
              </w:rPr>
            </w:pPr>
            <w:r>
              <w:rPr>
                <w:rFonts w:ascii="Times New Roman" w:cs="Times New Roman" w:eastAsia="Times New Roman" w:hAnsi="Times New Roman"/>
                <w:sz w:val="18"/>
                <w:szCs w:val="18"/>
                <w:color w:val="auto"/>
                <w:w w:val="99"/>
              </w:rPr>
              <w:t>Johnston &amp; Murphy</w:t>
            </w:r>
          </w:p>
        </w:tc>
        <w:tc>
          <w:tcPr>
            <w:tcW w:w="2340" w:type="dxa"/>
            <w:vAlign w:val="bottom"/>
            <w:shd w:val="clear" w:color="auto" w:fill="CFF0FC"/>
          </w:tcPr>
          <w:p>
            <w:pPr>
              <w:spacing w:after="0"/>
              <w:rPr>
                <w:sz w:val="17"/>
                <w:szCs w:val="17"/>
                <w:color w:val="auto"/>
              </w:rPr>
            </w:pPr>
          </w:p>
        </w:tc>
        <w:tc>
          <w:tcPr>
            <w:tcW w:w="15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r>
      <w:tr>
        <w:trPr>
          <w:trHeight w:val="234"/>
        </w:trPr>
        <w:tc>
          <w:tcPr>
            <w:tcW w:w="3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Fayetteville, TN</w:t>
            </w:r>
          </w:p>
        </w:tc>
        <w:tc>
          <w:tcPr>
            <w:tcW w:w="1360" w:type="dxa"/>
            <w:vAlign w:val="bottom"/>
            <w:shd w:val="clear" w:color="auto" w:fill="CFF0FC"/>
          </w:tcPr>
          <w:p>
            <w:pPr>
              <w:jc w:val="center"/>
              <w:ind w:left="170"/>
              <w:spacing w:after="0"/>
              <w:rPr>
                <w:sz w:val="20"/>
                <w:szCs w:val="20"/>
                <w:color w:val="auto"/>
              </w:rPr>
            </w:pPr>
            <w:r>
              <w:rPr>
                <w:rFonts w:ascii="Times New Roman" w:cs="Times New Roman" w:eastAsia="Times New Roman" w:hAnsi="Times New Roman"/>
                <w:sz w:val="18"/>
                <w:szCs w:val="18"/>
                <w:color w:val="auto"/>
                <w:w w:val="97"/>
              </w:rPr>
              <w:t>Leased</w:t>
            </w:r>
          </w:p>
        </w:tc>
        <w:tc>
          <w:tcPr>
            <w:tcW w:w="1800" w:type="dxa"/>
            <w:vAlign w:val="bottom"/>
            <w:shd w:val="clear" w:color="auto" w:fill="CFF0FC"/>
          </w:tcPr>
          <w:p>
            <w:pPr>
              <w:jc w:val="center"/>
              <w:ind w:left="50"/>
              <w:spacing w:after="0"/>
              <w:rPr>
                <w:sz w:val="20"/>
                <w:szCs w:val="20"/>
                <w:color w:val="auto"/>
              </w:rPr>
            </w:pPr>
            <w:r>
              <w:rPr>
                <w:rFonts w:ascii="Times New Roman" w:cs="Times New Roman" w:eastAsia="Times New Roman" w:hAnsi="Times New Roman"/>
                <w:sz w:val="18"/>
                <w:szCs w:val="18"/>
                <w:color w:val="auto"/>
                <w:w w:val="99"/>
              </w:rPr>
              <w:t>Group</w:t>
            </w:r>
          </w:p>
        </w:tc>
        <w:tc>
          <w:tcPr>
            <w:tcW w:w="23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Distribution warehouse</w:t>
            </w:r>
          </w:p>
        </w:tc>
        <w:tc>
          <w:tcPr>
            <w:tcW w:w="15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91,580</w:t>
            </w:r>
          </w:p>
        </w:tc>
        <w:tc>
          <w:tcPr>
            <w:tcW w:w="320" w:type="dxa"/>
            <w:vAlign w:val="bottom"/>
            <w:shd w:val="clear" w:color="auto" w:fill="CFF0FC"/>
          </w:tcPr>
          <w:p>
            <w:pPr>
              <w:spacing w:after="0"/>
              <w:rPr>
                <w:sz w:val="20"/>
                <w:szCs w:val="20"/>
                <w:color w:val="auto"/>
              </w:rPr>
            </w:pPr>
          </w:p>
        </w:tc>
      </w:tr>
      <w:tr>
        <w:trPr>
          <w:trHeight w:val="198"/>
        </w:trPr>
        <w:tc>
          <w:tcPr>
            <w:tcW w:w="38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34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Distribution warehouse and</w:t>
            </w:r>
          </w:p>
        </w:tc>
        <w:tc>
          <w:tcPr>
            <w:tcW w:w="1560" w:type="dxa"/>
            <w:vAlign w:val="bottom"/>
          </w:tcPr>
          <w:p>
            <w:pPr>
              <w:spacing w:after="0"/>
              <w:rPr>
                <w:sz w:val="17"/>
                <w:szCs w:val="17"/>
                <w:color w:val="auto"/>
              </w:rPr>
            </w:pPr>
          </w:p>
        </w:tc>
        <w:tc>
          <w:tcPr>
            <w:tcW w:w="320" w:type="dxa"/>
            <w:vAlign w:val="bottom"/>
          </w:tcPr>
          <w:p>
            <w:pPr>
              <w:spacing w:after="0"/>
              <w:rPr>
                <w:sz w:val="17"/>
                <w:szCs w:val="17"/>
                <w:color w:val="auto"/>
              </w:rPr>
            </w:pPr>
          </w:p>
        </w:tc>
      </w:tr>
      <w:tr>
        <w:trPr>
          <w:trHeight w:val="234"/>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Deans Industrial Estate, Livingston, Scotland</w:t>
            </w:r>
          </w:p>
        </w:tc>
        <w:tc>
          <w:tcPr>
            <w:tcW w:w="136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99"/>
              </w:rPr>
              <w:t>Owned</w:t>
            </w:r>
          </w:p>
        </w:tc>
        <w:tc>
          <w:tcPr>
            <w:tcW w:w="180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rPr>
              <w:t>Schuh Group</w:t>
            </w:r>
          </w:p>
        </w:tc>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administrative offices</w:t>
            </w:r>
          </w:p>
        </w:tc>
        <w:tc>
          <w:tcPr>
            <w:tcW w:w="1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106,813</w:t>
            </w:r>
          </w:p>
        </w:tc>
        <w:tc>
          <w:tcPr>
            <w:tcW w:w="320" w:type="dxa"/>
            <w:vAlign w:val="bottom"/>
          </w:tcPr>
          <w:p>
            <w:pPr>
              <w:spacing w:after="0"/>
              <w:rPr>
                <w:sz w:val="20"/>
                <w:szCs w:val="20"/>
                <w:color w:val="auto"/>
              </w:rPr>
            </w:pPr>
          </w:p>
        </w:tc>
      </w:tr>
      <w:tr>
        <w:trPr>
          <w:trHeight w:val="198"/>
        </w:trPr>
        <w:tc>
          <w:tcPr>
            <w:tcW w:w="386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800" w:type="dxa"/>
            <w:vAlign w:val="bottom"/>
            <w:shd w:val="clear" w:color="auto" w:fill="CFF0FC"/>
          </w:tcPr>
          <w:p>
            <w:pPr>
              <w:spacing w:after="0"/>
              <w:rPr>
                <w:sz w:val="17"/>
                <w:szCs w:val="17"/>
                <w:color w:val="auto"/>
              </w:rPr>
            </w:pPr>
          </w:p>
        </w:tc>
        <w:tc>
          <w:tcPr>
            <w:tcW w:w="2340" w:type="dxa"/>
            <w:vAlign w:val="bottom"/>
            <w:shd w:val="clear" w:color="auto" w:fill="CFF0FC"/>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Distribution warehouse and</w:t>
            </w:r>
          </w:p>
        </w:tc>
        <w:tc>
          <w:tcPr>
            <w:tcW w:w="15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r>
      <w:tr>
        <w:trPr>
          <w:trHeight w:val="234"/>
        </w:trPr>
        <w:tc>
          <w:tcPr>
            <w:tcW w:w="3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Northwest Business Park, Ballycoolin, Dublin</w:t>
            </w:r>
          </w:p>
        </w:tc>
        <w:tc>
          <w:tcPr>
            <w:tcW w:w="1360" w:type="dxa"/>
            <w:vAlign w:val="bottom"/>
            <w:shd w:val="clear" w:color="auto" w:fill="CFF0FC"/>
          </w:tcPr>
          <w:p>
            <w:pPr>
              <w:jc w:val="center"/>
              <w:ind w:left="170"/>
              <w:spacing w:after="0"/>
              <w:rPr>
                <w:sz w:val="20"/>
                <w:szCs w:val="20"/>
                <w:color w:val="auto"/>
              </w:rPr>
            </w:pPr>
            <w:r>
              <w:rPr>
                <w:rFonts w:ascii="Times New Roman" w:cs="Times New Roman" w:eastAsia="Times New Roman" w:hAnsi="Times New Roman"/>
                <w:sz w:val="18"/>
                <w:szCs w:val="18"/>
                <w:color w:val="auto"/>
                <w:w w:val="97"/>
              </w:rPr>
              <w:t>Leased</w:t>
            </w:r>
          </w:p>
        </w:tc>
        <w:tc>
          <w:tcPr>
            <w:tcW w:w="1800" w:type="dxa"/>
            <w:vAlign w:val="bottom"/>
            <w:shd w:val="clear" w:color="auto" w:fill="CFF0FC"/>
          </w:tcPr>
          <w:p>
            <w:pPr>
              <w:jc w:val="center"/>
              <w:ind w:left="70"/>
              <w:spacing w:after="0"/>
              <w:rPr>
                <w:sz w:val="20"/>
                <w:szCs w:val="20"/>
                <w:color w:val="auto"/>
              </w:rPr>
            </w:pPr>
            <w:r>
              <w:rPr>
                <w:rFonts w:ascii="Times New Roman" w:cs="Times New Roman" w:eastAsia="Times New Roman" w:hAnsi="Times New Roman"/>
                <w:sz w:val="18"/>
                <w:szCs w:val="18"/>
                <w:color w:val="auto"/>
              </w:rPr>
              <w:t>Schuh Group</w:t>
            </w:r>
          </w:p>
        </w:tc>
        <w:tc>
          <w:tcPr>
            <w:tcW w:w="23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administrative offices</w:t>
            </w:r>
          </w:p>
        </w:tc>
        <w:tc>
          <w:tcPr>
            <w:tcW w:w="15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49,460</w:t>
            </w:r>
          </w:p>
        </w:tc>
        <w:tc>
          <w:tcPr>
            <w:tcW w:w="320" w:type="dxa"/>
            <w:vAlign w:val="bottom"/>
            <w:shd w:val="clear" w:color="auto" w:fill="CFF0FC"/>
          </w:tcPr>
          <w:p>
            <w:pPr>
              <w:spacing w:after="0"/>
              <w:rPr>
                <w:sz w:val="20"/>
                <w:szCs w:val="20"/>
                <w:color w:val="auto"/>
              </w:rPr>
            </w:pPr>
          </w:p>
        </w:tc>
      </w:tr>
      <w:tr>
        <w:trPr>
          <w:trHeight w:val="234"/>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Nashville, TN</w:t>
            </w:r>
          </w:p>
        </w:tc>
        <w:tc>
          <w:tcPr>
            <w:tcW w:w="136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7"/>
              </w:rPr>
              <w:t>Leased</w:t>
            </w:r>
          </w:p>
        </w:tc>
        <w:tc>
          <w:tcPr>
            <w:tcW w:w="180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8"/>
              </w:rPr>
              <w:t>Various</w:t>
            </w:r>
          </w:p>
        </w:tc>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Corporate headquarters</w:t>
            </w:r>
          </w:p>
        </w:tc>
        <w:tc>
          <w:tcPr>
            <w:tcW w:w="1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182,078</w:t>
            </w:r>
          </w:p>
        </w:tc>
        <w:tc>
          <w:tcPr>
            <w:tcW w:w="320" w:type="dxa"/>
            <w:vAlign w:val="bottom"/>
          </w:tcPr>
          <w:p>
            <w:pPr>
              <w:spacing w:after="0"/>
              <w:rPr>
                <w:sz w:val="20"/>
                <w:szCs w:val="20"/>
                <w:color w:val="auto"/>
              </w:rPr>
            </w:pPr>
          </w:p>
        </w:tc>
      </w:tr>
    </w:tbl>
    <w:p>
      <w:pPr>
        <w:spacing w:after="0" w:line="1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believe that all leases of properties that are material to our operations may be renewed, or that alternative properties are available, on terms not materially less favorable to us than existing leases.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3. LEGAL PROCEEDINGS</w:t>
      </w:r>
    </w:p>
    <w:p>
      <w:pPr>
        <w:spacing w:after="0" w:line="20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From time to time, we are subject to legal and/or administrative proceedings incidental to our business. It is the opinion of management that the outcome of pending legal and/or administrative proceedings will not have a material effect on our financial position and results of operations.</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Further information with respect to this item may be found in Note 15 to the Consolidated Financial Statements included in Item 8, "Financial Statements and Supplementary Data," which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4. MINE SAFETY DISCLOSURES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9" w:name="page30"/>
    <w:bookmarkEnd w:id="29"/>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98"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u w:val="single" w:color="auto"/>
          <w:color w:val="auto"/>
        </w:rPr>
        <w:t>ITEM 5. MARKET FOR REGISTRANT’S COMMON EQUITY, RELATED STOCKHOLDER MATTERS AND ISSUER PURCHASES OF EQUITY SECURITIES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stock is traded on the New York Stock Exchange under the symbol "GCO".</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approximately 1,250 common shareholders of record on March 14, 2025.</w:t>
      </w:r>
    </w:p>
    <w:p>
      <w:pPr>
        <w:spacing w:after="0" w:line="1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not paid cash dividends to our holders of our Common Stock since 1973 and we do not currently anticipate paying cash dividends in the foreseeable future. Our ability to pay cash dividends to our holders of common stock is subject to various restrictions. See Note 10 to the Consolidated Financial Statements included in Item 8, "Financial Statements and Supplementary Data" for information regarding restrictions on dividends and redemption of capital stock.</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3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b w:val="1"/>
          <w:bCs w:val="1"/>
          <w:color w:val="auto"/>
        </w:rPr>
        <w:t>ISSUER PURCHASES OF EQUITY SECURITIES</w:t>
      </w:r>
    </w:p>
    <w:tbl>
      <w:tblPr>
        <w:tblLayout w:type="fixed"/>
        <w:tblInd w:w="0" w:type="dxa"/>
        <w:tblCellMar>
          <w:top w:w="0" w:type="dxa"/>
          <w:left w:w="0" w:type="dxa"/>
          <w:bottom w:w="0" w:type="dxa"/>
          <w:right w:w="0" w:type="dxa"/>
        </w:tblCellMar>
      </w:tblPr>
      <w:tr>
        <w:trPr>
          <w:trHeight w:val="198"/>
        </w:trPr>
        <w:tc>
          <w:tcPr>
            <w:tcW w:w="25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20" w:type="dxa"/>
            <w:vAlign w:val="bottom"/>
            <w:gridSpan w:val="2"/>
          </w:tcPr>
          <w:p>
            <w:pPr>
              <w:jc w:val="center"/>
              <w:ind w:right="420"/>
              <w:spacing w:after="0" w:line="198" w:lineRule="exact"/>
              <w:rPr>
                <w:sz w:val="20"/>
                <w:szCs w:val="20"/>
                <w:color w:val="auto"/>
              </w:rPr>
            </w:pPr>
            <w:r>
              <w:rPr>
                <w:rFonts w:ascii="Times New Roman" w:cs="Times New Roman" w:eastAsia="Times New Roman" w:hAnsi="Times New Roman"/>
                <w:sz w:val="18"/>
                <w:szCs w:val="18"/>
                <w:color w:val="auto"/>
                <w:w w:val="99"/>
              </w:rPr>
              <w:t>(d) Maximum</w:t>
            </w:r>
          </w:p>
        </w:tc>
      </w:tr>
      <w:tr>
        <w:trPr>
          <w:trHeight w:val="216"/>
        </w:trPr>
        <w:tc>
          <w:tcPr>
            <w:tcW w:w="25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w w:val="99"/>
              </w:rPr>
              <w:t>(c) Total</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2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rPr>
              <w:t>Number</w:t>
            </w:r>
          </w:p>
        </w:tc>
      </w:tr>
      <w:tr>
        <w:trPr>
          <w:trHeight w:val="216"/>
        </w:trPr>
        <w:tc>
          <w:tcPr>
            <w:tcW w:w="25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w w:val="99"/>
              </w:rPr>
              <w:t>Number of</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2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9"/>
              </w:rPr>
              <w:t>(or Approximate</w:t>
            </w:r>
          </w:p>
        </w:tc>
      </w:tr>
      <w:tr>
        <w:trPr>
          <w:trHeight w:val="216"/>
        </w:trPr>
        <w:tc>
          <w:tcPr>
            <w:tcW w:w="25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w w:val="95"/>
              </w:rPr>
              <w:t>Shares</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2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rPr>
              <w:t>Dollar Value)</w:t>
            </w:r>
          </w:p>
        </w:tc>
      </w:tr>
      <w:tr>
        <w:trPr>
          <w:trHeight w:val="216"/>
        </w:trPr>
        <w:tc>
          <w:tcPr>
            <w:tcW w:w="25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w w:val="99"/>
              </w:rPr>
              <w:t>Purchased</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2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rPr>
              <w:t>of Shares that</w:t>
            </w:r>
          </w:p>
        </w:tc>
      </w:tr>
      <w:tr>
        <w:trPr>
          <w:trHeight w:val="216"/>
        </w:trPr>
        <w:tc>
          <w:tcPr>
            <w:tcW w:w="25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rPr>
              <w:t>as Part</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2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9"/>
              </w:rPr>
              <w:t>May Yet Be</w:t>
            </w:r>
          </w:p>
        </w:tc>
      </w:tr>
      <w:tr>
        <w:trPr>
          <w:trHeight w:val="216"/>
        </w:trPr>
        <w:tc>
          <w:tcPr>
            <w:tcW w:w="2500" w:type="dxa"/>
            <w:vAlign w:val="bottom"/>
          </w:tcPr>
          <w:p>
            <w:pPr>
              <w:spacing w:after="0"/>
              <w:rPr>
                <w:sz w:val="18"/>
                <w:szCs w:val="18"/>
                <w:color w:val="auto"/>
              </w:rPr>
            </w:pPr>
          </w:p>
        </w:tc>
        <w:tc>
          <w:tcPr>
            <w:tcW w:w="1660" w:type="dxa"/>
            <w:vAlign w:val="bottom"/>
          </w:tcPr>
          <w:p>
            <w:pPr>
              <w:jc w:val="center"/>
              <w:ind w:left="730"/>
              <w:spacing w:after="0"/>
              <w:rPr>
                <w:sz w:val="20"/>
                <w:szCs w:val="20"/>
                <w:color w:val="auto"/>
              </w:rPr>
            </w:pPr>
            <w:r>
              <w:rPr>
                <w:rFonts w:ascii="Times New Roman" w:cs="Times New Roman" w:eastAsia="Times New Roman" w:hAnsi="Times New Roman"/>
                <w:sz w:val="18"/>
                <w:szCs w:val="18"/>
                <w:color w:val="auto"/>
              </w:rPr>
              <w:t>(a) Total</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center"/>
              <w:ind w:left="330"/>
              <w:spacing w:after="0"/>
              <w:rPr>
                <w:sz w:val="20"/>
                <w:szCs w:val="20"/>
                <w:color w:val="auto"/>
              </w:rPr>
            </w:pPr>
            <w:r>
              <w:rPr>
                <w:rFonts w:ascii="Times New Roman" w:cs="Times New Roman" w:eastAsia="Times New Roman" w:hAnsi="Times New Roman"/>
                <w:sz w:val="18"/>
                <w:szCs w:val="18"/>
                <w:color w:val="auto"/>
                <w:w w:val="99"/>
              </w:rPr>
              <w:t>(b) Average</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w w:val="98"/>
              </w:rPr>
              <w:t>of Publicly</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2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w w:val="99"/>
              </w:rPr>
              <w:t>Purchased</w:t>
            </w:r>
          </w:p>
        </w:tc>
      </w:tr>
      <w:tr>
        <w:trPr>
          <w:trHeight w:val="216"/>
        </w:trPr>
        <w:tc>
          <w:tcPr>
            <w:tcW w:w="2500" w:type="dxa"/>
            <w:vAlign w:val="bottom"/>
          </w:tcPr>
          <w:p>
            <w:pPr>
              <w:spacing w:after="0"/>
              <w:rPr>
                <w:sz w:val="18"/>
                <w:szCs w:val="18"/>
                <w:color w:val="auto"/>
              </w:rPr>
            </w:pPr>
          </w:p>
        </w:tc>
        <w:tc>
          <w:tcPr>
            <w:tcW w:w="1660" w:type="dxa"/>
            <w:vAlign w:val="bottom"/>
          </w:tcPr>
          <w:p>
            <w:pPr>
              <w:jc w:val="center"/>
              <w:ind w:left="730"/>
              <w:spacing w:after="0"/>
              <w:rPr>
                <w:sz w:val="20"/>
                <w:szCs w:val="20"/>
                <w:color w:val="auto"/>
              </w:rPr>
            </w:pPr>
            <w:r>
              <w:rPr>
                <w:rFonts w:ascii="Times New Roman" w:cs="Times New Roman" w:eastAsia="Times New Roman" w:hAnsi="Times New Roman"/>
                <w:sz w:val="18"/>
                <w:szCs w:val="18"/>
                <w:color w:val="auto"/>
              </w:rPr>
              <w:t>Number of</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center"/>
              <w:ind w:left="330"/>
              <w:spacing w:after="0"/>
              <w:rPr>
                <w:sz w:val="20"/>
                <w:szCs w:val="20"/>
                <w:color w:val="auto"/>
              </w:rPr>
            </w:pPr>
            <w:r>
              <w:rPr>
                <w:rFonts w:ascii="Times New Roman" w:cs="Times New Roman" w:eastAsia="Times New Roman" w:hAnsi="Times New Roman"/>
                <w:sz w:val="18"/>
                <w:szCs w:val="18"/>
                <w:color w:val="auto"/>
              </w:rPr>
              <w:t>Price</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w w:val="98"/>
              </w:rPr>
              <w:t>Announced</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2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rPr>
              <w:t>Under the</w:t>
            </w:r>
          </w:p>
        </w:tc>
      </w:tr>
      <w:tr>
        <w:trPr>
          <w:trHeight w:val="196"/>
        </w:trPr>
        <w:tc>
          <w:tcPr>
            <w:tcW w:w="2500" w:type="dxa"/>
            <w:vAlign w:val="bottom"/>
          </w:tcPr>
          <w:p>
            <w:pPr>
              <w:spacing w:after="0"/>
              <w:rPr>
                <w:sz w:val="17"/>
                <w:szCs w:val="17"/>
                <w:color w:val="auto"/>
              </w:rPr>
            </w:pPr>
          </w:p>
        </w:tc>
        <w:tc>
          <w:tcPr>
            <w:tcW w:w="1660" w:type="dxa"/>
            <w:vAlign w:val="bottom"/>
          </w:tcPr>
          <w:p>
            <w:pPr>
              <w:jc w:val="center"/>
              <w:ind w:left="730"/>
              <w:spacing w:after="0" w:line="196" w:lineRule="exact"/>
              <w:rPr>
                <w:sz w:val="20"/>
                <w:szCs w:val="20"/>
                <w:color w:val="auto"/>
              </w:rPr>
            </w:pPr>
            <w:r>
              <w:rPr>
                <w:rFonts w:ascii="Times New Roman" w:cs="Times New Roman" w:eastAsia="Times New Roman" w:hAnsi="Times New Roman"/>
                <w:sz w:val="18"/>
                <w:szCs w:val="18"/>
                <w:color w:val="auto"/>
                <w:w w:val="99"/>
              </w:rPr>
              <w:t>Shares</w:t>
            </w: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jc w:val="center"/>
              <w:ind w:left="350"/>
              <w:spacing w:after="0" w:line="196" w:lineRule="exact"/>
              <w:rPr>
                <w:sz w:val="20"/>
                <w:szCs w:val="20"/>
                <w:color w:val="auto"/>
              </w:rPr>
            </w:pPr>
            <w:r>
              <w:rPr>
                <w:rFonts w:ascii="Times New Roman" w:cs="Times New Roman" w:eastAsia="Times New Roman" w:hAnsi="Times New Roman"/>
                <w:sz w:val="18"/>
                <w:szCs w:val="18"/>
                <w:color w:val="auto"/>
                <w:w w:val="99"/>
              </w:rPr>
              <w:t>Paid</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40" w:type="dxa"/>
            <w:vAlign w:val="bottom"/>
          </w:tcPr>
          <w:p>
            <w:pPr>
              <w:jc w:val="center"/>
              <w:ind w:left="350"/>
              <w:spacing w:after="0" w:line="196" w:lineRule="exact"/>
              <w:rPr>
                <w:sz w:val="20"/>
                <w:szCs w:val="20"/>
                <w:color w:val="auto"/>
              </w:rPr>
            </w:pPr>
            <w:r>
              <w:rPr>
                <w:rFonts w:ascii="Times New Roman" w:cs="Times New Roman" w:eastAsia="Times New Roman" w:hAnsi="Times New Roman"/>
                <w:sz w:val="18"/>
                <w:szCs w:val="18"/>
                <w:color w:val="auto"/>
                <w:w w:val="99"/>
              </w:rPr>
              <w:t>Plans or</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20" w:type="dxa"/>
            <w:vAlign w:val="bottom"/>
            <w:gridSpan w:val="2"/>
          </w:tcPr>
          <w:p>
            <w:pPr>
              <w:jc w:val="center"/>
              <w:ind w:right="420"/>
              <w:spacing w:after="0" w:line="196" w:lineRule="exact"/>
              <w:rPr>
                <w:sz w:val="20"/>
                <w:szCs w:val="20"/>
                <w:color w:val="auto"/>
              </w:rPr>
            </w:pPr>
            <w:r>
              <w:rPr>
                <w:rFonts w:ascii="Times New Roman" w:cs="Times New Roman" w:eastAsia="Times New Roman" w:hAnsi="Times New Roman"/>
                <w:sz w:val="18"/>
                <w:szCs w:val="18"/>
                <w:color w:val="auto"/>
              </w:rPr>
              <w:t>Plans or</w:t>
            </w:r>
          </w:p>
        </w:tc>
      </w:tr>
      <w:tr>
        <w:trPr>
          <w:trHeight w:val="254"/>
        </w:trPr>
        <w:tc>
          <w:tcPr>
            <w:tcW w:w="250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Period</w:t>
            </w:r>
          </w:p>
        </w:tc>
        <w:tc>
          <w:tcPr>
            <w:tcW w:w="1660" w:type="dxa"/>
            <w:vAlign w:val="bottom"/>
          </w:tcPr>
          <w:p>
            <w:pPr>
              <w:jc w:val="center"/>
              <w:ind w:left="750"/>
              <w:spacing w:after="0"/>
              <w:rPr>
                <w:sz w:val="20"/>
                <w:szCs w:val="20"/>
                <w:color w:val="auto"/>
              </w:rPr>
            </w:pPr>
            <w:r>
              <w:rPr>
                <w:rFonts w:ascii="Times New Roman" w:cs="Times New Roman" w:eastAsia="Times New Roman" w:hAnsi="Times New Roman"/>
                <w:sz w:val="18"/>
                <w:szCs w:val="18"/>
                <w:color w:val="auto"/>
                <w:w w:val="99"/>
              </w:rPr>
              <w:t>Purchased</w:t>
            </w: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20" w:type="dxa"/>
            <w:vAlign w:val="bottom"/>
          </w:tcPr>
          <w:p>
            <w:pPr>
              <w:jc w:val="center"/>
              <w:ind w:left="330"/>
              <w:spacing w:after="0"/>
              <w:rPr>
                <w:sz w:val="20"/>
                <w:szCs w:val="20"/>
                <w:color w:val="auto"/>
              </w:rPr>
            </w:pPr>
            <w:r>
              <w:rPr>
                <w:rFonts w:ascii="Times New Roman" w:cs="Times New Roman" w:eastAsia="Times New Roman" w:hAnsi="Times New Roman"/>
                <w:sz w:val="18"/>
                <w:szCs w:val="18"/>
                <w:color w:val="auto"/>
              </w:rPr>
              <w:t>per Share</w:t>
            </w:r>
          </w:p>
        </w:tc>
        <w:tc>
          <w:tcPr>
            <w:tcW w:w="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740" w:type="dxa"/>
            <w:vAlign w:val="bottom"/>
          </w:tcPr>
          <w:p>
            <w:pPr>
              <w:jc w:val="center"/>
              <w:ind w:left="350"/>
              <w:spacing w:after="0" w:line="255" w:lineRule="exact"/>
              <w:rPr>
                <w:sz w:val="20"/>
                <w:szCs w:val="20"/>
                <w:color w:val="auto"/>
              </w:rPr>
            </w:pPr>
            <w:r>
              <w:rPr>
                <w:rFonts w:ascii="Times New Roman" w:cs="Times New Roman" w:eastAsia="Times New Roman" w:hAnsi="Times New Roman"/>
                <w:sz w:val="18"/>
                <w:szCs w:val="18"/>
                <w:color w:val="auto"/>
                <w:w w:val="93"/>
              </w:rPr>
              <w:t>Programs</w:t>
            </w:r>
            <w:r>
              <w:rPr>
                <w:rFonts w:ascii="Times New Roman" w:cs="Times New Roman" w:eastAsia="Times New Roman" w:hAnsi="Times New Roman"/>
                <w:sz w:val="24"/>
                <w:szCs w:val="24"/>
                <w:color w:val="auto"/>
                <w:w w:val="93"/>
                <w:vertAlign w:val="superscript"/>
              </w:rPr>
              <w:t>(1)</w:t>
            </w: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02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color w:val="auto"/>
                <w:w w:val="98"/>
              </w:rPr>
              <w:t>Programs</w:t>
            </w:r>
          </w:p>
        </w:tc>
      </w:tr>
      <w:tr>
        <w:trPr>
          <w:trHeight w:val="209"/>
        </w:trPr>
        <w:tc>
          <w:tcPr>
            <w:tcW w:w="250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November 2024</w:t>
            </w:r>
          </w:p>
        </w:tc>
        <w:tc>
          <w:tcPr>
            <w:tcW w:w="1660" w:type="dxa"/>
            <w:vAlign w:val="bottom"/>
            <w:tcBorders>
              <w:top w:val="single" w:sz="8" w:color="auto"/>
            </w:tcBorders>
            <w:shd w:val="clear" w:color="auto" w:fill="CFF0FC"/>
          </w:tcPr>
          <w:p>
            <w:pPr>
              <w:spacing w:after="0"/>
              <w:rPr>
                <w:sz w:val="18"/>
                <w:szCs w:val="18"/>
                <w:color w:val="auto"/>
              </w:rPr>
            </w:pPr>
          </w:p>
        </w:tc>
        <w:tc>
          <w:tcPr>
            <w:tcW w:w="5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20" w:type="dxa"/>
            <w:vAlign w:val="bottom"/>
            <w:tcBorders>
              <w:top w:val="single" w:sz="8" w:color="auto"/>
            </w:tcBorders>
            <w:shd w:val="clear" w:color="auto" w:fill="CFF0FC"/>
          </w:tcPr>
          <w:p>
            <w:pPr>
              <w:spacing w:after="0"/>
              <w:rPr>
                <w:sz w:val="18"/>
                <w:szCs w:val="18"/>
                <w:color w:val="auto"/>
              </w:rPr>
            </w:pPr>
          </w:p>
        </w:tc>
        <w:tc>
          <w:tcPr>
            <w:tcW w:w="4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740" w:type="dxa"/>
            <w:vAlign w:val="bottom"/>
            <w:tcBorders>
              <w:top w:val="single" w:sz="8" w:color="auto"/>
            </w:tcBorders>
            <w:shd w:val="clear" w:color="auto" w:fill="CFF0FC"/>
          </w:tcPr>
          <w:p>
            <w:pPr>
              <w:spacing w:after="0"/>
              <w:rPr>
                <w:sz w:val="18"/>
                <w:szCs w:val="18"/>
                <w:color w:val="auto"/>
              </w:rPr>
            </w:pPr>
          </w:p>
        </w:tc>
        <w:tc>
          <w:tcPr>
            <w:tcW w:w="4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19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2500" w:type="dxa"/>
            <w:vAlign w:val="bottom"/>
          </w:tcPr>
          <w:p>
            <w:pPr>
              <w:ind w:left="20"/>
              <w:spacing w:after="0" w:line="216" w:lineRule="exact"/>
              <w:rPr>
                <w:sz w:val="20"/>
                <w:szCs w:val="20"/>
                <w:color w:val="auto"/>
              </w:rPr>
            </w:pPr>
            <w:r>
              <w:rPr>
                <w:rFonts w:ascii="Times New Roman" w:cs="Times New Roman" w:eastAsia="Times New Roman" w:hAnsi="Times New Roman"/>
                <w:sz w:val="18"/>
                <w:szCs w:val="18"/>
                <w:color w:val="auto"/>
              </w:rPr>
              <w:t>11-3-24 to 11-30-24</w:t>
            </w:r>
            <w:r>
              <w:rPr>
                <w:rFonts w:ascii="Times New Roman" w:cs="Times New Roman" w:eastAsia="Times New Roman" w:hAnsi="Times New Roman"/>
                <w:sz w:val="24"/>
                <w:szCs w:val="24"/>
                <w:color w:val="auto"/>
                <w:vertAlign w:val="superscript"/>
              </w:rPr>
              <w:t>(1)</w:t>
            </w:r>
          </w:p>
        </w:tc>
        <w:tc>
          <w:tcPr>
            <w:tcW w:w="16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110"/>
              <w:spacing w:after="0"/>
              <w:rPr>
                <w:sz w:val="20"/>
                <w:szCs w:val="20"/>
                <w:color w:val="auto"/>
              </w:rPr>
            </w:pPr>
            <w:r>
              <w:rPr>
                <w:rFonts w:ascii="Times New Roman" w:cs="Times New Roman" w:eastAsia="Times New Roman" w:hAnsi="Times New Roman"/>
                <w:sz w:val="18"/>
                <w:szCs w:val="18"/>
                <w:color w:val="auto"/>
              </w:rPr>
              <w:t>$</w:t>
            </w:r>
          </w:p>
        </w:tc>
        <w:tc>
          <w:tcPr>
            <w:tcW w:w="2260" w:type="dxa"/>
            <w:vAlign w:val="bottom"/>
            <w:gridSpan w:val="3"/>
          </w:tcPr>
          <w:p>
            <w:pPr>
              <w:jc w:val="right"/>
              <w:ind w:right="177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9"/>
              </w:rPr>
              <w:t>—</w:t>
            </w:r>
          </w:p>
        </w:tc>
        <w:tc>
          <w:tcPr>
            <w:tcW w:w="4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42,321</w:t>
            </w:r>
          </w:p>
        </w:tc>
        <w:tc>
          <w:tcPr>
            <w:tcW w:w="100" w:type="dxa"/>
            <w:vAlign w:val="bottom"/>
          </w:tcPr>
          <w:p>
            <w:pPr>
              <w:spacing w:after="0"/>
              <w:rPr>
                <w:sz w:val="18"/>
                <w:szCs w:val="18"/>
                <w:color w:val="auto"/>
              </w:rPr>
            </w:pPr>
          </w:p>
        </w:tc>
      </w:tr>
      <w:tr>
        <w:trPr>
          <w:trHeight w:val="216"/>
        </w:trPr>
        <w:tc>
          <w:tcPr>
            <w:tcW w:w="2500" w:type="dxa"/>
            <w:vAlign w:val="bottom"/>
            <w:shd w:val="clear" w:color="auto" w:fill="CFF0FC"/>
          </w:tcPr>
          <w:p>
            <w:pPr>
              <w:spacing w:after="0"/>
              <w:rPr>
                <w:sz w:val="18"/>
                <w:szCs w:val="18"/>
                <w:color w:val="auto"/>
              </w:rPr>
            </w:pPr>
          </w:p>
        </w:tc>
        <w:tc>
          <w:tcPr>
            <w:tcW w:w="166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7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December 2024</w:t>
            </w:r>
          </w:p>
        </w:tc>
        <w:tc>
          <w:tcPr>
            <w:tcW w:w="1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500" w:type="dxa"/>
            <w:vAlign w:val="bottom"/>
            <w:shd w:val="clear" w:color="auto" w:fill="CFF0FC"/>
          </w:tcPr>
          <w:p>
            <w:pPr>
              <w:ind w:left="20"/>
              <w:spacing w:after="0" w:line="216" w:lineRule="exact"/>
              <w:rPr>
                <w:sz w:val="20"/>
                <w:szCs w:val="20"/>
                <w:color w:val="auto"/>
              </w:rPr>
            </w:pPr>
            <w:r>
              <w:rPr>
                <w:rFonts w:ascii="Times New Roman" w:cs="Times New Roman" w:eastAsia="Times New Roman" w:hAnsi="Times New Roman"/>
                <w:sz w:val="18"/>
                <w:szCs w:val="18"/>
                <w:color w:val="auto"/>
              </w:rPr>
              <w:t>12-1-24 to 12-28-24</w:t>
            </w:r>
            <w:r>
              <w:rPr>
                <w:rFonts w:ascii="Times New Roman" w:cs="Times New Roman" w:eastAsia="Times New Roman" w:hAnsi="Times New Roman"/>
                <w:sz w:val="24"/>
                <w:szCs w:val="24"/>
                <w:color w:val="auto"/>
                <w:vertAlign w:val="superscript"/>
              </w:rPr>
              <w:t>(1)</w:t>
            </w:r>
          </w:p>
        </w:tc>
        <w:tc>
          <w:tcPr>
            <w:tcW w:w="166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FF0FC"/>
          </w:tcPr>
          <w:p>
            <w:pPr>
              <w:jc w:val="right"/>
              <w:ind w:right="1110"/>
              <w:spacing w:after="0"/>
              <w:rPr>
                <w:sz w:val="20"/>
                <w:szCs w:val="20"/>
                <w:color w:val="auto"/>
              </w:rPr>
            </w:pPr>
            <w:r>
              <w:rPr>
                <w:rFonts w:ascii="Times New Roman" w:cs="Times New Roman" w:eastAsia="Times New Roman" w:hAnsi="Times New Roman"/>
                <w:sz w:val="18"/>
                <w:szCs w:val="18"/>
                <w:color w:val="auto"/>
              </w:rPr>
              <w:t>$</w:t>
            </w:r>
          </w:p>
        </w:tc>
        <w:tc>
          <w:tcPr>
            <w:tcW w:w="2260" w:type="dxa"/>
            <w:vAlign w:val="bottom"/>
            <w:gridSpan w:val="3"/>
            <w:shd w:val="clear" w:color="auto" w:fill="CFF0FC"/>
          </w:tcPr>
          <w:p>
            <w:pPr>
              <w:jc w:val="right"/>
              <w:ind w:right="177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w w:val="99"/>
              </w:rPr>
              <w:t>—</w:t>
            </w:r>
          </w:p>
        </w:tc>
        <w:tc>
          <w:tcPr>
            <w:tcW w:w="42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42,321</w:t>
            </w:r>
          </w:p>
        </w:tc>
        <w:tc>
          <w:tcPr>
            <w:tcW w:w="100" w:type="dxa"/>
            <w:vAlign w:val="bottom"/>
            <w:shd w:val="clear" w:color="auto" w:fill="CFF0FC"/>
          </w:tcPr>
          <w:p>
            <w:pPr>
              <w:spacing w:after="0"/>
              <w:rPr>
                <w:sz w:val="18"/>
                <w:szCs w:val="18"/>
                <w:color w:val="auto"/>
              </w:rPr>
            </w:pPr>
          </w:p>
        </w:tc>
      </w:tr>
      <w:tr>
        <w:trPr>
          <w:trHeight w:val="216"/>
        </w:trPr>
        <w:tc>
          <w:tcPr>
            <w:tcW w:w="2500" w:type="dxa"/>
            <w:vAlign w:val="bottom"/>
          </w:tcPr>
          <w:p>
            <w:pPr>
              <w:ind w:left="20"/>
              <w:spacing w:after="0" w:line="216" w:lineRule="exact"/>
              <w:rPr>
                <w:sz w:val="20"/>
                <w:szCs w:val="20"/>
                <w:color w:val="auto"/>
              </w:rPr>
            </w:pPr>
            <w:r>
              <w:rPr>
                <w:rFonts w:ascii="Times New Roman" w:cs="Times New Roman" w:eastAsia="Times New Roman" w:hAnsi="Times New Roman"/>
                <w:sz w:val="18"/>
                <w:szCs w:val="18"/>
                <w:color w:val="auto"/>
              </w:rPr>
              <w:t>12-1-24 to 12-28-24</w:t>
            </w:r>
            <w:r>
              <w:rPr>
                <w:rFonts w:ascii="Times New Roman" w:cs="Times New Roman" w:eastAsia="Times New Roman" w:hAnsi="Times New Roman"/>
                <w:sz w:val="24"/>
                <w:szCs w:val="24"/>
                <w:color w:val="auto"/>
                <w:vertAlign w:val="superscript"/>
              </w:rPr>
              <w:t>(2)</w:t>
            </w:r>
          </w:p>
        </w:tc>
        <w:tc>
          <w:tcPr>
            <w:tcW w:w="16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8,803</w:t>
            </w:r>
          </w:p>
        </w:tc>
        <w:tc>
          <w:tcPr>
            <w:tcW w:w="1420" w:type="dxa"/>
            <w:vAlign w:val="bottom"/>
            <w:gridSpan w:val="2"/>
          </w:tcPr>
          <w:p>
            <w:pPr>
              <w:jc w:val="right"/>
              <w:ind w:right="111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43.16</w:t>
            </w:r>
          </w:p>
        </w:tc>
        <w:tc>
          <w:tcPr>
            <w:tcW w:w="1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44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500" w:type="dxa"/>
            <w:vAlign w:val="bottom"/>
            <w:shd w:val="clear" w:color="auto" w:fill="CFF0FC"/>
          </w:tcPr>
          <w:p>
            <w:pPr>
              <w:spacing w:after="0"/>
              <w:rPr>
                <w:sz w:val="18"/>
                <w:szCs w:val="18"/>
                <w:color w:val="auto"/>
              </w:rPr>
            </w:pPr>
          </w:p>
        </w:tc>
        <w:tc>
          <w:tcPr>
            <w:tcW w:w="166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7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January 2025</w:t>
            </w:r>
          </w:p>
        </w:tc>
        <w:tc>
          <w:tcPr>
            <w:tcW w:w="1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500" w:type="dxa"/>
            <w:vAlign w:val="bottom"/>
            <w:shd w:val="clear" w:color="auto" w:fill="CFF0FC"/>
          </w:tcPr>
          <w:p>
            <w:pPr>
              <w:ind w:left="20"/>
              <w:spacing w:after="0" w:line="216" w:lineRule="exact"/>
              <w:rPr>
                <w:sz w:val="20"/>
                <w:szCs w:val="20"/>
                <w:color w:val="auto"/>
              </w:rPr>
            </w:pPr>
            <w:r>
              <w:rPr>
                <w:rFonts w:ascii="Times New Roman" w:cs="Times New Roman" w:eastAsia="Times New Roman" w:hAnsi="Times New Roman"/>
                <w:sz w:val="18"/>
                <w:szCs w:val="18"/>
                <w:color w:val="auto"/>
              </w:rPr>
              <w:t>12-29-24 to 2-1-25</w:t>
            </w:r>
            <w:r>
              <w:rPr>
                <w:rFonts w:ascii="Times New Roman" w:cs="Times New Roman" w:eastAsia="Times New Roman" w:hAnsi="Times New Roman"/>
                <w:sz w:val="24"/>
                <w:szCs w:val="24"/>
                <w:color w:val="auto"/>
                <w:vertAlign w:val="superscript"/>
              </w:rPr>
              <w:t>(1)</w:t>
            </w:r>
          </w:p>
        </w:tc>
        <w:tc>
          <w:tcPr>
            <w:tcW w:w="166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FF0FC"/>
          </w:tcPr>
          <w:p>
            <w:pPr>
              <w:jc w:val="right"/>
              <w:ind w:right="1110"/>
              <w:spacing w:after="0"/>
              <w:rPr>
                <w:sz w:val="20"/>
                <w:szCs w:val="20"/>
                <w:color w:val="auto"/>
              </w:rPr>
            </w:pPr>
            <w:r>
              <w:rPr>
                <w:rFonts w:ascii="Times New Roman" w:cs="Times New Roman" w:eastAsia="Times New Roman" w:hAnsi="Times New Roman"/>
                <w:sz w:val="18"/>
                <w:szCs w:val="18"/>
                <w:color w:val="auto"/>
              </w:rPr>
              <w:t>$</w:t>
            </w:r>
          </w:p>
        </w:tc>
        <w:tc>
          <w:tcPr>
            <w:tcW w:w="2260" w:type="dxa"/>
            <w:vAlign w:val="bottom"/>
            <w:gridSpan w:val="3"/>
            <w:shd w:val="clear" w:color="auto" w:fill="CFF0FC"/>
          </w:tcPr>
          <w:p>
            <w:pPr>
              <w:jc w:val="right"/>
              <w:ind w:right="177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w w:val="99"/>
              </w:rPr>
              <w:t>—</w:t>
            </w:r>
          </w:p>
        </w:tc>
        <w:tc>
          <w:tcPr>
            <w:tcW w:w="42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42,321</w:t>
            </w:r>
          </w:p>
        </w:tc>
        <w:tc>
          <w:tcPr>
            <w:tcW w:w="100" w:type="dxa"/>
            <w:vAlign w:val="bottom"/>
            <w:shd w:val="clear" w:color="auto" w:fill="CFF0FC"/>
          </w:tcPr>
          <w:p>
            <w:pPr>
              <w:spacing w:after="0"/>
              <w:rPr>
                <w:sz w:val="18"/>
                <w:szCs w:val="18"/>
                <w:color w:val="auto"/>
              </w:rPr>
            </w:pPr>
          </w:p>
        </w:tc>
      </w:tr>
      <w:tr>
        <w:trPr>
          <w:trHeight w:val="216"/>
        </w:trPr>
        <w:tc>
          <w:tcPr>
            <w:tcW w:w="2500" w:type="dxa"/>
            <w:vAlign w:val="bottom"/>
          </w:tcPr>
          <w:p>
            <w:pPr>
              <w:ind w:left="20"/>
              <w:spacing w:after="0" w:line="216" w:lineRule="exact"/>
              <w:rPr>
                <w:sz w:val="20"/>
                <w:szCs w:val="20"/>
                <w:color w:val="auto"/>
              </w:rPr>
            </w:pPr>
            <w:r>
              <w:rPr>
                <w:rFonts w:ascii="Times New Roman" w:cs="Times New Roman" w:eastAsia="Times New Roman" w:hAnsi="Times New Roman"/>
                <w:sz w:val="18"/>
                <w:szCs w:val="18"/>
                <w:color w:val="auto"/>
              </w:rPr>
              <w:t>12-29-24 to 2-1-25</w:t>
            </w:r>
            <w:r>
              <w:rPr>
                <w:rFonts w:ascii="Times New Roman" w:cs="Times New Roman" w:eastAsia="Times New Roman" w:hAnsi="Times New Roman"/>
                <w:sz w:val="24"/>
                <w:szCs w:val="24"/>
                <w:color w:val="auto"/>
                <w:vertAlign w:val="superscript"/>
              </w:rPr>
              <w:t>(2)</w:t>
            </w:r>
          </w:p>
        </w:tc>
        <w:tc>
          <w:tcPr>
            <w:tcW w:w="16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2,853</w:t>
            </w:r>
          </w:p>
        </w:tc>
        <w:tc>
          <w:tcPr>
            <w:tcW w:w="1420" w:type="dxa"/>
            <w:vAlign w:val="bottom"/>
            <w:gridSpan w:val="2"/>
          </w:tcPr>
          <w:p>
            <w:pPr>
              <w:jc w:val="right"/>
              <w:ind w:right="111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41.30</w:t>
            </w:r>
          </w:p>
        </w:tc>
        <w:tc>
          <w:tcPr>
            <w:tcW w:w="1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44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2500" w:type="dxa"/>
            <w:vAlign w:val="bottom"/>
            <w:tcBorders>
              <w:top w:val="single" w:sz="8" w:color="auto"/>
            </w:tcBorders>
            <w:shd w:val="clear" w:color="auto" w:fill="CFF0FC"/>
          </w:tcPr>
          <w:p>
            <w:pPr>
              <w:spacing w:after="0"/>
              <w:rPr>
                <w:sz w:val="18"/>
                <w:szCs w:val="18"/>
                <w:color w:val="auto"/>
              </w:rPr>
            </w:pPr>
          </w:p>
        </w:tc>
        <w:tc>
          <w:tcPr>
            <w:tcW w:w="1660" w:type="dxa"/>
            <w:vAlign w:val="bottom"/>
            <w:tcBorders>
              <w:top w:val="single" w:sz="8" w:color="auto"/>
            </w:tcBorders>
            <w:shd w:val="clear" w:color="auto" w:fill="CFF0FC"/>
          </w:tcPr>
          <w:p>
            <w:pPr>
              <w:spacing w:after="0"/>
              <w:rPr>
                <w:sz w:val="18"/>
                <w:szCs w:val="18"/>
                <w:color w:val="auto"/>
              </w:rPr>
            </w:pPr>
          </w:p>
        </w:tc>
        <w:tc>
          <w:tcPr>
            <w:tcW w:w="5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20" w:type="dxa"/>
            <w:vAlign w:val="bottom"/>
            <w:tcBorders>
              <w:top w:val="single" w:sz="8" w:color="auto"/>
            </w:tcBorders>
            <w:shd w:val="clear" w:color="auto" w:fill="CFF0FC"/>
          </w:tcPr>
          <w:p>
            <w:pPr>
              <w:spacing w:after="0"/>
              <w:rPr>
                <w:sz w:val="18"/>
                <w:szCs w:val="18"/>
                <w:color w:val="auto"/>
              </w:rPr>
            </w:pPr>
          </w:p>
        </w:tc>
        <w:tc>
          <w:tcPr>
            <w:tcW w:w="4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740" w:type="dxa"/>
            <w:vAlign w:val="bottom"/>
            <w:tcBorders>
              <w:top w:val="single" w:sz="8" w:color="auto"/>
            </w:tcBorders>
            <w:shd w:val="clear" w:color="auto" w:fill="CFF0FC"/>
          </w:tcPr>
          <w:p>
            <w:pPr>
              <w:spacing w:after="0"/>
              <w:rPr>
                <w:sz w:val="18"/>
                <w:szCs w:val="18"/>
                <w:color w:val="auto"/>
              </w:rPr>
            </w:pPr>
          </w:p>
        </w:tc>
        <w:tc>
          <w:tcPr>
            <w:tcW w:w="4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19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2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11,656</w:t>
            </w:r>
          </w:p>
        </w:tc>
        <w:tc>
          <w:tcPr>
            <w:tcW w:w="100" w:type="dxa"/>
            <w:vAlign w:val="bottom"/>
          </w:tcPr>
          <w:p>
            <w:pPr>
              <w:spacing w:after="0"/>
              <w:rPr>
                <w:sz w:val="18"/>
                <w:szCs w:val="18"/>
                <w:color w:val="auto"/>
              </w:rPr>
            </w:pPr>
          </w:p>
        </w:tc>
        <w:tc>
          <w:tcPr>
            <w:tcW w:w="1320" w:type="dxa"/>
            <w:vAlign w:val="bottom"/>
            <w:tcBorders>
              <w:bottom w:val="single" w:sz="8" w:color="auto"/>
            </w:tcBorders>
          </w:tcPr>
          <w:p>
            <w:pPr>
              <w:jc w:val="right"/>
              <w:ind w:right="111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42.71</w:t>
            </w:r>
          </w:p>
        </w:tc>
        <w:tc>
          <w:tcPr>
            <w:tcW w:w="100" w:type="dxa"/>
            <w:vAlign w:val="bottom"/>
          </w:tcPr>
          <w:p>
            <w:pPr>
              <w:spacing w:after="0"/>
              <w:rPr>
                <w:sz w:val="18"/>
                <w:szCs w:val="18"/>
                <w:color w:val="auto"/>
              </w:rPr>
            </w:pPr>
          </w:p>
        </w:tc>
        <w:tc>
          <w:tcPr>
            <w:tcW w:w="17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42,321</w:t>
            </w:r>
          </w:p>
        </w:tc>
        <w:tc>
          <w:tcPr>
            <w:tcW w:w="100" w:type="dxa"/>
            <w:vAlign w:val="bottom"/>
          </w:tcPr>
          <w:p>
            <w:pPr>
              <w:spacing w:after="0"/>
              <w:rPr>
                <w:sz w:val="18"/>
                <w:szCs w:val="18"/>
                <w:color w:val="auto"/>
              </w:rPr>
            </w:pPr>
          </w:p>
        </w:tc>
      </w:tr>
    </w:tbl>
    <w:p>
      <w:pPr>
        <w:spacing w:after="0" w:line="229" w:lineRule="exact"/>
        <w:rPr>
          <w:sz w:val="20"/>
          <w:szCs w:val="20"/>
          <w:color w:val="auto"/>
        </w:rPr>
      </w:pPr>
    </w:p>
    <w:p>
      <w:pPr>
        <w:ind w:left="20" w:right="180" w:firstLine="1"/>
        <w:spacing w:after="0" w:line="251" w:lineRule="auto"/>
        <w:tabs>
          <w:tab w:leader="none" w:pos="187" w:val="left"/>
        </w:tabs>
        <w:numPr>
          <w:ilvl w:val="0"/>
          <w:numId w:val="1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5"/>
          <w:szCs w:val="15"/>
          <w:color w:val="auto"/>
        </w:rPr>
        <w:t>In February 2022, a $100.0 million share repurchase program was approved by the Board of Directors and announced in February 2022, and in June 2023, the Board of Directors approved an additional $50.0 million for share repurchases. We expect to implement the balance of the repurchase program through purchases made from time to time either in the open market or through private transactions, in accordance with the regulations of the SEC and other applicable legal requirements.</w:t>
      </w:r>
    </w:p>
    <w:p>
      <w:pPr>
        <w:spacing w:after="0" w:line="1" w:lineRule="exact"/>
        <w:rPr>
          <w:rFonts w:ascii="Times New Roman" w:cs="Times New Roman" w:eastAsia="Times New Roman" w:hAnsi="Times New Roman"/>
          <w:sz w:val="21"/>
          <w:szCs w:val="21"/>
          <w:color w:val="auto"/>
          <w:vertAlign w:val="superscript"/>
        </w:rPr>
      </w:pPr>
    </w:p>
    <w:p>
      <w:pPr>
        <w:ind w:left="180" w:hanging="159"/>
        <w:spacing w:after="0" w:line="211" w:lineRule="auto"/>
        <w:tabs>
          <w:tab w:leader="none" w:pos="180" w:val="left"/>
        </w:tabs>
        <w:numPr>
          <w:ilvl w:val="0"/>
          <w:numId w:val="13"/>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These shares represent shares withheld from vested restricted stock to satisfy the minimum withholding requirements for federal and state taxes.</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0" w:name="page31"/>
    <w:bookmarkEnd w:id="30"/>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189"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Refer to Part III, Item 12, "Security Ownership of Certain Beneficial Owners and Management and Related Stockholder Matters" included elsewhere in this report.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6. RESERVED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7. MANAGEMENT’S DISCUSSION AND ANALYSIS OF FINANCIAL CONDITION AND RESULTS OF OPERATIONS</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Management’s Discussion and Analysis of Financial Condition and Results of Operations should be read in conjunction with our Consolidated Financial Statements and related Notes and other financial information appearing elsewhere in this Annual Report on Form 10-K, and with Part II, Item 7 (“Management’s Discussion and Analysis of Financial Condition and Results of Operations”) of our Annual Report on Form 10-K for the fiscal year ended February 3, 2024, filed with the SEC on March 27, 2024, which provides a discussion of our financial condition and results of operations for Fiscal 2024 compared to our Fiscal 2023.</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Summary of Results of Operations</w:t>
      </w:r>
    </w:p>
    <w:p>
      <w:pPr>
        <w:spacing w:after="0" w:line="119" w:lineRule="exact"/>
        <w:rPr>
          <w:sz w:val="20"/>
          <w:szCs w:val="20"/>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sales were flat in Fiscal 2025 compared to Fiscal 2024.</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Fiscal 2024 included a 53rd week. Excluding the 53rd week, net sales increased 1.1% for Fiscal 2025.</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Journeys Group sales increased 3%, partially offset by a sales decrease of 6% at Johnston &amp; Murphy Group and a sales decrease of 11% at Genesco Brands Group, while Schuh Group sales were flat.</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comparable sales increased 3% for Fiscal 2025, including flat same store sales and a 12% increase in comparable e-commerce sales.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margin decreased 10 basis points as a percentage of net sales from 47.3% in Fiscal 2024 to 47.2% in Fiscal 2025.</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Selling and administrative expenses decreased 10 basis points as a percentage of net sales from 46.5% in Fiscal 2024 to 46.4% in Fiscal 2025.</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margin increased 120 basis points as a percentage of net sales from (0.6%) in Fiscal 2024 to 0.6% in Fiscal 2025.</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 income tax rate increased from (8.5%) in Fiscal 2024 to 309.6% in Fiscal 2025 as a result of a $26.2 million valuation allowance in Fiscal 2025.</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Diluted loss per share from continuing operations was $1.80 per share in Fiscal 2025 compared to $2.10 per share in Fiscal 2024.</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Performance Indicators</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assessing the performance of our business, we consider a variety of performance and financial measures. The key performance indicators we use to evaluate the financial condition and operating performance of our business are comparable sales, net sales, gross margin, operating income and operating margin. </w:t>
      </w:r>
      <w:r>
        <w:rPr>
          <w:rFonts w:ascii="Times New Roman" w:cs="Times New Roman" w:eastAsia="Times New Roman" w:hAnsi="Times New Roman"/>
          <w:sz w:val="18"/>
          <w:szCs w:val="18"/>
          <w:color w:val="2E2E2E"/>
        </w:rPr>
        <w:t>These key performance indicators should not be considered superior to, as a substitute for or as an alternative to, and should be considered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E2E2E"/>
        </w:rPr>
        <w:t>conjunction with, the U.S. GAAP financial measures presented herein. These measures may not be comparable to similarly-titled performance indicators used by other companies.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Comparable Sales</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consider comparable sales to be an important indicator of our current performance, and investors may find it useful as such. Comparable sales results are important to achieve leveraging of our costs, including occupancy, selling salaries, depreciation,</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1" w:name="page32"/>
    <w:bookmarkEnd w:id="31"/>
    <w:p>
      <w:pPr>
        <w:spacing w:after="0" w:line="3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etc. Comparable sales also have a direct impact on our total net revenue, working capital and cash. We define "comparable sales" as sales from stores open longer than one year, beginning with the first day a store has comparable sales (which we refer to in this report as "same store sales"), and sales from websites operated longer than one year and direct mail catalog sales (which we refer to in this report as "comparable e-commerce sales"). Temporarily closed stores are excluded from the comparable sales calculation if closed for more than seven days. Expanded stores are excluded from the comparable sales calculation until the first day an expanded store has comparable prior year sales. Current year foreign exchange rates are applied to both current year and prior year comparable sales to achieve a consistent basis for comparison.</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Operations—Fiscal 2025 Compared to Fiscal 2024</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net sales for Fiscal 2025 (52 weeks) were flat at $2.3 billion compared to Fiscal 2024 (53 weeks). The flat net sales for Fiscal 2025 reflected an increase in comparable e-commerce sales offset by 63 net store closings, the negative impact of the extra week in Fiscal 2024 due the 53-week calendar shift and decreased wholesale sales. Excluding the 53rd week in Fiscal 2024, net sales increased 1.1% for Fiscal 2025. Inflationary pressures and economic uncertainty continue to impact the discretionary spending behavior of our consumers. Consumers continue to show a willingness to shop when there is a reason and retreat when there is not. Consumers remain selective in their purchases and we continue to innovate and add freshness to our assortments to satisfy our customers. Journeys Group sales increased 3% offset by a sales decrease of 6% at Johnston &amp; Murphy Group and a sales decrease of 11% at Genesco Brands Group, while Schuh Group sales were flat for Fiscal 2025 compared to Fiscal 2024. Schuh's sales decreased 2% on a local currency basis for Fiscal 2025. Total comparable sales increased 3% for Fiscal 2025, with same store sales flat and comparable e-commerce sales up 12%.</w:t>
      </w:r>
    </w:p>
    <w:p>
      <w:pPr>
        <w:spacing w:after="0" w:line="16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Gross margin decreased 0.2% to $1.097 billion in Fiscal 2025 from $1.099 billion in Fiscal 2024 and decreased as a percentage of net sales from 47.3% in Fiscal 2024 to 47.2% in Fiscal 2025, reflecting decreased gross margin as a percentage of net sales in Journeys Group and Schuh Group, partially offset by an increase in gross margin as a percentage of net sales in Johnston &amp; Murphy Group and Genesco Brands Group. The overall decrease in gross margin as a percentage of net sales reflects increased promotional activity at Schuh Group, partially offset by better initial margins and lower wholesale reserves at Johnston &amp; Murphy Group and a favorable change in product mix at Genesco Brands Group.</w:t>
      </w:r>
    </w:p>
    <w:p>
      <w:pPr>
        <w:spacing w:after="0" w:line="14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Selling and administrative expenses in Fiscal 2025 decreased to $1.080 billion compared to $1.082 billion in Fiscal 2024. Selling and administrative expenses decreased 10 basis points as a percentage of net sales in Fiscal 2025 compared to Fiscal 2024 from 46.5% to 46.4%, reflecting decreased expenses as a percentage of net sales at Journeys Group and Genesco Brands Group, partially offset by increased expenses as a percentage of net sales at Schuh Group and Johnston &amp; Murphy Group. The overall decrease in expenses as a percentage of net sales in Fiscal 2025 reflects a decrease in occupancy costs, partially offset by increased marketing expenses. Explanations of the changes in results of operations are provided by business segment in discussions following these introductory paragraphs.</w:t>
      </w:r>
    </w:p>
    <w:p>
      <w:pPr>
        <w:spacing w:after="0" w:line="14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Operating margin was 0.6% in Fiscal 2025 compared to an operating margin loss of (0.6)% in Fiscal 2024 reflecting improved operating margin at Journeys Group and Genesco Brands Group, partially offset by decreased operating margin at Schuh Group and Johnston &amp; Murphy Group. The improvement in operating margin in Fiscal 2025 primarily reflects a non-cash goodwill impairment charge of $28.5 million in Fiscal 2024 and decreased selling and administrative expenses as a percentage of net sales, partially offset by decreased gross margin as a percentage of net sales in Fiscal 2025 compared to Fiscal 2024.</w:t>
      </w:r>
    </w:p>
    <w:p>
      <w:pPr>
        <w:spacing w:after="0" w:line="1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Earnings from continuing operations before income taxes (“pretax earnings") for Fiscal 2025 was $9.3 million, compared to a loss from continuing operations before income taxes ("pretax loss") of $21.8 million for Fiscal 2024. Pretax earnings for Fiscal 2025 included asset impairment and other charges of $3.2 million which included $1.8 million for severance and $1.4 million for asset impairments. The pretax loss for Fiscal 2024 included a non-cash goodwill impairment charge of $28.5 million and asset impairment and other charges of $1.8 million which included $1.1 million for severance and $1.0 million for asset impairments, partially offset by a $0.3 million insurance gain.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2" w:name="page33"/>
    <w:bookmarkEnd w:id="32"/>
    <w:p>
      <w:pPr>
        <w:spacing w:after="0" w:line="3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effective income tax rate was 309.6% for Fiscal 2025 compared to (8.5%) for Fiscal 2024. The higher effective tax rate for Fiscal 2025 compared to Fiscal 2024 reflects a $26.2 million U.S. valuation allowance recorded in Fiscal 2025, reflecting the uncertainty regarding our ability to realize the benefit of our general tax attributes in the U.S. See Item 8, Note 11, "Income Taxes", to our Consolidated Financial Statements included in this Annual Report on Form 10-K for additional information.</w:t>
      </w:r>
    </w:p>
    <w:p>
      <w:pPr>
        <w:spacing w:after="0" w:line="1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net loss for Fiscal 2025 was $18.9 million, or $1.74 diluted loss per share compared to a net loss of $16.8 million, or $1.50 diluted loss per share for Fiscal 2024. The net loss for Fiscal 2025 and Fiscal 2024 includes a $1.2 million ($0.9 million, net of tax) and $9.4 million ($7.2 million, net of tax), respectively, gain from insurance proceeds related to legacy environmental matters.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4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Journeys Group</w:t>
            </w: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432"/>
        </w:trPr>
        <w:tc>
          <w:tcPr>
            <w:tcW w:w="644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Fiscal Year Ended</w:t>
            </w:r>
          </w:p>
        </w:tc>
        <w:tc>
          <w:tcPr>
            <w:tcW w:w="940" w:type="dxa"/>
            <w:vAlign w:val="bottom"/>
            <w:tcBorders>
              <w:bottom w:val="single" w:sz="8" w:color="auto"/>
            </w:tcBorders>
          </w:tcPr>
          <w:p>
            <w:pPr>
              <w:spacing w:after="0"/>
              <w:rPr>
                <w:sz w:val="24"/>
                <w:szCs w:val="24"/>
                <w:color w:val="auto"/>
              </w:rPr>
            </w:pPr>
          </w:p>
        </w:tc>
        <w:tc>
          <w:tcPr>
            <w:tcW w:w="16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64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6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spacing w:after="0"/>
              <w:rPr>
                <w:sz w:val="18"/>
                <w:szCs w:val="18"/>
                <w:color w:val="auto"/>
              </w:rPr>
            </w:pPr>
          </w:p>
        </w:tc>
        <w:tc>
          <w:tcPr>
            <w:tcW w:w="15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Change</w:t>
            </w:r>
          </w:p>
        </w:tc>
      </w:tr>
      <w:tr>
        <w:trPr>
          <w:trHeight w:val="209"/>
        </w:trPr>
        <w:tc>
          <w:tcPr>
            <w:tcW w:w="6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20" w:type="dxa"/>
            <w:vAlign w:val="bottom"/>
            <w:gridSpan w:val="3"/>
          </w:tcPr>
          <w:p>
            <w:pPr>
              <w:jc w:val="right"/>
              <w:ind w:right="810"/>
              <w:spacing w:after="0"/>
              <w:rPr>
                <w:sz w:val="20"/>
                <w:szCs w:val="20"/>
                <w:color w:val="auto"/>
              </w:rPr>
            </w:pPr>
            <w:r>
              <w:rPr>
                <w:rFonts w:ascii="Times New Roman" w:cs="Times New Roman" w:eastAsia="Times New Roman" w:hAnsi="Times New Roman"/>
                <w:sz w:val="18"/>
                <w:szCs w:val="18"/>
                <w:color w:val="auto"/>
              </w:rPr>
              <w:t>(dollars in thousands)</w:t>
            </w: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16"/>
        </w:trPr>
        <w:tc>
          <w:tcPr>
            <w:tcW w:w="6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4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1,398,922</w:t>
            </w:r>
          </w:p>
        </w:tc>
        <w:tc>
          <w:tcPr>
            <w:tcW w:w="640" w:type="dxa"/>
            <w:vAlign w:val="bottom"/>
            <w:shd w:val="clear" w:color="auto" w:fill="CFF0FC"/>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99"/>
              </w:rPr>
              <w:t>1,363,835</w:t>
            </w:r>
          </w:p>
        </w:tc>
        <w:tc>
          <w:tcPr>
            <w:tcW w:w="1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2.6 %</w:t>
            </w:r>
          </w:p>
        </w:tc>
      </w:tr>
      <w:tr>
        <w:trPr>
          <w:trHeight w:val="216"/>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3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715,723</w:t>
            </w:r>
          </w:p>
        </w:tc>
        <w:tc>
          <w:tcPr>
            <w:tcW w:w="6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696,351</w:t>
            </w:r>
          </w:p>
        </w:tc>
        <w:tc>
          <w:tcPr>
            <w:tcW w:w="100" w:type="dxa"/>
            <w:vAlign w:val="bottom"/>
          </w:tcPr>
          <w:p>
            <w:pPr>
              <w:spacing w:after="0"/>
              <w:rPr>
                <w:sz w:val="18"/>
                <w:szCs w:val="18"/>
                <w:color w:val="auto"/>
              </w:rPr>
            </w:pPr>
          </w:p>
        </w:tc>
        <w:tc>
          <w:tcPr>
            <w:tcW w:w="1540" w:type="dxa"/>
            <w:vAlign w:val="bottom"/>
            <w:tcBorders>
              <w:bottom w:val="single" w:sz="8" w:color="auto"/>
            </w:tcBorders>
          </w:tcPr>
          <w:p>
            <w:pPr>
              <w:spacing w:after="0"/>
              <w:rPr>
                <w:sz w:val="18"/>
                <w:szCs w:val="18"/>
                <w:color w:val="auto"/>
              </w:rPr>
            </w:pPr>
          </w:p>
        </w:tc>
      </w:tr>
      <w:tr>
        <w:trPr>
          <w:trHeight w:val="210"/>
        </w:trPr>
        <w:tc>
          <w:tcPr>
            <w:tcW w:w="6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340" w:type="dxa"/>
            <w:vAlign w:val="bottom"/>
            <w:shd w:val="clear" w:color="auto" w:fill="CFF0FC"/>
          </w:tcPr>
          <w:p>
            <w:pPr>
              <w:spacing w:after="0"/>
              <w:rPr>
                <w:sz w:val="18"/>
                <w:szCs w:val="18"/>
                <w:color w:val="auto"/>
              </w:rPr>
            </w:pPr>
          </w:p>
        </w:tc>
        <w:tc>
          <w:tcPr>
            <w:tcW w:w="124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683,199</w:t>
            </w:r>
          </w:p>
        </w:tc>
        <w:tc>
          <w:tcPr>
            <w:tcW w:w="64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667,484</w:t>
            </w:r>
          </w:p>
        </w:tc>
        <w:tc>
          <w:tcPr>
            <w:tcW w:w="1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2.4 %</w:t>
            </w:r>
          </w:p>
        </w:tc>
      </w:tr>
      <w:tr>
        <w:trPr>
          <w:trHeight w:val="216"/>
        </w:trPr>
        <w:tc>
          <w:tcPr>
            <w:tcW w:w="6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of sales</w:t>
            </w:r>
          </w:p>
        </w:tc>
        <w:tc>
          <w:tcPr>
            <w:tcW w:w="34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i w:val="1"/>
                <w:iCs w:val="1"/>
                <w:color w:val="auto"/>
              </w:rPr>
              <w:t>48.8 %</w:t>
            </w:r>
          </w:p>
        </w:tc>
        <w:tc>
          <w:tcPr>
            <w:tcW w:w="6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48.9 %</w:t>
            </w: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16"/>
        </w:trPr>
        <w:tc>
          <w:tcPr>
            <w:tcW w:w="6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Selling and administrative expenses</w:t>
            </w:r>
          </w:p>
        </w:tc>
        <w:tc>
          <w:tcPr>
            <w:tcW w:w="340" w:type="dxa"/>
            <w:vAlign w:val="bottom"/>
            <w:shd w:val="clear" w:color="auto" w:fill="CFF0FC"/>
          </w:tcPr>
          <w:p>
            <w:pPr>
              <w:spacing w:after="0"/>
              <w:rPr>
                <w:sz w:val="18"/>
                <w:szCs w:val="18"/>
                <w:color w:val="auto"/>
              </w:rPr>
            </w:pPr>
          </w:p>
        </w:tc>
        <w:tc>
          <w:tcPr>
            <w:tcW w:w="124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656,854</w:t>
            </w:r>
          </w:p>
        </w:tc>
        <w:tc>
          <w:tcPr>
            <w:tcW w:w="64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656,412</w:t>
            </w:r>
          </w:p>
        </w:tc>
        <w:tc>
          <w:tcPr>
            <w:tcW w:w="1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0.1 %</w:t>
            </w:r>
          </w:p>
        </w:tc>
      </w:tr>
      <w:tr>
        <w:trPr>
          <w:trHeight w:val="216"/>
        </w:trPr>
        <w:tc>
          <w:tcPr>
            <w:tcW w:w="6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of sales</w:t>
            </w:r>
          </w:p>
        </w:tc>
        <w:tc>
          <w:tcPr>
            <w:tcW w:w="3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i w:val="1"/>
                <w:iCs w:val="1"/>
                <w:color w:val="auto"/>
              </w:rPr>
              <w:t>47.0 %</w:t>
            </w:r>
          </w:p>
        </w:tc>
        <w:tc>
          <w:tcPr>
            <w:tcW w:w="6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48.1 %</w:t>
            </w:r>
          </w:p>
        </w:tc>
        <w:tc>
          <w:tcPr>
            <w:tcW w:w="100" w:type="dxa"/>
            <w:vAlign w:val="bottom"/>
          </w:tcPr>
          <w:p>
            <w:pPr>
              <w:spacing w:after="0"/>
              <w:rPr>
                <w:sz w:val="18"/>
                <w:szCs w:val="18"/>
                <w:color w:val="auto"/>
              </w:rPr>
            </w:pPr>
          </w:p>
        </w:tc>
        <w:tc>
          <w:tcPr>
            <w:tcW w:w="1540" w:type="dxa"/>
            <w:vAlign w:val="bottom"/>
            <w:tcBorders>
              <w:bottom w:val="single" w:sz="8" w:color="auto"/>
            </w:tcBorders>
          </w:tcPr>
          <w:p>
            <w:pPr>
              <w:spacing w:after="0"/>
              <w:rPr>
                <w:sz w:val="18"/>
                <w:szCs w:val="18"/>
                <w:color w:val="auto"/>
              </w:rPr>
            </w:pPr>
          </w:p>
        </w:tc>
      </w:tr>
      <w:tr>
        <w:trPr>
          <w:trHeight w:val="210"/>
        </w:trPr>
        <w:tc>
          <w:tcPr>
            <w:tcW w:w="6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4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26,345</w:t>
            </w:r>
          </w:p>
        </w:tc>
        <w:tc>
          <w:tcPr>
            <w:tcW w:w="640" w:type="dxa"/>
            <w:vAlign w:val="bottom"/>
            <w:shd w:val="clear" w:color="auto" w:fill="CFF0FC"/>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11,072</w:t>
            </w:r>
          </w:p>
        </w:tc>
        <w:tc>
          <w:tcPr>
            <w:tcW w:w="1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137.9 %</w:t>
            </w:r>
          </w:p>
        </w:tc>
      </w:tr>
      <w:tr>
        <w:trPr>
          <w:trHeight w:val="238"/>
        </w:trPr>
        <w:tc>
          <w:tcPr>
            <w:tcW w:w="6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Operating margin</w:t>
            </w:r>
          </w:p>
        </w:tc>
        <w:tc>
          <w:tcPr>
            <w:tcW w:w="340" w:type="dxa"/>
            <w:vAlign w:val="bottom"/>
          </w:tcPr>
          <w:p>
            <w:pPr>
              <w:spacing w:after="0"/>
              <w:rPr>
                <w:sz w:val="20"/>
                <w:szCs w:val="20"/>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i w:val="1"/>
                <w:iCs w:val="1"/>
                <w:color w:val="auto"/>
              </w:rPr>
              <w:t>1.9 %</w:t>
            </w:r>
          </w:p>
        </w:tc>
        <w:tc>
          <w:tcPr>
            <w:tcW w:w="6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0.8 %</w:t>
            </w: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r>
    </w:tbl>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Net sales from Journeys Group increased 2.6% to $1.40 billion for Fiscal 2025 compared to $1.36 billion for Fiscal 2024. The increase in net sales was primarily due to a total comparable sales increase of 6% driven by increased comparable e-commerce sales and increased same store sales, partially offset by a 5% decrease in the average number of Journeys stores for Fiscal 2025 due to 57 net store closures and a decrease in sales related to the 53-week calendar shift. We believe our Journeys consumer is more interested in a broader range of brands they are buying and more diversified in the styles they are wearing. We have injected the product assortment with more new relevant product offerings across several casual and athletic brands and increased investment in the Journeys brand to elevate the customer experience.</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store count for Journeys Group was 1,006 stores at the end of Fiscal 2025, including 211 Journeys Kidz stores, 35 Journeys stores in Canada and 30 Little Burgundy stores in Canada, compared to 1,063 stores at the end of Fiscal 2024, including 222 Journeys Kidz stores, 39 Journeys stores in Canada and 33 Little Burgundy stores in Canada.</w:t>
      </w:r>
    </w:p>
    <w:p>
      <w:pPr>
        <w:spacing w:after="0" w:line="1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110 basis point improvement in operating margin for Journeys Group in Fiscal 2025 compared to Fiscal 2024 was primarily due to decreased selling and administrative expenses as a percentage of net sales reflecting decreased occupancy, compensation and freight expenses, partially offset by increased performance-based compensation and marketing expenses. Gross margin decreased by 10 basis points as a percentage of net sales in Fiscal 2025, reflecting changes in product mix, partially offset by decreased markdowns.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3" w:name="page34"/>
    <w:bookmarkEnd w:id="33"/>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4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Schuh Group</w:t>
            </w:r>
          </w:p>
        </w:tc>
        <w:tc>
          <w:tcPr>
            <w:tcW w:w="3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432"/>
        </w:trPr>
        <w:tc>
          <w:tcPr>
            <w:tcW w:w="644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Fiscal Year Ended</w:t>
            </w:r>
          </w:p>
        </w:tc>
        <w:tc>
          <w:tcPr>
            <w:tcW w:w="840" w:type="dxa"/>
            <w:vAlign w:val="bottom"/>
            <w:tcBorders>
              <w:bottom w:val="single" w:sz="8" w:color="auto"/>
            </w:tcBorders>
          </w:tcPr>
          <w:p>
            <w:pPr>
              <w:spacing w:after="0"/>
              <w:rPr>
                <w:sz w:val="24"/>
                <w:szCs w:val="24"/>
                <w:color w:val="auto"/>
              </w:rPr>
            </w:pPr>
          </w:p>
        </w:tc>
        <w:tc>
          <w:tcPr>
            <w:tcW w:w="168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64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7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spacing w:after="0"/>
              <w:rPr>
                <w:sz w:val="18"/>
                <w:szCs w:val="18"/>
                <w:color w:val="auto"/>
              </w:rPr>
            </w:pPr>
          </w:p>
        </w:tc>
        <w:tc>
          <w:tcPr>
            <w:tcW w:w="15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Change</w:t>
            </w:r>
          </w:p>
        </w:tc>
      </w:tr>
      <w:tr>
        <w:trPr>
          <w:trHeight w:val="210"/>
        </w:trPr>
        <w:tc>
          <w:tcPr>
            <w:tcW w:w="6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(dollars in thousands)</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16"/>
        </w:trPr>
        <w:tc>
          <w:tcPr>
            <w:tcW w:w="6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479,891</w:t>
            </w:r>
          </w:p>
        </w:tc>
        <w:tc>
          <w:tcPr>
            <w:tcW w:w="740" w:type="dxa"/>
            <w:vAlign w:val="bottom"/>
            <w:shd w:val="clear" w:color="auto" w:fill="CFF0FC"/>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480,164</w:t>
            </w:r>
          </w:p>
        </w:tc>
        <w:tc>
          <w:tcPr>
            <w:tcW w:w="1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(0.1 )%</w:t>
            </w:r>
          </w:p>
        </w:tc>
      </w:tr>
      <w:tr>
        <w:trPr>
          <w:trHeight w:val="216"/>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3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280,395</w:t>
            </w:r>
          </w:p>
        </w:tc>
        <w:tc>
          <w:tcPr>
            <w:tcW w:w="7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273,588</w:t>
            </w:r>
          </w:p>
        </w:tc>
        <w:tc>
          <w:tcPr>
            <w:tcW w:w="100" w:type="dxa"/>
            <w:vAlign w:val="bottom"/>
          </w:tcPr>
          <w:p>
            <w:pPr>
              <w:spacing w:after="0"/>
              <w:rPr>
                <w:sz w:val="18"/>
                <w:szCs w:val="18"/>
                <w:color w:val="auto"/>
              </w:rPr>
            </w:pPr>
          </w:p>
        </w:tc>
        <w:tc>
          <w:tcPr>
            <w:tcW w:w="1580" w:type="dxa"/>
            <w:vAlign w:val="bottom"/>
            <w:tcBorders>
              <w:bottom w:val="single" w:sz="8" w:color="auto"/>
            </w:tcBorders>
          </w:tcPr>
          <w:p>
            <w:pPr>
              <w:spacing w:after="0"/>
              <w:rPr>
                <w:sz w:val="18"/>
                <w:szCs w:val="18"/>
                <w:color w:val="auto"/>
              </w:rPr>
            </w:pPr>
          </w:p>
        </w:tc>
      </w:tr>
      <w:tr>
        <w:trPr>
          <w:trHeight w:val="209"/>
        </w:trPr>
        <w:tc>
          <w:tcPr>
            <w:tcW w:w="6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38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199,496</w:t>
            </w:r>
          </w:p>
        </w:tc>
        <w:tc>
          <w:tcPr>
            <w:tcW w:w="740" w:type="dxa"/>
            <w:vAlign w:val="bottom"/>
            <w:shd w:val="clear" w:color="auto" w:fill="CFF0FC"/>
          </w:tcPr>
          <w:p>
            <w:pPr>
              <w:spacing w:after="0"/>
              <w:rPr>
                <w:sz w:val="18"/>
                <w:szCs w:val="18"/>
                <w:color w:val="auto"/>
              </w:rPr>
            </w:pPr>
          </w:p>
        </w:tc>
        <w:tc>
          <w:tcPr>
            <w:tcW w:w="84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206,576</w:t>
            </w:r>
          </w:p>
        </w:tc>
        <w:tc>
          <w:tcPr>
            <w:tcW w:w="1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(3.4 )%</w:t>
            </w:r>
          </w:p>
        </w:tc>
      </w:tr>
      <w:tr>
        <w:trPr>
          <w:trHeight w:val="216"/>
        </w:trPr>
        <w:tc>
          <w:tcPr>
            <w:tcW w:w="6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of sales</w:t>
            </w:r>
          </w:p>
        </w:tc>
        <w:tc>
          <w:tcPr>
            <w:tcW w:w="3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41.6 %</w:t>
            </w:r>
          </w:p>
        </w:tc>
        <w:tc>
          <w:tcPr>
            <w:tcW w:w="7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43.0 %</w:t>
            </w: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16"/>
        </w:trPr>
        <w:tc>
          <w:tcPr>
            <w:tcW w:w="6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Selling and administrative expenses</w:t>
            </w:r>
          </w:p>
        </w:tc>
        <w:tc>
          <w:tcPr>
            <w:tcW w:w="38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189,297</w:t>
            </w:r>
          </w:p>
        </w:tc>
        <w:tc>
          <w:tcPr>
            <w:tcW w:w="740" w:type="dxa"/>
            <w:vAlign w:val="bottom"/>
            <w:shd w:val="clear" w:color="auto" w:fill="CFF0FC"/>
          </w:tcPr>
          <w:p>
            <w:pPr>
              <w:spacing w:after="0"/>
              <w:rPr>
                <w:sz w:val="18"/>
                <w:szCs w:val="18"/>
                <w:color w:val="auto"/>
              </w:rPr>
            </w:pPr>
          </w:p>
        </w:tc>
        <w:tc>
          <w:tcPr>
            <w:tcW w:w="84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185,141</w:t>
            </w:r>
          </w:p>
        </w:tc>
        <w:tc>
          <w:tcPr>
            <w:tcW w:w="1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2.2 %</w:t>
            </w:r>
          </w:p>
        </w:tc>
      </w:tr>
      <w:tr>
        <w:trPr>
          <w:trHeight w:val="216"/>
        </w:trPr>
        <w:tc>
          <w:tcPr>
            <w:tcW w:w="6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of sales</w:t>
            </w:r>
          </w:p>
        </w:tc>
        <w:tc>
          <w:tcPr>
            <w:tcW w:w="3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39.4 %</w:t>
            </w:r>
          </w:p>
        </w:tc>
        <w:tc>
          <w:tcPr>
            <w:tcW w:w="7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38.6 %</w:t>
            </w:r>
          </w:p>
        </w:tc>
        <w:tc>
          <w:tcPr>
            <w:tcW w:w="100" w:type="dxa"/>
            <w:vAlign w:val="bottom"/>
          </w:tcPr>
          <w:p>
            <w:pPr>
              <w:spacing w:after="0"/>
              <w:rPr>
                <w:sz w:val="18"/>
                <w:szCs w:val="18"/>
                <w:color w:val="auto"/>
              </w:rPr>
            </w:pPr>
          </w:p>
        </w:tc>
        <w:tc>
          <w:tcPr>
            <w:tcW w:w="1580" w:type="dxa"/>
            <w:vAlign w:val="bottom"/>
            <w:tcBorders>
              <w:bottom w:val="single" w:sz="8" w:color="auto"/>
            </w:tcBorders>
          </w:tcPr>
          <w:p>
            <w:pPr>
              <w:spacing w:after="0"/>
              <w:rPr>
                <w:sz w:val="18"/>
                <w:szCs w:val="18"/>
                <w:color w:val="auto"/>
              </w:rPr>
            </w:pPr>
          </w:p>
        </w:tc>
      </w:tr>
      <w:tr>
        <w:trPr>
          <w:trHeight w:val="209"/>
        </w:trPr>
        <w:tc>
          <w:tcPr>
            <w:tcW w:w="6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10,199</w:t>
            </w:r>
          </w:p>
        </w:tc>
        <w:tc>
          <w:tcPr>
            <w:tcW w:w="740" w:type="dxa"/>
            <w:vAlign w:val="bottom"/>
            <w:shd w:val="clear" w:color="auto" w:fill="CFF0FC"/>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21,435</w:t>
            </w:r>
          </w:p>
        </w:tc>
        <w:tc>
          <w:tcPr>
            <w:tcW w:w="1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(52.4 )%</w:t>
            </w:r>
          </w:p>
        </w:tc>
      </w:tr>
      <w:tr>
        <w:trPr>
          <w:trHeight w:val="238"/>
        </w:trPr>
        <w:tc>
          <w:tcPr>
            <w:tcW w:w="6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Operating margin</w:t>
            </w:r>
          </w:p>
        </w:tc>
        <w:tc>
          <w:tcPr>
            <w:tcW w:w="3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2.1 %</w:t>
            </w:r>
          </w:p>
        </w:tc>
        <w:tc>
          <w:tcPr>
            <w:tcW w:w="7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4.5 %</w:t>
            </w: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r>
    </w:tbl>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Net sales from the Schuh Group were flat at $479.9 million for Fiscal 2025 compared to $480.2 million for Fiscal 2024. Net sales in Fiscal 2025 included a total comparable sales decrease of 2% driven by decreased store sales, partially offset by increased e-commerce comparable sales, accelerating to over 40% of Schuh sales, and a favorable impact of $9.0 million in sales due to changes in foreign exchange rates. Schuh's sales decreased 2% on a local currency basis for Fiscal 2025. Schuh continues to contend with a challenging and highly promotional U.K. footwear market. The consumer continues to be selective with their discretionary purchases. In addition, Schuh Group sales in Fiscal 2025 compares against back-to-back years of record sales growth. Schuh Group operated 124 stores at the end of Fiscal 2025 compared to 122 stores at the end of Fiscal 2024.</w:t>
      </w:r>
    </w:p>
    <w:p>
      <w:pPr>
        <w:spacing w:after="0" w:line="14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240 basis point decrease in operating margin for Fiscal 2025 compared to Fiscal 2024 reflects decreased gross margin as a percentage of net sales reflecting a more promotional environment at Schuh Group during Fiscal 2025, partially offset by decreased shipping and warehouse expenses. The increase in selling and administrative expenses as a percentage of net sales also contributed to the decrease in operating margin reflecting increased selling salaries, marketing expense and depreciation expense, partially offset by decreased performance-based compensation expense and occupancy expense. In addition, operating income included a favorable impact of $0.2 million due to changes in foreign exchange rates compared to last year.</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4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Johnston &amp; Murphy Group</w:t>
            </w:r>
          </w:p>
        </w:tc>
        <w:tc>
          <w:tcPr>
            <w:tcW w:w="3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432"/>
        </w:trPr>
        <w:tc>
          <w:tcPr>
            <w:tcW w:w="644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Fiscal Year Ended</w:t>
            </w:r>
          </w:p>
        </w:tc>
        <w:tc>
          <w:tcPr>
            <w:tcW w:w="840" w:type="dxa"/>
            <w:vAlign w:val="bottom"/>
            <w:tcBorders>
              <w:bottom w:val="single" w:sz="8" w:color="auto"/>
            </w:tcBorders>
          </w:tcPr>
          <w:p>
            <w:pPr>
              <w:spacing w:after="0"/>
              <w:rPr>
                <w:sz w:val="24"/>
                <w:szCs w:val="24"/>
                <w:color w:val="auto"/>
              </w:rPr>
            </w:pPr>
          </w:p>
        </w:tc>
        <w:tc>
          <w:tcPr>
            <w:tcW w:w="168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64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7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spacing w:after="0"/>
              <w:rPr>
                <w:sz w:val="18"/>
                <w:szCs w:val="18"/>
                <w:color w:val="auto"/>
              </w:rPr>
            </w:pPr>
          </w:p>
        </w:tc>
        <w:tc>
          <w:tcPr>
            <w:tcW w:w="15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Change</w:t>
            </w:r>
          </w:p>
        </w:tc>
      </w:tr>
      <w:tr>
        <w:trPr>
          <w:trHeight w:val="209"/>
        </w:trPr>
        <w:tc>
          <w:tcPr>
            <w:tcW w:w="6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(dollars in thousands)</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16"/>
        </w:trPr>
        <w:tc>
          <w:tcPr>
            <w:tcW w:w="6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320,208</w:t>
            </w:r>
          </w:p>
        </w:tc>
        <w:tc>
          <w:tcPr>
            <w:tcW w:w="740" w:type="dxa"/>
            <w:vAlign w:val="bottom"/>
            <w:shd w:val="clear" w:color="auto" w:fill="CFF0FC"/>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339,446</w:t>
            </w:r>
          </w:p>
        </w:tc>
        <w:tc>
          <w:tcPr>
            <w:tcW w:w="1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(5.7 )%</w:t>
            </w:r>
          </w:p>
        </w:tc>
      </w:tr>
      <w:tr>
        <w:trPr>
          <w:trHeight w:val="216"/>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3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148,461</w:t>
            </w:r>
          </w:p>
        </w:tc>
        <w:tc>
          <w:tcPr>
            <w:tcW w:w="7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160,461</w:t>
            </w:r>
          </w:p>
        </w:tc>
        <w:tc>
          <w:tcPr>
            <w:tcW w:w="100" w:type="dxa"/>
            <w:vAlign w:val="bottom"/>
          </w:tcPr>
          <w:p>
            <w:pPr>
              <w:spacing w:after="0"/>
              <w:rPr>
                <w:sz w:val="18"/>
                <w:szCs w:val="18"/>
                <w:color w:val="auto"/>
              </w:rPr>
            </w:pPr>
          </w:p>
        </w:tc>
        <w:tc>
          <w:tcPr>
            <w:tcW w:w="1580" w:type="dxa"/>
            <w:vAlign w:val="bottom"/>
            <w:tcBorders>
              <w:bottom w:val="single" w:sz="8" w:color="auto"/>
            </w:tcBorders>
          </w:tcPr>
          <w:p>
            <w:pPr>
              <w:spacing w:after="0"/>
              <w:rPr>
                <w:sz w:val="18"/>
                <w:szCs w:val="18"/>
                <w:color w:val="auto"/>
              </w:rPr>
            </w:pPr>
          </w:p>
        </w:tc>
      </w:tr>
      <w:tr>
        <w:trPr>
          <w:trHeight w:val="210"/>
        </w:trPr>
        <w:tc>
          <w:tcPr>
            <w:tcW w:w="6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38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171,747</w:t>
            </w:r>
          </w:p>
        </w:tc>
        <w:tc>
          <w:tcPr>
            <w:tcW w:w="740" w:type="dxa"/>
            <w:vAlign w:val="bottom"/>
            <w:shd w:val="clear" w:color="auto" w:fill="CFF0FC"/>
          </w:tcPr>
          <w:p>
            <w:pPr>
              <w:spacing w:after="0"/>
              <w:rPr>
                <w:sz w:val="18"/>
                <w:szCs w:val="18"/>
                <w:color w:val="auto"/>
              </w:rPr>
            </w:pPr>
          </w:p>
        </w:tc>
        <w:tc>
          <w:tcPr>
            <w:tcW w:w="84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178,985</w:t>
            </w:r>
          </w:p>
        </w:tc>
        <w:tc>
          <w:tcPr>
            <w:tcW w:w="1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(4.0 )%</w:t>
            </w:r>
          </w:p>
        </w:tc>
      </w:tr>
      <w:tr>
        <w:trPr>
          <w:trHeight w:val="216"/>
        </w:trPr>
        <w:tc>
          <w:tcPr>
            <w:tcW w:w="6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of sales</w:t>
            </w:r>
          </w:p>
        </w:tc>
        <w:tc>
          <w:tcPr>
            <w:tcW w:w="3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53.6 %</w:t>
            </w:r>
          </w:p>
        </w:tc>
        <w:tc>
          <w:tcPr>
            <w:tcW w:w="7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52.7 %</w:t>
            </w: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16"/>
        </w:trPr>
        <w:tc>
          <w:tcPr>
            <w:tcW w:w="6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Selling and administrative expenses</w:t>
            </w:r>
          </w:p>
        </w:tc>
        <w:tc>
          <w:tcPr>
            <w:tcW w:w="38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163,331</w:t>
            </w:r>
          </w:p>
        </w:tc>
        <w:tc>
          <w:tcPr>
            <w:tcW w:w="740" w:type="dxa"/>
            <w:vAlign w:val="bottom"/>
            <w:shd w:val="clear" w:color="auto" w:fill="CFF0FC"/>
          </w:tcPr>
          <w:p>
            <w:pPr>
              <w:spacing w:after="0"/>
              <w:rPr>
                <w:sz w:val="18"/>
                <w:szCs w:val="18"/>
                <w:color w:val="auto"/>
              </w:rPr>
            </w:pPr>
          </w:p>
        </w:tc>
        <w:tc>
          <w:tcPr>
            <w:tcW w:w="84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162,671</w:t>
            </w:r>
          </w:p>
        </w:tc>
        <w:tc>
          <w:tcPr>
            <w:tcW w:w="1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0.4 %</w:t>
            </w:r>
          </w:p>
        </w:tc>
      </w:tr>
      <w:tr>
        <w:trPr>
          <w:trHeight w:val="216"/>
        </w:trPr>
        <w:tc>
          <w:tcPr>
            <w:tcW w:w="6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of sales</w:t>
            </w:r>
          </w:p>
        </w:tc>
        <w:tc>
          <w:tcPr>
            <w:tcW w:w="3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51.0 %</w:t>
            </w:r>
          </w:p>
        </w:tc>
        <w:tc>
          <w:tcPr>
            <w:tcW w:w="7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47.9 %</w:t>
            </w:r>
          </w:p>
        </w:tc>
        <w:tc>
          <w:tcPr>
            <w:tcW w:w="100" w:type="dxa"/>
            <w:vAlign w:val="bottom"/>
          </w:tcPr>
          <w:p>
            <w:pPr>
              <w:spacing w:after="0"/>
              <w:rPr>
                <w:sz w:val="18"/>
                <w:szCs w:val="18"/>
                <w:color w:val="auto"/>
              </w:rPr>
            </w:pPr>
          </w:p>
        </w:tc>
        <w:tc>
          <w:tcPr>
            <w:tcW w:w="1580" w:type="dxa"/>
            <w:vAlign w:val="bottom"/>
            <w:tcBorders>
              <w:bottom w:val="single" w:sz="8" w:color="auto"/>
            </w:tcBorders>
          </w:tcPr>
          <w:p>
            <w:pPr>
              <w:spacing w:after="0"/>
              <w:rPr>
                <w:sz w:val="18"/>
                <w:szCs w:val="18"/>
                <w:color w:val="auto"/>
              </w:rPr>
            </w:pPr>
          </w:p>
        </w:tc>
      </w:tr>
      <w:tr>
        <w:trPr>
          <w:trHeight w:val="210"/>
        </w:trPr>
        <w:tc>
          <w:tcPr>
            <w:tcW w:w="6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8,416</w:t>
            </w:r>
          </w:p>
        </w:tc>
        <w:tc>
          <w:tcPr>
            <w:tcW w:w="740" w:type="dxa"/>
            <w:vAlign w:val="bottom"/>
            <w:shd w:val="clear" w:color="auto" w:fill="CFF0FC"/>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16,314</w:t>
            </w:r>
          </w:p>
        </w:tc>
        <w:tc>
          <w:tcPr>
            <w:tcW w:w="1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(48.4 )%</w:t>
            </w:r>
          </w:p>
        </w:tc>
      </w:tr>
      <w:tr>
        <w:trPr>
          <w:trHeight w:val="238"/>
        </w:trPr>
        <w:tc>
          <w:tcPr>
            <w:tcW w:w="6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Operating margin</w:t>
            </w:r>
          </w:p>
        </w:tc>
        <w:tc>
          <w:tcPr>
            <w:tcW w:w="3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2.6 %</w:t>
            </w:r>
          </w:p>
        </w:tc>
        <w:tc>
          <w:tcPr>
            <w:tcW w:w="7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4.8 %</w:t>
            </w: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r>
    </w:tbl>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Johnston &amp; Murphy Group net sales decreased 5.7% to $320.2 million for Fiscal 2025 from $339.4 million for Fiscal 2024 primarily due to decreased total comparable sales of 2% driven by decreased store and e-commerce comparable sales, a 3% decrease in the average number of Johnston &amp; Murphy stores for Fiscal 2025 and decreased wholesale sales. The softening in men's non-athletic premium footwear market made for a difficult operating environment in Fiscal 2025. Johnston &amp; Murphy continues to make inroads with more casual footwear and in apparel and accessories, such as outerwear and leather goods. Retail operations accounted for 78.3% of Johnston &amp; Murphy Group's sales in both Fiscal 2025 and Fiscal 2024. The store count for</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4" w:name="page35"/>
    <w:bookmarkEnd w:id="34"/>
    <w:p>
      <w:pPr>
        <w:spacing w:after="0" w:line="14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Johnston &amp; Murphy retail operations at the end of Fiscal 2025 was 148 Johnston &amp; Murphy shops and factory stores, compared to 156 Johnston &amp; Murphy shops and factory stores, including five stores in Canada, at the end of Fiscal 2024. Johnston &amp; Murphy closed its five Canadian stores at the end of Fiscal 2025.</w:t>
      </w:r>
    </w:p>
    <w:p>
      <w:pPr>
        <w:spacing w:after="0" w:line="14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220 basis point decrease in operating margin for Johnston &amp; Murphy Group for Fiscal 2025 compared to Fiscal 2024 reflects increased selling and administrative expenses as a percentage of net sales for Fiscal 2025, reflecting the deleverage of expenses, especially marketing expense, selling salaries and compensation expense in part as a result of decreased revenue in Fiscal 2025. Johnston &amp; Murphy continues to make investments in marketing to enhance the brand as the men's non-athletic premium footwear market returns to a more normal operating environment. Gross margin as a percentage of net sales increased in Fiscal 2025, primarily reflecting improved initial margins and lower markdowns.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3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Genesco Brands Group</w:t>
            </w:r>
          </w:p>
        </w:tc>
        <w:tc>
          <w:tcPr>
            <w:tcW w:w="4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432"/>
        </w:trPr>
        <w:tc>
          <w:tcPr>
            <w:tcW w:w="638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Fiscal Year Ended</w:t>
            </w:r>
          </w:p>
        </w:tc>
        <w:tc>
          <w:tcPr>
            <w:tcW w:w="900" w:type="dxa"/>
            <w:vAlign w:val="bottom"/>
            <w:tcBorders>
              <w:bottom w:val="single" w:sz="8" w:color="auto"/>
            </w:tcBorders>
          </w:tcPr>
          <w:p>
            <w:pPr>
              <w:spacing w:after="0"/>
              <w:rPr>
                <w:sz w:val="24"/>
                <w:szCs w:val="24"/>
                <w:color w:val="auto"/>
              </w:rPr>
            </w:pPr>
          </w:p>
        </w:tc>
        <w:tc>
          <w:tcPr>
            <w:tcW w:w="168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638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7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spacing w:after="0"/>
              <w:rPr>
                <w:sz w:val="18"/>
                <w:szCs w:val="18"/>
                <w:color w:val="auto"/>
              </w:rPr>
            </w:pPr>
          </w:p>
        </w:tc>
        <w:tc>
          <w:tcPr>
            <w:tcW w:w="15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Change</w:t>
            </w:r>
          </w:p>
        </w:tc>
      </w:tr>
      <w:tr>
        <w:trPr>
          <w:trHeight w:val="210"/>
        </w:trPr>
        <w:tc>
          <w:tcPr>
            <w:tcW w:w="6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(dollars in thousands)</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16"/>
        </w:trPr>
        <w:tc>
          <w:tcPr>
            <w:tcW w:w="6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40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126,041</w:t>
            </w:r>
          </w:p>
        </w:tc>
        <w:tc>
          <w:tcPr>
            <w:tcW w:w="720" w:type="dxa"/>
            <w:vAlign w:val="bottom"/>
            <w:shd w:val="clear" w:color="auto" w:fill="CFF0FC"/>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141,179</w:t>
            </w:r>
          </w:p>
        </w:tc>
        <w:tc>
          <w:tcPr>
            <w:tcW w:w="1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(10.7 )%</w:t>
            </w:r>
          </w:p>
        </w:tc>
      </w:tr>
      <w:tr>
        <w:trPr>
          <w:trHeight w:val="216"/>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4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83,670</w:t>
            </w:r>
          </w:p>
        </w:tc>
        <w:tc>
          <w:tcPr>
            <w:tcW w:w="7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95,404</w:t>
            </w:r>
          </w:p>
        </w:tc>
        <w:tc>
          <w:tcPr>
            <w:tcW w:w="100" w:type="dxa"/>
            <w:vAlign w:val="bottom"/>
          </w:tcPr>
          <w:p>
            <w:pPr>
              <w:spacing w:after="0"/>
              <w:rPr>
                <w:sz w:val="18"/>
                <w:szCs w:val="18"/>
                <w:color w:val="auto"/>
              </w:rPr>
            </w:pPr>
          </w:p>
        </w:tc>
        <w:tc>
          <w:tcPr>
            <w:tcW w:w="1580" w:type="dxa"/>
            <w:vAlign w:val="bottom"/>
            <w:tcBorders>
              <w:bottom w:val="single" w:sz="8" w:color="auto"/>
            </w:tcBorders>
          </w:tcPr>
          <w:p>
            <w:pPr>
              <w:spacing w:after="0"/>
              <w:rPr>
                <w:sz w:val="18"/>
                <w:szCs w:val="18"/>
                <w:color w:val="auto"/>
              </w:rPr>
            </w:pPr>
          </w:p>
        </w:tc>
      </w:tr>
      <w:tr>
        <w:trPr>
          <w:trHeight w:val="209"/>
        </w:trPr>
        <w:tc>
          <w:tcPr>
            <w:tcW w:w="6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40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42,371</w:t>
            </w:r>
          </w:p>
        </w:tc>
        <w:tc>
          <w:tcPr>
            <w:tcW w:w="72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45,775</w:t>
            </w:r>
          </w:p>
        </w:tc>
        <w:tc>
          <w:tcPr>
            <w:tcW w:w="1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(7.4 )%</w:t>
            </w:r>
          </w:p>
        </w:tc>
      </w:tr>
      <w:tr>
        <w:trPr>
          <w:trHeight w:val="216"/>
        </w:trPr>
        <w:tc>
          <w:tcPr>
            <w:tcW w:w="6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of sales</w:t>
            </w:r>
          </w:p>
        </w:tc>
        <w:tc>
          <w:tcPr>
            <w:tcW w:w="40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i w:val="1"/>
                <w:iCs w:val="1"/>
                <w:color w:val="auto"/>
              </w:rPr>
              <w:t>33.6 %</w:t>
            </w:r>
          </w:p>
        </w:tc>
        <w:tc>
          <w:tcPr>
            <w:tcW w:w="7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32.4 %</w:t>
            </w: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16"/>
        </w:trPr>
        <w:tc>
          <w:tcPr>
            <w:tcW w:w="6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Selling and administrative expenses</w:t>
            </w:r>
          </w:p>
        </w:tc>
        <w:tc>
          <w:tcPr>
            <w:tcW w:w="40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35,565</w:t>
            </w:r>
          </w:p>
        </w:tc>
        <w:tc>
          <w:tcPr>
            <w:tcW w:w="72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45,783</w:t>
            </w:r>
          </w:p>
        </w:tc>
        <w:tc>
          <w:tcPr>
            <w:tcW w:w="1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(22.3 )%</w:t>
            </w:r>
          </w:p>
        </w:tc>
      </w:tr>
      <w:tr>
        <w:trPr>
          <w:trHeight w:val="216"/>
        </w:trPr>
        <w:tc>
          <w:tcPr>
            <w:tcW w:w="6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of sales</w:t>
            </w:r>
          </w:p>
        </w:tc>
        <w:tc>
          <w:tcPr>
            <w:tcW w:w="4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i w:val="1"/>
                <w:iCs w:val="1"/>
                <w:color w:val="auto"/>
              </w:rPr>
              <w:t>28.2 %</w:t>
            </w:r>
          </w:p>
        </w:tc>
        <w:tc>
          <w:tcPr>
            <w:tcW w:w="7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32.4 %</w:t>
            </w:r>
          </w:p>
        </w:tc>
        <w:tc>
          <w:tcPr>
            <w:tcW w:w="100" w:type="dxa"/>
            <w:vAlign w:val="bottom"/>
          </w:tcPr>
          <w:p>
            <w:pPr>
              <w:spacing w:after="0"/>
              <w:rPr>
                <w:sz w:val="18"/>
                <w:szCs w:val="18"/>
                <w:color w:val="auto"/>
              </w:rPr>
            </w:pPr>
          </w:p>
        </w:tc>
        <w:tc>
          <w:tcPr>
            <w:tcW w:w="1580" w:type="dxa"/>
            <w:vAlign w:val="bottom"/>
            <w:tcBorders>
              <w:bottom w:val="single" w:sz="8" w:color="auto"/>
            </w:tcBorders>
          </w:tcPr>
          <w:p>
            <w:pPr>
              <w:spacing w:after="0"/>
              <w:rPr>
                <w:sz w:val="18"/>
                <w:szCs w:val="18"/>
                <w:color w:val="auto"/>
              </w:rPr>
            </w:pPr>
          </w:p>
        </w:tc>
      </w:tr>
      <w:tr>
        <w:trPr>
          <w:trHeight w:val="209"/>
        </w:trPr>
        <w:tc>
          <w:tcPr>
            <w:tcW w:w="6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40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6,806</w:t>
            </w:r>
          </w:p>
        </w:tc>
        <w:tc>
          <w:tcPr>
            <w:tcW w:w="720" w:type="dxa"/>
            <w:vAlign w:val="bottom"/>
            <w:shd w:val="clear" w:color="auto" w:fill="CFF0FC"/>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(8 )</w:t>
            </w:r>
          </w:p>
        </w:tc>
        <w:tc>
          <w:tcPr>
            <w:tcW w:w="100" w:type="dxa"/>
            <w:vAlign w:val="bottom"/>
            <w:shd w:val="clear" w:color="auto" w:fill="CFF0FC"/>
          </w:tcPr>
          <w:p>
            <w:pPr>
              <w:spacing w:after="0"/>
              <w:rPr>
                <w:sz w:val="18"/>
                <w:szCs w:val="18"/>
                <w:color w:val="auto"/>
              </w:rPr>
            </w:pPr>
          </w:p>
        </w:tc>
        <w:tc>
          <w:tcPr>
            <w:tcW w:w="158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NM</w:t>
            </w:r>
          </w:p>
        </w:tc>
      </w:tr>
      <w:tr>
        <w:trPr>
          <w:trHeight w:val="238"/>
        </w:trPr>
        <w:tc>
          <w:tcPr>
            <w:tcW w:w="6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Operating margin</w:t>
            </w:r>
          </w:p>
        </w:tc>
        <w:tc>
          <w:tcPr>
            <w:tcW w:w="400" w:type="dxa"/>
            <w:vAlign w:val="bottom"/>
          </w:tcPr>
          <w:p>
            <w:pPr>
              <w:spacing w:after="0"/>
              <w:rPr>
                <w:sz w:val="20"/>
                <w:szCs w:val="20"/>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i w:val="1"/>
                <w:iCs w:val="1"/>
                <w:color w:val="auto"/>
              </w:rPr>
              <w:t>5.4 %</w:t>
            </w:r>
          </w:p>
        </w:tc>
        <w:tc>
          <w:tcPr>
            <w:tcW w:w="7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(0.0 )%</w:t>
            </w: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r>
    </w:tbl>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sales for Genesco Brands Group decreased 10.7% to $126.0 million for Fiscal 2025 from $141.2 million for Fiscal 2024, primarily due to the repositioning of the business to a more refined portfolio of licenses to emphasize key brands, partially offset by increased sales of Dockers footwear.</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540 basis point improvement in operating margin for Genesco Brands Group in Fiscal 2025 was primarily due to decreased selling and administrative expenses as a percentage of net sales reflecting decreased royalty, marketing and other expenses primarily as a result of an amendment to the Levi's license agreement, partially offset by increased performance-based compensation and freight expenses. Gross margin increased as a percentage of net sales which also contributed to the operating margin improvement, reflecting a favorable brand sales mix shift.</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Corporate, Interest Expenses and Other Charges</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Corporate and other expense for Fiscal 2025 decreased 39% to $37.8 million compared to $62.3 million for Fiscal 2024. Corporate and other expense in Fiscal 2025 included a $3.2 million charge in asset impairment and other charges which included $1.8 million for severance and $1.4 million for asset impairments. Corporate and other expense in Fiscal 2024 included non-cash impairment charges of $28.5 million related to goodwill and a $1.8 million charge in asset impairment and other charges which included $1.1 million in severance and $1.0 million for asset impairments, partially offset by a $0.3 million insurance gain. The corporate expense increase, excluding asset impairment and other charges in Fiscal 2025 and Fiscal 2024 and goodwill impairment in Fiscal 2024, primarily reflects an increase in performance-based compensation and compensation expenses in Fiscal 2025 compared to Fiscal 2024.</w:t>
      </w:r>
    </w:p>
    <w:p>
      <w:pPr>
        <w:spacing w:after="0" w:line="14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Net interest expense decreased $3.5 million or 45.4% to $4.3 million in Fiscal 2025 from $7.8 million in Fiscal 2024 primarily reflecting decreased average borrowings in Fiscal 2025 compared to Fiscal 2024.</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5" w:name="page36"/>
    <w:bookmarkEnd w:id="35"/>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Working Capital</w:t>
      </w:r>
    </w:p>
    <w:p>
      <w:pPr>
        <w:spacing w:after="0" w:line="18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Our business is seasonal, with our investment in inventory and accounts receivable normally reaching peaks in the spring and fall of each year. Historically, cash flow from operations has been generated principally in the fourth quarter of each fiscal year.</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 changes:</w:t>
            </w:r>
          </w:p>
        </w:tc>
        <w:tc>
          <w:tcPr>
            <w:tcW w:w="2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Fiscal Year Ended</w:t>
            </w:r>
          </w:p>
        </w:tc>
        <w:tc>
          <w:tcPr>
            <w:tcW w:w="4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r>
      <w:tr>
        <w:trPr>
          <w:trHeight w:val="187"/>
        </w:trPr>
        <w:tc>
          <w:tcPr>
            <w:tcW w:w="6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tcPr>
          <w:p>
            <w:pPr>
              <w:jc w:val="right"/>
              <w:ind w:right="130"/>
              <w:spacing w:after="0" w:line="188" w:lineRule="exact"/>
              <w:rPr>
                <w:sz w:val="20"/>
                <w:szCs w:val="20"/>
                <w:color w:val="auto"/>
              </w:rPr>
            </w:pPr>
            <w:r>
              <w:rPr>
                <w:rFonts w:ascii="Times New Roman" w:cs="Times New Roman" w:eastAsia="Times New Roman" w:hAnsi="Times New Roman"/>
                <w:sz w:val="18"/>
                <w:szCs w:val="18"/>
                <w:b w:val="1"/>
                <w:bCs w:val="1"/>
                <w:color w:val="auto"/>
              </w:rPr>
              <w:t>February 1,</w:t>
            </w:r>
          </w:p>
        </w:tc>
        <w:tc>
          <w:tcPr>
            <w:tcW w:w="5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20" w:type="dxa"/>
            <w:vAlign w:val="bottom"/>
          </w:tcPr>
          <w:p>
            <w:pPr>
              <w:jc w:val="right"/>
              <w:ind w:right="30"/>
              <w:spacing w:after="0" w:line="188" w:lineRule="exact"/>
              <w:rPr>
                <w:sz w:val="20"/>
                <w:szCs w:val="20"/>
                <w:color w:val="auto"/>
              </w:rPr>
            </w:pPr>
            <w:r>
              <w:rPr>
                <w:rFonts w:ascii="Times New Roman" w:cs="Times New Roman" w:eastAsia="Times New Roman" w:hAnsi="Times New Roman"/>
                <w:sz w:val="18"/>
                <w:szCs w:val="18"/>
                <w:color w:val="auto"/>
              </w:rPr>
              <w:t>Increase</w:t>
            </w:r>
          </w:p>
        </w:tc>
      </w:tr>
      <w:tr>
        <w:trPr>
          <w:trHeight w:val="238"/>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2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20" w:type="dxa"/>
            <w:vAlign w:val="bottom"/>
            <w:tcBorders>
              <w:bottom w:val="single" w:sz="8" w:color="auto"/>
            </w:tcBorders>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February 3, 2024</w:t>
            </w:r>
          </w:p>
        </w:tc>
        <w:tc>
          <w:tcPr>
            <w:tcW w:w="4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(Decrease)</w:t>
            </w:r>
          </w:p>
        </w:tc>
      </w:tr>
      <w:tr>
        <w:trPr>
          <w:trHeight w:val="210"/>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87,886</w:t>
            </w:r>
          </w:p>
        </w:tc>
        <w:tc>
          <w:tcPr>
            <w:tcW w:w="54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94,796</w:t>
            </w:r>
          </w:p>
        </w:tc>
        <w:tc>
          <w:tcPr>
            <w:tcW w:w="40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(6,910 )</w:t>
            </w:r>
          </w:p>
        </w:tc>
      </w:tr>
      <w:tr>
        <w:trPr>
          <w:trHeight w:val="216"/>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(41,131 )</w:t>
            </w:r>
          </w:p>
        </w:tc>
        <w:tc>
          <w:tcPr>
            <w:tcW w:w="54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(60,001 )</w:t>
            </w:r>
          </w:p>
        </w:tc>
        <w:tc>
          <w:tcPr>
            <w:tcW w:w="40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18,870</w:t>
            </w:r>
          </w:p>
        </w:tc>
      </w:tr>
      <w:tr>
        <w:trPr>
          <w:trHeight w:val="216"/>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4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(47,003 )</w:t>
            </w:r>
          </w:p>
        </w:tc>
        <w:tc>
          <w:tcPr>
            <w:tcW w:w="54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(47,579 )</w:t>
            </w:r>
          </w:p>
        </w:tc>
        <w:tc>
          <w:tcPr>
            <w:tcW w:w="4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576</w:t>
            </w:r>
          </w:p>
        </w:tc>
      </w:tr>
      <w:tr>
        <w:trPr>
          <w:trHeight w:val="216"/>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foreign exchange rate fluctuations on cash</w:t>
            </w: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(900 )</w:t>
            </w:r>
          </w:p>
        </w:tc>
        <w:tc>
          <w:tcPr>
            <w:tcW w:w="5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(51 )</w:t>
            </w:r>
          </w:p>
        </w:tc>
        <w:tc>
          <w:tcPr>
            <w:tcW w:w="4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(849 )</w:t>
            </w:r>
          </w:p>
        </w:tc>
      </w:tr>
      <w:tr>
        <w:trPr>
          <w:trHeight w:val="210"/>
        </w:trPr>
        <w:tc>
          <w:tcPr>
            <w:tcW w:w="66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(1,148 )</w:t>
            </w:r>
          </w:p>
        </w:tc>
        <w:tc>
          <w:tcPr>
            <w:tcW w:w="540" w:type="dxa"/>
            <w:vAlign w:val="bottom"/>
            <w:tcBorders>
              <w:bottom w:val="single" w:sz="8" w:color="auto"/>
            </w:tcBorders>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(12,835 )</w:t>
            </w:r>
          </w:p>
        </w:tc>
        <w:tc>
          <w:tcPr>
            <w:tcW w:w="40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11,687</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Reasons for the major variances in cash provided by (used in) the table above are as follows: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provided by operating activities was $6.9 million lower in Fiscal 2025 compared to Fiscal 2024, reflecting primarily the following factors:</w:t>
      </w:r>
    </w:p>
    <w:p>
      <w:pPr>
        <w:spacing w:after="0" w:line="185" w:lineRule="exact"/>
        <w:rPr>
          <w:sz w:val="20"/>
          <w:szCs w:val="20"/>
          <w:color w:val="auto"/>
        </w:rPr>
      </w:pPr>
    </w:p>
    <w:p>
      <w:pPr>
        <w:ind w:left="760" w:hanging="378"/>
        <w:spacing w:after="0" w:line="282" w:lineRule="auto"/>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$129.4 million decrease in cash flow from changes in inventory, primarily reflecting a year over year increase in Journeys Group, Johnston &amp; Murphy Group and Genesco Brands Group inventory, partially offset by a year over year decrease in Schuh inventory; and partially offset by</w:t>
      </w:r>
    </w:p>
    <w:p>
      <w:pPr>
        <w:spacing w:after="0" w:line="12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$82.0 million increase in cash flow from changes in accounts payable, primarily reflecting changes in buying patterns in Fiscal 2025;</w:t>
      </w:r>
    </w:p>
    <w:p>
      <w:pPr>
        <w:spacing w:after="0" w:line="198"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82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$17.6 million increase in cash flow from changes in accounts receivable, primarily reflecting the distribution model transition at Genesco Brands Group and decreased Genesco Brands Group sales; and</w:t>
      </w:r>
    </w:p>
    <w:p>
      <w:pPr>
        <w:spacing w:after="0" w:line="121"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$61.7 million increase in cash flow from changes in other assets and liabilities, partially offset by a $47.6 million decrease in cash flow from changes in prepaids and other current assets, primarily reflecting changes in timing of prepaid income taxes and changes in timing of rent payments in Fiscal 2025 compared to Fiscal 2024.</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Cash used in investing activities was $18.9 million lower in Fiscal 2025 compared to Fiscal 2024 reflecting decreased capital expenditures primarily related to omni-channel capabilities and investments in retail stores.</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Cash used in financing activities was $0.6 million lower in Fiscal 2025 as compared to Fiscal 2024 primarily reflecting decreased share repurchases, partially offset by decreased net borrowings this year compared to last year.</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Sources of Liquidity and Future Capital Needs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three principal sources of liquidity: cash flow from operations, cash on hand and our credit facilities discussed in Item 8, Note 8, "Long-Term Debt", to our Consolidated Financial Statements included in this Annual Report on Form 10-K.</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On January 28, 2022, we entered into a Third Amendment (the "Third Amendment") to our Fourth Amended and Restated Credit </w:t>
      </w:r>
      <w:r>
        <w:rPr>
          <w:rFonts w:ascii="Times New Roman" w:cs="Times New Roman" w:eastAsia="Times New Roman" w:hAnsi="Times New Roman"/>
          <w:sz w:val="18"/>
          <w:szCs w:val="18"/>
          <w:color w:val="222222"/>
        </w:rPr>
        <w:t>Agreement dated as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22222"/>
        </w:rPr>
        <w:t xml:space="preserve">January 31, 2018 between us, certain of our subsidiaries, the lenders party thereto and Bank of America, N.A. as agent (as amended, the "Credit Facility" or the "Credit Agreement") to, </w:t>
      </w:r>
      <w:r>
        <w:rPr>
          <w:rFonts w:ascii="Times New Roman" w:cs="Times New Roman" w:eastAsia="Times New Roman" w:hAnsi="Times New Roman"/>
          <w:sz w:val="18"/>
          <w:szCs w:val="18"/>
          <w:color w:val="000000"/>
        </w:rPr>
        <w:t>among other things, extend the maturity date to January 28, 2027 and remove the $17.5 million first in-last out term loan. The</w:t>
      </w:r>
      <w:r>
        <w:rPr>
          <w:rFonts w:ascii="Times New Roman" w:cs="Times New Roman" w:eastAsia="Times New Roman" w:hAnsi="Times New Roman"/>
          <w:sz w:val="18"/>
          <w:szCs w:val="18"/>
          <w:color w:val="222222"/>
        </w:rPr>
        <w:t xml:space="preserve"> </w:t>
      </w:r>
      <w:r>
        <w:rPr>
          <w:rFonts w:ascii="Times New Roman" w:cs="Times New Roman" w:eastAsia="Times New Roman" w:hAnsi="Times New Roman"/>
          <w:sz w:val="18"/>
          <w:szCs w:val="18"/>
          <w:color w:val="000000"/>
        </w:rPr>
        <w:t>Total Commitments (as defined in the Credit Agreement) for revolving loans is $332.5 million. As of February 1, 2025 we did not have any revolver borrowings outstanding.</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6" w:name="page37"/>
    <w:bookmarkEnd w:id="36"/>
    <w:p>
      <w:pPr>
        <w:spacing w:after="0" w:line="3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had outstanding letters of credit of $5.9 million under the Credit Facility at February 1, 2025. These letters of credit support lease and insurance indemnifications.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November 2, 2022, Schuh entered into a facility agreement (the "Facility Agreement") with Lloyds Bank PLC (“Lloyds”) for a £19.0 million revolving credit facility. The Facility Agreement expires November 2, 2025, with options to request two one-year extensions to this termination date subject to lender approval, and bears interest at 2.35% over the Bank of England Base Rate. This Facility Agreement replaced Schuh's Facility Letter that would have expired in October 2023. The Facility Agreement includes certain financial covenants specific to Schuh. Following certain customary events of default outlined in the Facility Agreement, payment of outstanding amounts due may be accelerated or the commitments may be terminated. The Facility Agreement is secured by charges over all of the assets of Schuh, and Schuh's subsidiary, Schuh (ROI) Limited. Pursuant to a Guarantee in favor of Lloyds in its capacity as security trustee, Genesco Inc. has guaranteed the obligations of Schuh under the Facility Agreement and certain existing ancillary facilities on an unsecured basis. As of February 1, 2025, we did not have any borrowings under the Schuh Facility Agreement.</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were in compliance with all the relevant terms and conditions of the Credit Facility and Facility Agreement as of February 1, 2025.</w:t>
      </w:r>
    </w:p>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believe that cash on hand, cash provided by operations and borrowings under our amended Credit Facility and the Schuh Facility Agreement will be sufficient to support our liquidity needs in Fiscal 2026 and the foreseeable future.</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the fourth quarter of Fiscal 2021, we implemented tax strategies allowed under the 5-year carryback provisions in the CARES Act which we believed would generate approximately $55 million of net tax refunds. We received approximately $26 million of such net tax refunds in Fiscal 2022 and anticipated receipt of the remaining outstanding net tax refund in Fiscal 2023. However, in the third quarter of Fiscal 2023, we were notified that the Internal Revenue Service ("IRS") would conduct an audit of the periods related to the outstanding net tax refund. As a result, the timing of the net tax refund was extended due to the audit process. On January 17, 2025, we executed Form 870 with the IRS exam team and began the process of completing the separate Joint Committee on Taxation review of our claim. Form 870 is used upon completion of an IRS examination to indicate the taxpayer’s agreement with the revenue agent’s report of proposed adjustments and agreement to pay any deficiency. As a result, we now expect a refund of $59.3 million based on additional accrued interest and minor changes to the refund as agreed to on Form 870. Further, we now expect to complete the remaining requirements of the Joint Committee on Taxation governmental review process and collect the refund during Fiscal 2026. As such, we have moved the receivable from noncurrent prepaid income taxes to prepaids and other current assets on the Consolidated Balance Sheets as of February 1, 2025.</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7" w:name="page38"/>
    <w:bookmarkEnd w:id="37"/>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Contractual Obligations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aggregate contractual obligations as of February 1, 2025.</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 thousands)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44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Contractual Obligations</w:t>
            </w:r>
          </w:p>
        </w:tc>
        <w:tc>
          <w:tcPr>
            <w:tcW w:w="26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Total</w:t>
            </w:r>
          </w:p>
        </w:tc>
        <w:tc>
          <w:tcPr>
            <w:tcW w:w="54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Current</w:t>
            </w:r>
          </w:p>
        </w:tc>
        <w:tc>
          <w:tcPr>
            <w:tcW w:w="4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Long-Term</w:t>
            </w:r>
          </w:p>
        </w:tc>
      </w:tr>
      <w:tr>
        <w:trPr>
          <w:trHeight w:val="209"/>
        </w:trPr>
        <w:tc>
          <w:tcPr>
            <w:tcW w:w="4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Long-Term Debt Obligations</w:t>
            </w:r>
          </w:p>
        </w:tc>
        <w:tc>
          <w:tcPr>
            <w:tcW w:w="262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440" w:type="dxa"/>
            <w:vAlign w:val="bottom"/>
          </w:tcPr>
          <w:p>
            <w:pPr>
              <w:ind w:left="20"/>
              <w:spacing w:after="0" w:line="216" w:lineRule="exact"/>
              <w:rPr>
                <w:sz w:val="20"/>
                <w:szCs w:val="20"/>
                <w:color w:val="auto"/>
              </w:rPr>
            </w:pPr>
            <w:r>
              <w:rPr>
                <w:rFonts w:ascii="Times New Roman" w:cs="Times New Roman" w:eastAsia="Times New Roman" w:hAnsi="Times New Roman"/>
                <w:sz w:val="18"/>
                <w:szCs w:val="18"/>
                <w:color w:val="auto"/>
              </w:rPr>
              <w:t>Operating Lease Obligations</w:t>
            </w:r>
            <w:r>
              <w:rPr>
                <w:rFonts w:ascii="Times New Roman" w:cs="Times New Roman" w:eastAsia="Times New Roman" w:hAnsi="Times New Roman"/>
                <w:sz w:val="24"/>
                <w:szCs w:val="24"/>
                <w:color w:val="auto"/>
                <w:vertAlign w:val="superscript"/>
              </w:rPr>
              <w:t>(1)</w:t>
            </w:r>
          </w:p>
        </w:tc>
        <w:tc>
          <w:tcPr>
            <w:tcW w:w="262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572,243</w:t>
            </w:r>
          </w:p>
        </w:tc>
        <w:tc>
          <w:tcPr>
            <w:tcW w:w="54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147,883</w:t>
            </w:r>
          </w:p>
        </w:tc>
        <w:tc>
          <w:tcPr>
            <w:tcW w:w="42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424,360</w:t>
            </w:r>
          </w:p>
        </w:tc>
      </w:tr>
      <w:tr>
        <w:trPr>
          <w:trHeight w:val="216"/>
        </w:trPr>
        <w:tc>
          <w:tcPr>
            <w:tcW w:w="444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62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508</w:t>
            </w:r>
          </w:p>
        </w:tc>
        <w:tc>
          <w:tcPr>
            <w:tcW w:w="54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153</w:t>
            </w:r>
          </w:p>
        </w:tc>
        <w:tc>
          <w:tcPr>
            <w:tcW w:w="42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355</w:t>
            </w:r>
          </w:p>
        </w:tc>
      </w:tr>
      <w:tr>
        <w:trPr>
          <w:trHeight w:val="209"/>
        </w:trPr>
        <w:tc>
          <w:tcPr>
            <w:tcW w:w="4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Contractual Obligations</w:t>
            </w:r>
          </w:p>
        </w:tc>
        <w:tc>
          <w:tcPr>
            <w:tcW w:w="26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572,751</w:t>
            </w:r>
          </w:p>
        </w:tc>
        <w:tc>
          <w:tcPr>
            <w:tcW w:w="5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148,036</w:t>
            </w:r>
          </w:p>
        </w:tc>
        <w:tc>
          <w:tcPr>
            <w:tcW w:w="4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424,715</w:t>
            </w:r>
          </w:p>
        </w:tc>
      </w:tr>
    </w:tbl>
    <w:p>
      <w:pPr>
        <w:spacing w:after="0" w:line="133" w:lineRule="exact"/>
        <w:rPr>
          <w:sz w:val="20"/>
          <w:szCs w:val="20"/>
          <w:color w:val="auto"/>
        </w:rPr>
      </w:pPr>
    </w:p>
    <w:p>
      <w:pPr>
        <w:ind w:left="180" w:hanging="172"/>
        <w:spacing w:after="0"/>
        <w:tabs>
          <w:tab w:leader="none" w:pos="180" w:val="left"/>
        </w:tabs>
        <w:numPr>
          <w:ilvl w:val="0"/>
          <w:numId w:val="1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Operating lease obligations excludes $27.9 million for leases signed but not yet commenced.</w:t>
      </w:r>
    </w:p>
    <w:p>
      <w:pPr>
        <w:spacing w:after="0" w:line="19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issue inventory purchase orders in the ordinary course of business, which represent authorizations to purchase that are cancelable by their terms. We do not consider purchase orders to be firm inventory commitments. If we choose to cancel a purchase order, we may be obligated to reimburse the vendor for unrecoverable outlays incurred prior to cancellation.</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Capital Expenditures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Capital expenditures were $41.1 million and $60.3 million for Fiscal 2025 and 2024, respectively. The $19.2 million decrease in Fiscal 2025 capital expenditures as compared to Fiscal 2024 is primarily due to decreases in computer hardware, software and warehouse enhancements to drive traffic and omni-channel initiatives and decreases for new stores, partially offset by increased renovations.</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expect total capital expenditures for Fiscal 2026 to be approximately $50-$65 million of which approximately 70% is for new stores and renovations and 30% is for computer hardware, software and warehouse enhancements for initiatives to drive traffic and omni-channel initiatives and other projects. We do not currently have any longer term capital expenditures or other cash requirements other than as set forth in the contractual obligations table. We also do not currently have any off-balance sheet arrangements.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Common Stock Repurchases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repurchased 399,633 shares during Fiscal 2025 at a cost of $9.8 million or an average of $24.49 per share. We were operating under a $100.0 million repurchase authorization from February 2022. In June 2023, we announced an additional $50.0 million share repurchase authorization. As of February 1, 2025, we have $42.3 million remaining under the expanded share repurchase authorization. We repurchased 1,261,295 shares during Fiscal 2024 at a cost of $32.0 million or an average of $25.39 per share. We repurchased 1,380,272 shares during Fiscal 2023 at a cost of $72.7 million or an average of $52.66 per share. During the first quarter of Fiscal 2026, through March 26, 2025, we repurchased 469,325 shares at a cost of $10.0 million or an average of $21.31 per share.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and Other Contingencies</w:t>
      </w:r>
    </w:p>
    <w:p>
      <w:pPr>
        <w:spacing w:after="0" w:line="20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subject to certain loss contingencies related to environmental proceedings and other legal matters, including those disclosed in Item 8, Note 15, "Legal Proceedings", to our Consolidated Financial Statements included in this Annual Report on Form 10-K.</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8" w:name="page39"/>
    <w:bookmarkEnd w:id="38"/>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Market Risk</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discusses our exposure to financial market risk.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Outstanding Debt – We do not have any outstanding revolver borrowings as of February 1, 2025.</w:t>
      </w:r>
    </w:p>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Cash and Cash Equivalents – Our cash and cash equivalent balances are held in our bank accounts and are invested primarily in institutional money market funds. We did not have significant exposure to changing interest rates on invested cash at February 1, 2025. As a result, we consider the interest rate risk implicit in these investments at February 1, 2025 to be low. We had cash equivalents of $7.5 million at February 1, 2025.</w:t>
      </w:r>
    </w:p>
    <w:p>
      <w:pPr>
        <w:spacing w:after="0" w:line="13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Summary – Based on our overall market interest rate exposure at February 1, 2025, we believe that the effect, if any, of reasonably possible near-term changes in interest rates on our consolidated financial position, results of operations or cash flows for Fiscal 2026 would not be material.</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Accounts Receivable – Our accounts receivable balance at February 1, 2025 is concentrated in our wholesale businesses, which sell primarily to department stores and independent retailers across the United States. In the wholesale businesses, one customer accounted for 27%, one customer accounted for 19%, one customer accounted for 11% and one customer accounted for 10% of our total trade receivables balance, while no other customer accounted for more than 7% of our total trade receivables balance as of February 1, 2025. We monitor the credit quality of our customers and establish an allowance for doubtful accounts based upon factors surrounding credit risk of specific customers, historical trends and other information, as well as customer specific factors; however, credit risk is affected by conditions or occurrences within the economy and the retail industry, as well as company-specific information.</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Foreign Currency Exchange Risk – We are exposed to translation risk because certain of our foreign operations utilize the local currency as their functional currency and those financial results must be translated into United States dollars. As currency exchange rates fluctuate, translation of our financial statements of foreign businesses into United States dollars affects the comparability of financial results between years. Schuh Group's net sales and operating income for Fiscal 2025 were positively impacted by $9.0 million and $0.2 million, respectively, due to the change in foreign exchange rates.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Accounting Principles</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Descriptions of recently issued accounting pronouncements, if any, and the accounting pronouncements adopted by us during Fiscal 2025 are included in Note 2, "New Accounting Pronouncements", to the Consolidated Financial Statements included in Item 8, "Financial Statements and Supplementary Data".</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Inventory Valuation</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our footwear wholesale operations and our Schuh Group segment, cost for inventory that we own is determined using the first-in, first-out ("FIFO") method. Net realizable value is determined using a system of analysis which evaluates inventory at the stock number level based on factors such as inventory turn, average selling price, inventory level, and selling prices reflected in future orders for footwear wholesale. We provide a valuation allowance when the inventory has not been marked down to net realizable value based on current selling prices or when the inventory is not turning and is not expected to turn at satisfactory levels.</w:t>
      </w:r>
    </w:p>
    <w:p>
      <w:pPr>
        <w:spacing w:after="0" w:line="1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our retail operations, other than the Schuh Group segment, we employ the retail inventory method, applying average cost-to-retail ratios to the retail value of inventories. Under the retail inventory method, valuing inventory at the lower of cost or market is achieved as markdowns are taken or accrued as a reduction of the retail value of inventories.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9" w:name="page40"/>
    <w:bookmarkEnd w:id="39"/>
    <w:p>
      <w:pPr>
        <w:spacing w:after="0" w:line="3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Inherent in the retail inventory method are subjective judgments and estimates about the recoverability of the inventory and its market value, including merchandise mark-on, markups, markdowns and shrinkage. These judgments and estimates, coupled with the fact that the retail inventory method is an averaging process, could produce a range of cost figures. To reduce the risk of inaccuracy and to ensure consistent presentation, we employ the retail inventory method in multiple subclasses of inventory with similar gross margins. We analyze markdown requirements at the stock number level based on factors such as inventory</w:t>
      </w:r>
    </w:p>
    <w:p>
      <w:pPr>
        <w:spacing w:after="0" w:line="1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turn, average selling price and inventory age and we accrue markdowns as necessary. These additional markdown accruals reflect all of the above factors as well as current agreements to return products to vendors and vendor agreements to provide markdown support. In addition to markdown allowances, we maintain reserves for shrinkage and damaged goods based on historical rates.</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Inherent in the analysis of both wholesale and retail inventory valuation are subjective judgments about current market conditions, fashion trends and overall economic conditions as well as expectations surrounding future sales. Failure to make appropriate conclusions regarding these factors may result in an overstatement or understatement of inventory value. A change of 10% from the recorded amounts for markdowns, shrinkage and damaged goods would have changed inventory by $0.9 million at February 1, 2025.</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Impairment of Long-Lived Assets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periodically assess the recoverability of our long-lived assets, other than goodwill, and evaluate such assets for impairment whenever events or changes in circumstances indicate that the carrying amount of an asset may not be recoverable. Asset impairment is determined to exist if an asset's fair value is less than the carrying amount. Fair value of our long-lived assets is determined by estimated future cash flows, undiscounted and without interest charges, and comparable market rents. Inherent in the analysis of impairment are subjective judgments about future cash flows. Failure to make appropriate conclusions regarding these judgments may result in an overstatement or understatement of the value of long-lived assets.</w:t>
      </w:r>
    </w:p>
    <w:p>
      <w:pPr>
        <w:spacing w:after="0" w:line="14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annually assess our goodwill and indefinite lived trademarks for impairment and on an interim basis if indicators of impairment are present. Our annual assessment date of goodwill and indefinite lived trade names is the first day of the fourth quarter.</w:t>
      </w:r>
    </w:p>
    <w:p>
      <w:pPr>
        <w:spacing w:after="0" w:line="13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accordance with ASC 350, "Intangibles - Goodwill and Other" ("ASC 350") we have the option first to assess qualitative factors to determine whether events and circumstances indicate that it is more likely than not that goodwill is impaired. If, after such assessment, we conclude that the asset is not impaired, no further action is required. However, if we conclude otherwise, we are required to determine the fair value of the asset using a quantitative impairment test. The quantitative impairment test for goodwill compares the fair value of each reporting unit with the carrying value of the reporting unit with which the goodwill is associated. If the fair value of the reporting unit is less than the carrying value of the reporting unit, an impairment charge would be recorded for the amount, if any, in which the carrying value exceeds the reporting unit's fair value. We estimate fair value using the best information available, and compute the fair value derived by a combination of the market and income approach. The market approach is based on observed market data of comparable companies to determine fair value. The income approach utilizes a projection of a reporting unit’s estimated operating results and cash flows that are discounted using a weighted-average cost of capital that reflects current market conditions. A key assumption in our fair value estimate is the weighted average cost of capital utilized for discounting our cash flow projections in our income approach. The projection uses our best estimates of economic and market conditions over the projected period including growth rates in sales, costs, estimates of future expected changes in operating margins and cash expenditures. Other significant estimates and assumptions include terminal value growth rates, future estimates of capital expenditures and changes in future working capital requirements. For additional information regarding impairment of long-lived assets, see Item 8, Note 3, "Goodwill and Other Intangible Assets" and Note 4,"Asset Impairments and Other Charges" to our Consolidated Financial Statements included in this Annual Report on Form 10-K.</w:t>
      </w:r>
    </w:p>
    <w:p>
      <w:pPr>
        <w:spacing w:after="0" w:line="15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quantitative impairment test for indefinite lived trademarks compares the fair value of the trademark with the carrying value of the related trademark. If the fair value of the trademark is less than the carrying value of the trademark, an impairment charge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0" w:name="page41"/>
    <w:bookmarkEnd w:id="40"/>
    <w:p>
      <w:pPr>
        <w:spacing w:after="0" w:line="3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would be recorded for the amount, if any, in which the carrying value exceeds the trademark’s fair value. We estimate fair value using the best information available, and compute the fair value using an income approach that estimates the savings that the trademark owner would realize from owning that asset instead of having to pay rent or a royalty for the use of it. Key assumptions in our fair value estimate are the selected royalty rate and discount rate. Other significant estimates and assumptions include terminal value growth rates and future profitability expectations.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accordance with ASU 2014-09, "Revenue from Contracts with Customers (Topic 606)" ("ASC 606"), revenue shall be recognized upon satisfaction of all contractual performance obligations and transfer of control to the customer. Revenue is measured as the amount of consideration we expect to be entitled to in exchange for corresponding goods. Substantially all of our sales are single performance obligation arrangements for retail sale transactions for which the transaction price is equivalent to the stated price of the product, net of any stated discounts applicable at a point in time. Each sales transaction results in an implicit contract with the customer to deliver a product at the point of sale. Revenue from retail sales is recognized at the point of sale, is net of estimated returns, and excludes sales and value added taxes. Revenue from catalog and internet sales is recognized at estimated time of delivery to the customer, is net of estimated returns, and excludes sales and value added taxes. Wholesale revenue is recorded net of estimated returns and allowances for markdowns, damages and miscellaneous claims when the related goods have been shipped and legal title has passed to the customer. Actual amounts of markdowns have not differed materially from estimates. Shipping and handling costs charged to customers are included in net sales. We elected the practical expedient within ASC 606 related to taxes that are assessed by a governmental authority, which allows for the exclusion of sales and value added tax from transaction price.</w:t>
      </w:r>
    </w:p>
    <w:p>
      <w:pPr>
        <w:spacing w:after="0" w:line="16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Revenue from gift cards is deferred and recognized upon the redemption of the cards. These cards have no expiration date. Income from unredeemed cards is recognized in our Consolidated Statements of Operations within net sales in proportion to the pattern of rights exercised by the customer in future periods. We perform an evaluation of historical redemption patterns from the date of original issuance to estimate future period redemption activity.</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part of the process of preparing our Consolidated Financial Statements, we are required to estimate our income taxes in each of the tax jurisdictions in which we operate. This process involves estimating actual current tax obligations together with assessing temporary differences resulting from differing treatment of certain items for tax and accounting purposes, such as depreciation of property and equipment and valuation of inventories. These temporary differences result in deferred tax assets and liabilities, which are included within our Consolidated Balance Sheets. We then assess the likelihood that our deferred tax assets will be recovered from future taxable income. Actual results could differ from this assessment if adequate taxable income is not generated in future periods. To the extent it is more likely than not that some portion or all of a deferred asset will not be realized, valuation allowances are established. To the extent valuation allowances are established or increased in a period, we include an expense within the tax provision in our Consolidated Statements of Operations. These deferred tax valuation allowances may be released in future years when we consider that it is more likely than not that some portion or all of the deferred tax assets will be realized. In making such a determination, we will need to periodically evaluate whether or not all available evidence, such as future taxable income and reversal of temporary differences, tax planning strategies, and recent results of operations, provides sufficient positive evidence to offset any other negative evidence that may exist at such time. In the event the deferred tax valuation allowance is released, we would record an income tax benefit for a portion or all of the deferred tax valuation allowance released. At February 1, 2025, we had a deferred tax valuation allowance of $72.4 million.</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1" w:name="page42"/>
    <w:bookmarkEnd w:id="41"/>
    <w:p>
      <w:pPr>
        <w:spacing w:after="0" w:line="3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Income tax reserves for uncertain tax positions are determined using the methodology required by the Accounting Standards Codification (“ASC”) Income Tax Topic, ("ASC 740"). This methodology requires companies to assess each income tax position taken using a two-step process. A determination is first made as to whether it is more likely than not that the position will be sustained, based upon the technical merits, upon examination by the taxing authorities. If the tax position is expected to meet the more likely than not criteria, the benefit recorded for the tax position equals the largest amount that is greater than 50% likely to be realized upon ultimate settlement of the respective tax position. Uncertain tax positions require determinations and estimated liabilities to be made based on provisions of the tax law which may be subject to change or varying interpretation. If our determinations and estimates prove to be inaccurate, the resulting adjustments could be material to our future financial results. See Item 8, Note 11, "Income Taxes", to our Consolidated Financial Statements included in this Annual Report on Form 10-K for additional information related to income taxes.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7A. QUANTITATIVE AND QUALITATIVE DISCLOSURES ABOUT MARKET RISK</w:t>
      </w:r>
    </w:p>
    <w:p>
      <w:pPr>
        <w:spacing w:after="0" w:line="189"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We incorporate by reference the information regarding market risk appearing under the heading “Financial Market Risk” in Item 7, "Management’s Discussion and Analysis of Financial Condition and Results of Operations."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2" w:name="page43"/>
    <w:bookmarkEnd w:id="42"/>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8. FINANCIAL STATEMENTS AND SUPPLEMENTARY DATA</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INDEX TO FINANCIAL STATEMENTS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0" w:type="dxa"/>
            <w:vAlign w:val="bottom"/>
          </w:tcPr>
          <w:p>
            <w:pPr>
              <w:spacing w:after="0"/>
              <w:rPr>
                <w:sz w:val="15"/>
                <w:szCs w:val="15"/>
                <w:color w:val="auto"/>
              </w:rPr>
            </w:pPr>
          </w:p>
        </w:tc>
        <w:tc>
          <w:tcPr>
            <w:tcW w:w="9740" w:type="dxa"/>
            <w:vAlign w:val="bottom"/>
            <w:gridSpan w:val="8"/>
            <w:vMerge w:val="restart"/>
          </w:tcPr>
          <w:p>
            <w:pPr>
              <w:spacing w:after="0"/>
              <w:rPr>
                <w:sz w:val="20"/>
                <w:szCs w:val="20"/>
                <w:color w:val="auto"/>
              </w:rPr>
            </w:pPr>
            <w:r>
              <w:rPr>
                <w:rFonts w:ascii="Times New Roman" w:cs="Times New Roman" w:eastAsia="Times New Roman" w:hAnsi="Times New Roman"/>
                <w:sz w:val="18"/>
                <w:szCs w:val="18"/>
                <w:color w:val="0000FF"/>
              </w:rPr>
              <w:t>Report of Independent Registered Public Accounting Firm on Internal Control over Financial Reporting</w:t>
            </w:r>
          </w:p>
        </w:tc>
        <w:tc>
          <w:tcPr>
            <w:tcW w:w="142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i w:val="1"/>
                <w:iCs w:val="1"/>
                <w:color w:val="auto"/>
              </w:rPr>
              <w:t>Page</w:t>
            </w:r>
          </w:p>
        </w:tc>
        <w:tc>
          <w:tcPr>
            <w:tcW w:w="0" w:type="dxa"/>
            <w:vAlign w:val="bottom"/>
          </w:tcPr>
          <w:p>
            <w:pPr>
              <w:spacing w:after="0"/>
              <w:rPr>
                <w:sz w:val="1"/>
                <w:szCs w:val="1"/>
                <w:color w:val="auto"/>
              </w:rPr>
            </w:pPr>
          </w:p>
        </w:tc>
      </w:tr>
      <w:tr>
        <w:trPr>
          <w:trHeight w:val="169"/>
        </w:trPr>
        <w:tc>
          <w:tcPr>
            <w:tcW w:w="80" w:type="dxa"/>
            <w:vAlign w:val="bottom"/>
          </w:tcPr>
          <w:p>
            <w:pPr>
              <w:spacing w:after="0"/>
              <w:rPr>
                <w:sz w:val="14"/>
                <w:szCs w:val="14"/>
                <w:color w:val="auto"/>
              </w:rPr>
            </w:pPr>
          </w:p>
        </w:tc>
        <w:tc>
          <w:tcPr>
            <w:tcW w:w="9740" w:type="dxa"/>
            <w:vAlign w:val="bottom"/>
            <w:gridSpan w:val="8"/>
            <w:vMerge w:val="continue"/>
          </w:tcPr>
          <w:p>
            <w:pPr>
              <w:spacing w:after="0"/>
              <w:rPr>
                <w:sz w:val="14"/>
                <w:szCs w:val="14"/>
                <w:color w:val="auto"/>
              </w:rPr>
            </w:pPr>
          </w:p>
        </w:tc>
        <w:tc>
          <w:tcPr>
            <w:tcW w:w="142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3140" w:type="dxa"/>
            <w:vAlign w:val="bottom"/>
            <w:shd w:val="clear" w:color="auto" w:fill="0000FF"/>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2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 w:type="dxa"/>
            <w:vAlign w:val="bottom"/>
          </w:tcPr>
          <w:p>
            <w:pPr>
              <w:spacing w:after="0"/>
              <w:rPr>
                <w:sz w:val="17"/>
                <w:szCs w:val="17"/>
                <w:color w:val="auto"/>
              </w:rPr>
            </w:pPr>
          </w:p>
        </w:tc>
        <w:tc>
          <w:tcPr>
            <w:tcW w:w="974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FF"/>
              </w:rPr>
              <w:t>Report of Independent Registered Public Accounting Firm on the Financial Statements (PCAOB ID: 42)</w:t>
            </w:r>
          </w:p>
        </w:tc>
        <w:tc>
          <w:tcPr>
            <w:tcW w:w="1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3140" w:type="dxa"/>
            <w:vAlign w:val="bottom"/>
            <w:shd w:val="clear" w:color="auto" w:fill="0000FF"/>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gridSpan w:val="2"/>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 w:type="dxa"/>
            <w:vAlign w:val="bottom"/>
          </w:tcPr>
          <w:p>
            <w:pPr>
              <w:spacing w:after="0"/>
              <w:rPr>
                <w:sz w:val="17"/>
                <w:szCs w:val="17"/>
                <w:color w:val="auto"/>
              </w:rPr>
            </w:pPr>
          </w:p>
        </w:tc>
        <w:tc>
          <w:tcPr>
            <w:tcW w:w="974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FF"/>
              </w:rPr>
              <w:t>Consolidated Balance Sheets, February 1, 2025 and February 3, 2024</w:t>
            </w:r>
          </w:p>
        </w:tc>
        <w:tc>
          <w:tcPr>
            <w:tcW w:w="1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0"/>
        </w:trPr>
        <w:tc>
          <w:tcPr>
            <w:tcW w:w="80" w:type="dxa"/>
            <w:vAlign w:val="bottom"/>
            <w:tcBorders>
              <w:right w:val="single" w:sz="8" w:color="0000FF"/>
            </w:tcBorders>
          </w:tcPr>
          <w:p>
            <w:pPr>
              <w:spacing w:after="0" w:line="20" w:lineRule="exact"/>
              <w:rPr>
                <w:sz w:val="1"/>
                <w:szCs w:val="1"/>
                <w:color w:val="auto"/>
              </w:rPr>
            </w:pPr>
          </w:p>
        </w:tc>
        <w:tc>
          <w:tcPr>
            <w:tcW w:w="3140" w:type="dxa"/>
            <w:vAlign w:val="bottom"/>
            <w:shd w:val="clear" w:color="auto" w:fill="0000EE"/>
          </w:tcPr>
          <w:p>
            <w:pPr>
              <w:spacing w:after="0" w:line="20" w:lineRule="exact"/>
              <w:rPr>
                <w:sz w:val="1"/>
                <w:szCs w:val="1"/>
                <w:color w:val="auto"/>
              </w:rPr>
            </w:pPr>
          </w:p>
        </w:tc>
        <w:tc>
          <w:tcPr>
            <w:tcW w:w="1880" w:type="dxa"/>
            <w:vAlign w:val="bottom"/>
            <w:shd w:val="clear" w:color="auto" w:fill="0000EE"/>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 w:type="dxa"/>
            <w:vAlign w:val="bottom"/>
          </w:tcPr>
          <w:p>
            <w:pPr>
              <w:spacing w:after="0"/>
              <w:rPr>
                <w:sz w:val="17"/>
                <w:szCs w:val="17"/>
                <w:color w:val="auto"/>
              </w:rPr>
            </w:pPr>
          </w:p>
        </w:tc>
        <w:tc>
          <w:tcPr>
            <w:tcW w:w="974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FF"/>
              </w:rPr>
              <w:t>Consolidated Statements of Operations, each of the three fiscal years ended 2025, 2024 and 2023</w:t>
            </w:r>
          </w:p>
        </w:tc>
        <w:tc>
          <w:tcPr>
            <w:tcW w:w="1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0"/>
        </w:trPr>
        <w:tc>
          <w:tcPr>
            <w:tcW w:w="80" w:type="dxa"/>
            <w:vAlign w:val="bottom"/>
            <w:tcBorders>
              <w:right w:val="single" w:sz="8" w:color="0000FF"/>
            </w:tcBorders>
          </w:tcPr>
          <w:p>
            <w:pPr>
              <w:spacing w:after="0" w:line="20" w:lineRule="exact"/>
              <w:rPr>
                <w:sz w:val="1"/>
                <w:szCs w:val="1"/>
                <w:color w:val="auto"/>
              </w:rPr>
            </w:pPr>
          </w:p>
        </w:tc>
        <w:tc>
          <w:tcPr>
            <w:tcW w:w="3140" w:type="dxa"/>
            <w:vAlign w:val="bottom"/>
            <w:shd w:val="clear" w:color="auto" w:fill="0000EE"/>
          </w:tcPr>
          <w:p>
            <w:pPr>
              <w:spacing w:after="0" w:line="20" w:lineRule="exact"/>
              <w:rPr>
                <w:sz w:val="1"/>
                <w:szCs w:val="1"/>
                <w:color w:val="auto"/>
              </w:rPr>
            </w:pPr>
          </w:p>
        </w:tc>
        <w:tc>
          <w:tcPr>
            <w:tcW w:w="352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 w:type="dxa"/>
            <w:vAlign w:val="bottom"/>
          </w:tcPr>
          <w:p>
            <w:pPr>
              <w:spacing w:after="0"/>
              <w:rPr>
                <w:sz w:val="17"/>
                <w:szCs w:val="17"/>
                <w:color w:val="auto"/>
              </w:rPr>
            </w:pPr>
          </w:p>
        </w:tc>
        <w:tc>
          <w:tcPr>
            <w:tcW w:w="974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FF"/>
              </w:rPr>
              <w:t>Consolidated Statements of Comprehensive Income (Loss), each of the three fiscal years ended 2025, 2024 and 2023</w:t>
            </w:r>
          </w:p>
        </w:tc>
        <w:tc>
          <w:tcPr>
            <w:tcW w:w="1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0"/>
        </w:trPr>
        <w:tc>
          <w:tcPr>
            <w:tcW w:w="80" w:type="dxa"/>
            <w:vAlign w:val="bottom"/>
            <w:tcBorders>
              <w:right w:val="single" w:sz="8" w:color="0000FF"/>
            </w:tcBorders>
          </w:tcPr>
          <w:p>
            <w:pPr>
              <w:spacing w:after="0" w:line="20" w:lineRule="exact"/>
              <w:rPr>
                <w:sz w:val="1"/>
                <w:szCs w:val="1"/>
                <w:color w:val="auto"/>
              </w:rPr>
            </w:pPr>
          </w:p>
        </w:tc>
        <w:tc>
          <w:tcPr>
            <w:tcW w:w="3140" w:type="dxa"/>
            <w:vAlign w:val="bottom"/>
            <w:shd w:val="clear" w:color="auto" w:fill="0000EE"/>
          </w:tcPr>
          <w:p>
            <w:pPr>
              <w:spacing w:after="0" w:line="20" w:lineRule="exact"/>
              <w:rPr>
                <w:sz w:val="1"/>
                <w:szCs w:val="1"/>
                <w:color w:val="auto"/>
              </w:rPr>
            </w:pPr>
          </w:p>
        </w:tc>
        <w:tc>
          <w:tcPr>
            <w:tcW w:w="352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gridSpan w:val="2"/>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 w:type="dxa"/>
            <w:vAlign w:val="bottom"/>
          </w:tcPr>
          <w:p>
            <w:pPr>
              <w:spacing w:after="0"/>
              <w:rPr>
                <w:sz w:val="17"/>
                <w:szCs w:val="17"/>
                <w:color w:val="auto"/>
              </w:rPr>
            </w:pPr>
          </w:p>
        </w:tc>
        <w:tc>
          <w:tcPr>
            <w:tcW w:w="974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FF"/>
              </w:rPr>
              <w:t>Consolidated Statements of Cash Flows, each of the three fiscal years ended 2025, 2024 and 2023</w:t>
            </w:r>
          </w:p>
        </w:tc>
        <w:tc>
          <w:tcPr>
            <w:tcW w:w="1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0"/>
        </w:trPr>
        <w:tc>
          <w:tcPr>
            <w:tcW w:w="80" w:type="dxa"/>
            <w:vAlign w:val="bottom"/>
            <w:tcBorders>
              <w:right w:val="single" w:sz="8" w:color="0000EE"/>
            </w:tcBorders>
          </w:tcPr>
          <w:p>
            <w:pPr>
              <w:spacing w:after="0" w:line="20" w:lineRule="exact"/>
              <w:rPr>
                <w:sz w:val="1"/>
                <w:szCs w:val="1"/>
                <w:color w:val="auto"/>
              </w:rPr>
            </w:pPr>
          </w:p>
        </w:tc>
        <w:tc>
          <w:tcPr>
            <w:tcW w:w="3140" w:type="dxa"/>
            <w:vAlign w:val="bottom"/>
            <w:shd w:val="clear" w:color="auto" w:fill="0000FF"/>
          </w:tcPr>
          <w:p>
            <w:pPr>
              <w:spacing w:after="0" w:line="20" w:lineRule="exact"/>
              <w:rPr>
                <w:sz w:val="1"/>
                <w:szCs w:val="1"/>
                <w:color w:val="auto"/>
              </w:rPr>
            </w:pPr>
          </w:p>
        </w:tc>
        <w:tc>
          <w:tcPr>
            <w:tcW w:w="352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700" w:type="dxa"/>
            <w:vAlign w:val="bottom"/>
            <w:gridSpan w:val="4"/>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 w:type="dxa"/>
            <w:vAlign w:val="bottom"/>
          </w:tcPr>
          <w:p>
            <w:pPr>
              <w:spacing w:after="0"/>
              <w:rPr>
                <w:sz w:val="17"/>
                <w:szCs w:val="17"/>
                <w:color w:val="auto"/>
              </w:rPr>
            </w:pPr>
          </w:p>
        </w:tc>
        <w:tc>
          <w:tcPr>
            <w:tcW w:w="974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FF"/>
              </w:rPr>
              <w:t>Consolidated Statements of Equity, each of the three fiscal years ended 2025, 2024 and 2023</w:t>
            </w:r>
          </w:p>
        </w:tc>
        <w:tc>
          <w:tcPr>
            <w:tcW w:w="1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0"/>
        </w:trPr>
        <w:tc>
          <w:tcPr>
            <w:tcW w:w="80" w:type="dxa"/>
            <w:vAlign w:val="bottom"/>
            <w:tcBorders>
              <w:right w:val="single" w:sz="8" w:color="0000EE"/>
            </w:tcBorders>
          </w:tcPr>
          <w:p>
            <w:pPr>
              <w:spacing w:after="0" w:line="20" w:lineRule="exact"/>
              <w:rPr>
                <w:sz w:val="1"/>
                <w:szCs w:val="1"/>
                <w:color w:val="auto"/>
              </w:rPr>
            </w:pPr>
          </w:p>
        </w:tc>
        <w:tc>
          <w:tcPr>
            <w:tcW w:w="3140" w:type="dxa"/>
            <w:vAlign w:val="bottom"/>
            <w:shd w:val="clear" w:color="auto" w:fill="0000FF"/>
          </w:tcPr>
          <w:p>
            <w:pPr>
              <w:spacing w:after="0" w:line="20" w:lineRule="exact"/>
              <w:rPr>
                <w:sz w:val="1"/>
                <w:szCs w:val="1"/>
                <w:color w:val="auto"/>
              </w:rPr>
            </w:pPr>
          </w:p>
        </w:tc>
        <w:tc>
          <w:tcPr>
            <w:tcW w:w="3520" w:type="dxa"/>
            <w:vAlign w:val="bottom"/>
            <w:gridSpan w:val="2"/>
            <w:shd w:val="clear" w:color="auto" w:fill="0000FF"/>
          </w:tcPr>
          <w:p>
            <w:pPr>
              <w:spacing w:after="0" w:line="20" w:lineRule="exact"/>
              <w:rPr>
                <w:sz w:val="1"/>
                <w:szCs w:val="1"/>
                <w:color w:val="auto"/>
              </w:rPr>
            </w:pPr>
          </w:p>
        </w:tc>
        <w:tc>
          <w:tcPr>
            <w:tcW w:w="3080" w:type="dxa"/>
            <w:vAlign w:val="bottom"/>
            <w:gridSpan w:val="5"/>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 w:type="dxa"/>
            <w:vAlign w:val="bottom"/>
          </w:tcPr>
          <w:p>
            <w:pPr>
              <w:spacing w:after="0"/>
              <w:rPr>
                <w:sz w:val="17"/>
                <w:szCs w:val="17"/>
                <w:color w:val="auto"/>
              </w:rPr>
            </w:pPr>
          </w:p>
        </w:tc>
        <w:tc>
          <w:tcPr>
            <w:tcW w:w="974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1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668"/>
        </w:trPr>
        <w:tc>
          <w:tcPr>
            <w:tcW w:w="80" w:type="dxa"/>
            <w:vAlign w:val="bottom"/>
          </w:tcPr>
          <w:p>
            <w:pPr>
              <w:spacing w:after="0"/>
              <w:rPr>
                <w:sz w:val="24"/>
                <w:szCs w:val="24"/>
                <w:color w:val="auto"/>
              </w:rPr>
            </w:pPr>
          </w:p>
        </w:tc>
        <w:tc>
          <w:tcPr>
            <w:tcW w:w="3140" w:type="dxa"/>
            <w:vAlign w:val="bottom"/>
            <w:tcBorders>
              <w:top w:val="single" w:sz="8" w:color="0000FF"/>
            </w:tcBorders>
          </w:tcPr>
          <w:p>
            <w:pPr>
              <w:spacing w:after="0"/>
              <w:rPr>
                <w:sz w:val="24"/>
                <w:szCs w:val="24"/>
                <w:color w:val="auto"/>
              </w:rPr>
            </w:pPr>
          </w:p>
        </w:tc>
        <w:tc>
          <w:tcPr>
            <w:tcW w:w="3520" w:type="dxa"/>
            <w:vAlign w:val="bottom"/>
            <w:gridSpan w:val="2"/>
          </w:tcPr>
          <w:p>
            <w:pPr>
              <w:jc w:val="right"/>
              <w:ind w:right="1020"/>
              <w:spacing w:after="0"/>
              <w:rPr>
                <w:sz w:val="20"/>
                <w:szCs w:val="20"/>
                <w:color w:val="auto"/>
              </w:rPr>
            </w:pPr>
            <w:r>
              <w:rPr>
                <w:rFonts w:ascii="Times New Roman" w:cs="Times New Roman" w:eastAsia="Times New Roman" w:hAnsi="Times New Roman"/>
                <w:sz w:val="18"/>
                <w:szCs w:val="18"/>
                <w:color w:val="auto"/>
              </w:rPr>
              <w:t>43</w:t>
            </w: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80" w:type="dxa"/>
            <w:vAlign w:val="bottom"/>
            <w:tcBorders>
              <w:bottom w:val="single" w:sz="8" w:color="9A9A9A"/>
            </w:tcBorders>
          </w:tcPr>
          <w:p>
            <w:pPr>
              <w:spacing w:after="0"/>
              <w:rPr>
                <w:sz w:val="24"/>
                <w:szCs w:val="24"/>
                <w:color w:val="auto"/>
              </w:rPr>
            </w:pPr>
          </w:p>
        </w:tc>
        <w:tc>
          <w:tcPr>
            <w:tcW w:w="3140" w:type="dxa"/>
            <w:vAlign w:val="bottom"/>
            <w:tcBorders>
              <w:bottom w:val="single" w:sz="8" w:color="9A9A9A"/>
            </w:tcBorders>
          </w:tcPr>
          <w:p>
            <w:pPr>
              <w:spacing w:after="0"/>
              <w:rPr>
                <w:sz w:val="24"/>
                <w:szCs w:val="24"/>
                <w:color w:val="auto"/>
              </w:rPr>
            </w:pPr>
          </w:p>
        </w:tc>
        <w:tc>
          <w:tcPr>
            <w:tcW w:w="188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3" w:name="page44"/>
    <w:bookmarkEnd w:id="43"/>
    <w:p>
      <w:pPr>
        <w:spacing w:after="0" w:line="136"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the Shareholders and the Board of Directors of Genesco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audited Genesco Inc. and Subsidiaries’ internal control over financial reporting as of February 1, 2025, based on criteria established in Internal Control—Integrated Framework issued by the Committee of Sponsoring Organizations of the Treadway Commission (2013 framework) (the COSO criteria). In our opinion, Genesco Inc. and Subsidiaries (the Company) maintained, in all material respects, effective internal control over financial reporting as of February 1, 2025, based on the COSO criteria.</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consolidated balance sheets of Genesco Inc. and Subsidiaries as of February 1, 2025 and February 3, 2024, the related consolidated statements of operations, comprehensive income (loss), cash flows, and equity for each of the three fiscal years in the period ended February 1, 2025, and the related notes and financial statement schedule listed in the Index at Item 15, and our report dated March 26, 2025 expressed an unqualified opinion thereon.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Nashville, Tennessee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26, 2025</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4" w:name="page45"/>
    <w:bookmarkEnd w:id="44"/>
    <w:p>
      <w:pPr>
        <w:spacing w:after="0" w:line="136"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the Shareholders and the Board of Directors of Genesco Inc.</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We have audited the accompanying consolidated balance sheets of Genesco Inc. (the Company) </w:t>
      </w:r>
      <w:r>
        <w:rPr>
          <w:rFonts w:ascii="Times New Roman" w:cs="Times New Roman" w:eastAsia="Times New Roman" w:hAnsi="Times New Roman"/>
          <w:sz w:val="18"/>
          <w:szCs w:val="18"/>
          <w:color w:val="333333"/>
        </w:rPr>
        <w:t>as of February 1, 2025 and February 3, 2024, the related</w:t>
      </w:r>
      <w:r>
        <w:rPr>
          <w:rFonts w:ascii="Times New Roman" w:cs="Times New Roman" w:eastAsia="Times New Roman" w:hAnsi="Times New Roman"/>
          <w:sz w:val="18"/>
          <w:szCs w:val="18"/>
          <w:color w:val="auto"/>
        </w:rPr>
        <w:t xml:space="preserve"> consolidated </w:t>
      </w:r>
      <w:r>
        <w:rPr>
          <w:rFonts w:ascii="Times New Roman" w:cs="Times New Roman" w:eastAsia="Times New Roman" w:hAnsi="Times New Roman"/>
          <w:sz w:val="18"/>
          <w:szCs w:val="18"/>
          <w:color w:val="333333"/>
        </w:rPr>
        <w:t>statements of operations, comprehensive income (loss), cash flows, and equity for each of the three fiscal years in the period ended February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333333"/>
        </w:rPr>
        <w:t>1, 2025, and the related notes and financial statement schedule listed in the Index at Item 15 (collectively referred to as the “</w:t>
      </w:r>
      <w:r>
        <w:rPr>
          <w:rFonts w:ascii="Times New Roman" w:cs="Times New Roman" w:eastAsia="Times New Roman" w:hAnsi="Times New Roman"/>
          <w:sz w:val="18"/>
          <w:szCs w:val="18"/>
          <w:color w:val="000000"/>
        </w:rPr>
        <w:t>consolidated</w:t>
      </w:r>
      <w:r>
        <w:rPr>
          <w:rFonts w:ascii="Times New Roman" w:cs="Times New Roman" w:eastAsia="Times New Roman" w:hAnsi="Times New Roman"/>
          <w:sz w:val="18"/>
          <w:szCs w:val="18"/>
          <w:color w:val="333333"/>
        </w:rPr>
        <w:t xml:space="preserve"> financial statements”). In our opinion, the </w:t>
      </w:r>
      <w:r>
        <w:rPr>
          <w:rFonts w:ascii="Times New Roman" w:cs="Times New Roman" w:eastAsia="Times New Roman" w:hAnsi="Times New Roman"/>
          <w:sz w:val="18"/>
          <w:szCs w:val="18"/>
          <w:color w:val="000000"/>
        </w:rPr>
        <w:t>consolidated</w:t>
      </w:r>
      <w:r>
        <w:rPr>
          <w:rFonts w:ascii="Times New Roman" w:cs="Times New Roman" w:eastAsia="Times New Roman" w:hAnsi="Times New Roman"/>
          <w:sz w:val="18"/>
          <w:szCs w:val="18"/>
          <w:color w:val="333333"/>
        </w:rPr>
        <w:t xml:space="preserve"> financial statements present fairly, in all material respects, the financial position of the Company at February 1, 2025 and February 3, 2024, and the results of its operations and its cash flows for each of the three years in the period ended February 1, 2025, in conformity with U.S. generally accepted accounting principles.</w:t>
      </w:r>
    </w:p>
    <w:p>
      <w:pPr>
        <w:spacing w:after="0" w:line="19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Company's internal control over financial reporting as of February 1, 2025, based on criteria established in Internal Control-Integrated Framework issued by the Committee of Sponsoring Organizations of the Treadway Commission (2013 framework), and our report dated March 26, 2025 expressed an unqualified opinion thereon.</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 or disclosure to which it relates.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5" w:name="page46"/>
    <w:bookmarkEnd w:id="45"/>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Description of the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20"/>
        <w:spacing w:after="0" w:line="284" w:lineRule="auto"/>
        <w:rPr>
          <w:sz w:val="20"/>
          <w:szCs w:val="20"/>
          <w:color w:val="auto"/>
        </w:rPr>
      </w:pPr>
      <w:r>
        <w:rPr>
          <w:rFonts w:ascii="Times New Roman" w:cs="Times New Roman" w:eastAsia="Times New Roman" w:hAnsi="Times New Roman"/>
          <w:sz w:val="18"/>
          <w:szCs w:val="18"/>
          <w:i w:val="1"/>
          <w:iCs w:val="1"/>
          <w:color w:val="auto"/>
        </w:rPr>
        <w:t>How We Addressed the Matter in Our Audit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0" w:lineRule="exact"/>
        <w:rPr>
          <w:sz w:val="20"/>
          <w:szCs w:val="20"/>
          <w:color w:val="auto"/>
        </w:rPr>
      </w:pPr>
      <w:r>
        <w:rPr>
          <w:sz w:val="20"/>
          <w:szCs w:val="20"/>
          <w:color w:val="auto"/>
        </w:rPr>
        <w:br w:type="column"/>
      </w: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Valuation of Journeys Group Inventory - Markdown Allowances</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During the fiscal year ended February 1, 2025, the net inventory balance was $425.2 million, of which $342.4 million related to retail merchandise inventory, which includes Journeys Group inventory. As more fully described in Note 1 to the consolidated financial statements, the valuation of retail inventory requires management to make judgements and estimates about the recoverability of the inventory and its market value. The Company establishes an inventory valuation allowance for expected markdowns. The Journeys Group analyses of the inventory markdown allowance includes consideration of inventory turn, average selling price, inventory age, vendor agreements, current market conditions, fashion trends and overall economic conditions.</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Auditing the Company’s analyses to determine its inventory markdown allowance for Journeys Group was complex due to the estimation uncertainty in determining the future sales of the Company’s inventory, which are impacted by a number of factors that are affected by conditions outside the Company’s control, such as current market conditions, fashion trends and overall economic conditions.</w:t>
      </w:r>
    </w:p>
    <w:p>
      <w:pPr>
        <w:spacing w:after="0" w:line="39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obtained an understanding, evaluated the design, and tested the operating effectiveness of controls over the Company’s Journeys Group inventory markdown allowance process.</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audit procedures to test the adequacy of the Journeys Group inventory markdown allowance included, among others, evaluating the appropriateness of the inputs to the inventory markdown allowance calculation, including testing the completeness and accuracy of the data used in the calculation such as historical markdown activity, inventory levels, average selling price and sales history for each subclass of inventory. We evaluated the assumptions over demand trends based on sales history and expectations of future sales. We compared actual markdown activity in recent years to the inventory markdown allowance estimated by the Journeys Group in prior years to evaluate the ability to accurately estimate the allowance. We also audited the calculation of the inventory valuation allowance by testing the mathematical accuracy. In addition, we performed inquiries of management and obtained documentation to evaluate the estimate.</w:t>
      </w:r>
    </w:p>
    <w:p>
      <w:pPr>
        <w:spacing w:after="0" w:line="812" w:lineRule="exact"/>
        <w:rPr>
          <w:sz w:val="20"/>
          <w:szCs w:val="20"/>
          <w:color w:val="auto"/>
        </w:rPr>
      </w:pPr>
    </w:p>
    <w:p>
      <w:pPr>
        <w:sectPr>
          <w:pgSz w:w="11900" w:h="16838" w:orient="portrait"/>
          <w:cols w:equalWidth="0" w:num="2">
            <w:col w:w="2020" w:space="140"/>
            <w:col w:w="9060"/>
          </w:cols>
          <w:pgMar w:left="320" w:top="1440" w:right="359" w:bottom="1440" w:gutter="0" w:footer="0" w:header="0"/>
        </w:sect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2001.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Nashville, Tennessee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26, 2025</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type w:val="continuous"/>
        </w:sectPr>
      </w:pPr>
    </w:p>
    <w:bookmarkStart w:id="46" w:name="page47"/>
    <w:bookmarkEnd w:id="46"/>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Genesco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amounts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800" w:type="dxa"/>
            <w:vAlign w:val="bottom"/>
            <w:tcBorders>
              <w:top w:val="single" w:sz="8" w:color="auto"/>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spacing w:after="0"/>
              <w:rPr>
                <w:sz w:val="19"/>
                <w:szCs w:val="19"/>
                <w:color w:val="auto"/>
              </w:rPr>
            </w:pPr>
          </w:p>
        </w:tc>
        <w:tc>
          <w:tcPr>
            <w:tcW w:w="25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As of Fiscal Year End</w:t>
            </w:r>
          </w:p>
        </w:tc>
        <w:tc>
          <w:tcPr>
            <w:tcW w:w="140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48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February 1, 2025</w:t>
            </w:r>
          </w:p>
        </w:tc>
        <w:tc>
          <w:tcPr>
            <w:tcW w:w="7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February 3, 2024</w:t>
            </w:r>
          </w:p>
        </w:tc>
        <w:tc>
          <w:tcPr>
            <w:tcW w:w="0" w:type="dxa"/>
            <w:vAlign w:val="bottom"/>
          </w:tcPr>
          <w:p>
            <w:pPr>
              <w:spacing w:after="0"/>
              <w:rPr>
                <w:sz w:val="1"/>
                <w:szCs w:val="1"/>
                <w:color w:val="auto"/>
              </w:rPr>
            </w:pPr>
          </w:p>
        </w:tc>
      </w:tr>
      <w:tr>
        <w:trPr>
          <w:trHeight w:val="209"/>
        </w:trPr>
        <w:tc>
          <w:tcPr>
            <w:tcW w:w="6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Current Assets:</w:t>
            </w:r>
          </w:p>
        </w:tc>
        <w:tc>
          <w:tcPr>
            <w:tcW w:w="480" w:type="dxa"/>
            <w:vAlign w:val="bottom"/>
            <w:shd w:val="clear" w:color="auto" w:fill="CFF0FC"/>
          </w:tcPr>
          <w:p>
            <w:pPr>
              <w:spacing w:after="0"/>
              <w:rPr>
                <w:sz w:val="18"/>
                <w:szCs w:val="18"/>
                <w:color w:val="auto"/>
              </w:rPr>
            </w:pPr>
          </w:p>
        </w:tc>
        <w:tc>
          <w:tcPr>
            <w:tcW w:w="18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18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34,007</w:t>
            </w:r>
          </w:p>
        </w:tc>
        <w:tc>
          <w:tcPr>
            <w:tcW w:w="72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35,155</w:t>
            </w:r>
          </w:p>
        </w:tc>
        <w:tc>
          <w:tcPr>
            <w:tcW w:w="0" w:type="dxa"/>
            <w:vAlign w:val="bottom"/>
          </w:tcPr>
          <w:p>
            <w:pPr>
              <w:spacing w:after="0"/>
              <w:rPr>
                <w:sz w:val="1"/>
                <w:szCs w:val="1"/>
                <w:color w:val="auto"/>
              </w:rPr>
            </w:pPr>
          </w:p>
        </w:tc>
      </w:tr>
      <w:tr>
        <w:trPr>
          <w:trHeight w:val="198"/>
        </w:trPr>
        <w:tc>
          <w:tcPr>
            <w:tcW w:w="6800" w:type="dxa"/>
            <w:vAlign w:val="bottom"/>
            <w:shd w:val="clear" w:color="auto" w:fill="CFF0FC"/>
          </w:tcPr>
          <w:p>
            <w:pPr>
              <w:ind w:left="20"/>
              <w:spacing w:after="0" w:line="198" w:lineRule="exact"/>
              <w:rPr>
                <w:sz w:val="20"/>
                <w:szCs w:val="20"/>
                <w:color w:val="auto"/>
              </w:rPr>
            </w:pPr>
            <w:r>
              <w:rPr>
                <w:rFonts w:ascii="Times New Roman" w:cs="Times New Roman" w:eastAsia="Times New Roman" w:hAnsi="Times New Roman"/>
                <w:sz w:val="18"/>
                <w:szCs w:val="18"/>
                <w:color w:val="auto"/>
              </w:rPr>
              <w:t>Accounts receivable, net of allowances of $2,522 at February 1, 2025 and $4,266 at February</w:t>
            </w:r>
          </w:p>
        </w:tc>
        <w:tc>
          <w:tcPr>
            <w:tcW w:w="480" w:type="dxa"/>
            <w:vAlign w:val="bottom"/>
            <w:shd w:val="clear" w:color="auto" w:fill="CFF0FC"/>
          </w:tcPr>
          <w:p>
            <w:pPr>
              <w:spacing w:after="0"/>
              <w:rPr>
                <w:sz w:val="17"/>
                <w:szCs w:val="17"/>
                <w:color w:val="auto"/>
              </w:rPr>
            </w:pPr>
          </w:p>
        </w:tc>
        <w:tc>
          <w:tcPr>
            <w:tcW w:w="1840" w:type="dxa"/>
            <w:vAlign w:val="bottom"/>
            <w:vMerge w:val="restart"/>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48,865</w:t>
            </w:r>
          </w:p>
        </w:tc>
        <w:tc>
          <w:tcPr>
            <w:tcW w:w="72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3, 2024</w:t>
            </w:r>
          </w:p>
        </w:tc>
        <w:tc>
          <w:tcPr>
            <w:tcW w:w="480" w:type="dxa"/>
            <w:vAlign w:val="bottom"/>
            <w:shd w:val="clear" w:color="auto" w:fill="CFF0FC"/>
          </w:tcPr>
          <w:p>
            <w:pPr>
              <w:spacing w:after="0"/>
              <w:rPr>
                <w:sz w:val="20"/>
                <w:szCs w:val="20"/>
                <w:color w:val="auto"/>
              </w:rPr>
            </w:pPr>
          </w:p>
        </w:tc>
        <w:tc>
          <w:tcPr>
            <w:tcW w:w="1840" w:type="dxa"/>
            <w:vAlign w:val="bottom"/>
            <w:vMerge w:val="continue"/>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14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53,618</w:t>
            </w:r>
          </w:p>
        </w:tc>
        <w:tc>
          <w:tcPr>
            <w:tcW w:w="0" w:type="dxa"/>
            <w:vAlign w:val="bottom"/>
          </w:tcPr>
          <w:p>
            <w:pPr>
              <w:spacing w:after="0"/>
              <w:rPr>
                <w:sz w:val="1"/>
                <w:szCs w:val="1"/>
                <w:color w:val="auto"/>
              </w:rPr>
            </w:pPr>
          </w:p>
        </w:tc>
      </w:tr>
      <w:tr>
        <w:trPr>
          <w:trHeight w:val="216"/>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Inventories</w:t>
            </w:r>
          </w:p>
        </w:tc>
        <w:tc>
          <w:tcPr>
            <w:tcW w:w="480" w:type="dxa"/>
            <w:vAlign w:val="bottom"/>
          </w:tcPr>
          <w:p>
            <w:pPr>
              <w:spacing w:after="0"/>
              <w:rPr>
                <w:sz w:val="18"/>
                <w:szCs w:val="18"/>
                <w:color w:val="auto"/>
              </w:rPr>
            </w:pPr>
          </w:p>
        </w:tc>
        <w:tc>
          <w:tcPr>
            <w:tcW w:w="18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425,224</w:t>
            </w:r>
          </w:p>
        </w:tc>
        <w:tc>
          <w:tcPr>
            <w:tcW w:w="720" w:type="dxa"/>
            <w:vAlign w:val="bottom"/>
          </w:tcPr>
          <w:p>
            <w:pPr>
              <w:spacing w:after="0"/>
              <w:rPr>
                <w:sz w:val="18"/>
                <w:szCs w:val="18"/>
                <w:color w:val="auto"/>
              </w:rPr>
            </w:pPr>
          </w:p>
        </w:tc>
        <w:tc>
          <w:tcPr>
            <w:tcW w:w="14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378,967</w:t>
            </w:r>
          </w:p>
        </w:tc>
        <w:tc>
          <w:tcPr>
            <w:tcW w:w="0" w:type="dxa"/>
            <w:vAlign w:val="bottom"/>
          </w:tcPr>
          <w:p>
            <w:pPr>
              <w:spacing w:after="0"/>
              <w:rPr>
                <w:sz w:val="1"/>
                <w:szCs w:val="1"/>
                <w:color w:val="auto"/>
              </w:rPr>
            </w:pPr>
          </w:p>
        </w:tc>
      </w:tr>
      <w:tr>
        <w:trPr>
          <w:trHeight w:val="216"/>
        </w:trPr>
        <w:tc>
          <w:tcPr>
            <w:tcW w:w="680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Prepaids and other current assets</w:t>
            </w:r>
          </w:p>
        </w:tc>
        <w:tc>
          <w:tcPr>
            <w:tcW w:w="480" w:type="dxa"/>
            <w:vAlign w:val="bottom"/>
            <w:tcBorders>
              <w:bottom w:val="single" w:sz="8" w:color="auto"/>
            </w:tcBorders>
            <w:shd w:val="clear" w:color="auto" w:fill="CFF0FC"/>
          </w:tcPr>
          <w:p>
            <w:pPr>
              <w:spacing w:after="0"/>
              <w:rPr>
                <w:sz w:val="18"/>
                <w:szCs w:val="18"/>
                <w:color w:val="auto"/>
              </w:rPr>
            </w:pPr>
          </w:p>
        </w:tc>
        <w:tc>
          <w:tcPr>
            <w:tcW w:w="184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100,660</w:t>
            </w:r>
          </w:p>
        </w:tc>
        <w:tc>
          <w:tcPr>
            <w:tcW w:w="72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39,611</w:t>
            </w:r>
          </w:p>
        </w:tc>
        <w:tc>
          <w:tcPr>
            <w:tcW w:w="0" w:type="dxa"/>
            <w:vAlign w:val="bottom"/>
          </w:tcPr>
          <w:p>
            <w:pPr>
              <w:spacing w:after="0"/>
              <w:rPr>
                <w:sz w:val="1"/>
                <w:szCs w:val="1"/>
                <w:color w:val="auto"/>
              </w:rPr>
            </w:pPr>
          </w:p>
        </w:tc>
      </w:tr>
      <w:tr>
        <w:trPr>
          <w:trHeight w:val="209"/>
        </w:trPr>
        <w:tc>
          <w:tcPr>
            <w:tcW w:w="6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48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608,756</w:t>
            </w:r>
          </w:p>
        </w:tc>
        <w:tc>
          <w:tcPr>
            <w:tcW w:w="7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507,351</w:t>
            </w:r>
          </w:p>
        </w:tc>
        <w:tc>
          <w:tcPr>
            <w:tcW w:w="0" w:type="dxa"/>
            <w:vAlign w:val="bottom"/>
          </w:tcPr>
          <w:p>
            <w:pPr>
              <w:spacing w:after="0"/>
              <w:rPr>
                <w:sz w:val="1"/>
                <w:szCs w:val="1"/>
                <w:color w:val="auto"/>
              </w:rPr>
            </w:pPr>
          </w:p>
        </w:tc>
      </w:tr>
      <w:tr>
        <w:trPr>
          <w:trHeight w:val="210"/>
        </w:trPr>
        <w:tc>
          <w:tcPr>
            <w:tcW w:w="6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480" w:type="dxa"/>
            <w:vAlign w:val="bottom"/>
            <w:shd w:val="clear" w:color="auto" w:fill="CFF0FC"/>
          </w:tcPr>
          <w:p>
            <w:pPr>
              <w:spacing w:after="0"/>
              <w:rPr>
                <w:sz w:val="18"/>
                <w:szCs w:val="18"/>
                <w:color w:val="auto"/>
              </w:rPr>
            </w:pPr>
          </w:p>
        </w:tc>
        <w:tc>
          <w:tcPr>
            <w:tcW w:w="184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228,022</w:t>
            </w:r>
          </w:p>
        </w:tc>
        <w:tc>
          <w:tcPr>
            <w:tcW w:w="720" w:type="dxa"/>
            <w:vAlign w:val="bottom"/>
            <w:shd w:val="clear" w:color="auto" w:fill="CFF0FC"/>
          </w:tcPr>
          <w:p>
            <w:pPr>
              <w:spacing w:after="0"/>
              <w:rPr>
                <w:sz w:val="18"/>
                <w:szCs w:val="18"/>
                <w:color w:val="auto"/>
              </w:rPr>
            </w:pPr>
          </w:p>
        </w:tc>
        <w:tc>
          <w:tcPr>
            <w:tcW w:w="14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240,266</w:t>
            </w:r>
          </w:p>
        </w:tc>
        <w:tc>
          <w:tcPr>
            <w:tcW w:w="0" w:type="dxa"/>
            <w:vAlign w:val="bottom"/>
          </w:tcPr>
          <w:p>
            <w:pPr>
              <w:spacing w:after="0"/>
              <w:rPr>
                <w:sz w:val="1"/>
                <w:szCs w:val="1"/>
                <w:color w:val="auto"/>
              </w:rPr>
            </w:pPr>
          </w:p>
        </w:tc>
      </w:tr>
      <w:tr>
        <w:trPr>
          <w:trHeight w:val="216"/>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 of use asset</w:t>
            </w:r>
          </w:p>
        </w:tc>
        <w:tc>
          <w:tcPr>
            <w:tcW w:w="480" w:type="dxa"/>
            <w:vAlign w:val="bottom"/>
          </w:tcPr>
          <w:p>
            <w:pPr>
              <w:spacing w:after="0"/>
              <w:rPr>
                <w:sz w:val="18"/>
                <w:szCs w:val="18"/>
                <w:color w:val="auto"/>
              </w:rPr>
            </w:pPr>
          </w:p>
        </w:tc>
        <w:tc>
          <w:tcPr>
            <w:tcW w:w="18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438,273</w:t>
            </w:r>
          </w:p>
        </w:tc>
        <w:tc>
          <w:tcPr>
            <w:tcW w:w="720" w:type="dxa"/>
            <w:vAlign w:val="bottom"/>
          </w:tcPr>
          <w:p>
            <w:pPr>
              <w:spacing w:after="0"/>
              <w:rPr>
                <w:sz w:val="18"/>
                <w:szCs w:val="18"/>
                <w:color w:val="auto"/>
              </w:rPr>
            </w:pPr>
          </w:p>
        </w:tc>
        <w:tc>
          <w:tcPr>
            <w:tcW w:w="14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436,896</w:t>
            </w:r>
          </w:p>
        </w:tc>
        <w:tc>
          <w:tcPr>
            <w:tcW w:w="0" w:type="dxa"/>
            <w:vAlign w:val="bottom"/>
          </w:tcPr>
          <w:p>
            <w:pPr>
              <w:spacing w:after="0"/>
              <w:rPr>
                <w:sz w:val="1"/>
                <w:szCs w:val="1"/>
                <w:color w:val="auto"/>
              </w:rPr>
            </w:pPr>
          </w:p>
        </w:tc>
      </w:tr>
      <w:tr>
        <w:trPr>
          <w:trHeight w:val="216"/>
        </w:trPr>
        <w:tc>
          <w:tcPr>
            <w:tcW w:w="6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480" w:type="dxa"/>
            <w:vAlign w:val="bottom"/>
            <w:shd w:val="clear" w:color="auto" w:fill="CFF0FC"/>
          </w:tcPr>
          <w:p>
            <w:pPr>
              <w:spacing w:after="0"/>
              <w:rPr>
                <w:sz w:val="18"/>
                <w:szCs w:val="18"/>
                <w:color w:val="auto"/>
              </w:rPr>
            </w:pPr>
          </w:p>
        </w:tc>
        <w:tc>
          <w:tcPr>
            <w:tcW w:w="184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8,863</w:t>
            </w:r>
          </w:p>
        </w:tc>
        <w:tc>
          <w:tcPr>
            <w:tcW w:w="720" w:type="dxa"/>
            <w:vAlign w:val="bottom"/>
            <w:shd w:val="clear" w:color="auto" w:fill="CFF0FC"/>
          </w:tcPr>
          <w:p>
            <w:pPr>
              <w:spacing w:after="0"/>
              <w:rPr>
                <w:sz w:val="18"/>
                <w:szCs w:val="18"/>
                <w:color w:val="auto"/>
              </w:rPr>
            </w:pPr>
          </w:p>
        </w:tc>
        <w:tc>
          <w:tcPr>
            <w:tcW w:w="14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9,565</w:t>
            </w:r>
          </w:p>
        </w:tc>
        <w:tc>
          <w:tcPr>
            <w:tcW w:w="0" w:type="dxa"/>
            <w:vAlign w:val="bottom"/>
          </w:tcPr>
          <w:p>
            <w:pPr>
              <w:spacing w:after="0"/>
              <w:rPr>
                <w:sz w:val="1"/>
                <w:szCs w:val="1"/>
                <w:color w:val="auto"/>
              </w:rPr>
            </w:pPr>
          </w:p>
        </w:tc>
      </w:tr>
      <w:tr>
        <w:trPr>
          <w:trHeight w:val="216"/>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intangibles</w:t>
            </w:r>
          </w:p>
        </w:tc>
        <w:tc>
          <w:tcPr>
            <w:tcW w:w="480" w:type="dxa"/>
            <w:vAlign w:val="bottom"/>
          </w:tcPr>
          <w:p>
            <w:pPr>
              <w:spacing w:after="0"/>
              <w:rPr>
                <w:sz w:val="18"/>
                <w:szCs w:val="18"/>
                <w:color w:val="auto"/>
              </w:rPr>
            </w:pPr>
          </w:p>
        </w:tc>
        <w:tc>
          <w:tcPr>
            <w:tcW w:w="18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26,059</w:t>
            </w:r>
          </w:p>
        </w:tc>
        <w:tc>
          <w:tcPr>
            <w:tcW w:w="720" w:type="dxa"/>
            <w:vAlign w:val="bottom"/>
          </w:tcPr>
          <w:p>
            <w:pPr>
              <w:spacing w:after="0"/>
              <w:rPr>
                <w:sz w:val="18"/>
                <w:szCs w:val="18"/>
                <w:color w:val="auto"/>
              </w:rPr>
            </w:pPr>
          </w:p>
        </w:tc>
        <w:tc>
          <w:tcPr>
            <w:tcW w:w="14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27,250</w:t>
            </w:r>
          </w:p>
        </w:tc>
        <w:tc>
          <w:tcPr>
            <w:tcW w:w="0" w:type="dxa"/>
            <w:vAlign w:val="bottom"/>
          </w:tcPr>
          <w:p>
            <w:pPr>
              <w:spacing w:after="0"/>
              <w:rPr>
                <w:sz w:val="1"/>
                <w:szCs w:val="1"/>
                <w:color w:val="auto"/>
              </w:rPr>
            </w:pPr>
          </w:p>
        </w:tc>
      </w:tr>
      <w:tr>
        <w:trPr>
          <w:trHeight w:val="216"/>
        </w:trPr>
        <w:tc>
          <w:tcPr>
            <w:tcW w:w="6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Non-current prepaid income taxes</w:t>
            </w:r>
          </w:p>
        </w:tc>
        <w:tc>
          <w:tcPr>
            <w:tcW w:w="480" w:type="dxa"/>
            <w:vAlign w:val="bottom"/>
            <w:shd w:val="clear" w:color="auto" w:fill="CFF0FC"/>
          </w:tcPr>
          <w:p>
            <w:pPr>
              <w:spacing w:after="0"/>
              <w:rPr>
                <w:sz w:val="18"/>
                <w:szCs w:val="18"/>
                <w:color w:val="auto"/>
              </w:rPr>
            </w:pPr>
          </w:p>
        </w:tc>
        <w:tc>
          <w:tcPr>
            <w:tcW w:w="184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shd w:val="clear" w:color="auto" w:fill="CFF0FC"/>
          </w:tcPr>
          <w:p>
            <w:pPr>
              <w:spacing w:after="0"/>
              <w:rPr>
                <w:sz w:val="18"/>
                <w:szCs w:val="18"/>
                <w:color w:val="auto"/>
              </w:rPr>
            </w:pPr>
          </w:p>
        </w:tc>
        <w:tc>
          <w:tcPr>
            <w:tcW w:w="14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56,839</w:t>
            </w:r>
          </w:p>
        </w:tc>
        <w:tc>
          <w:tcPr>
            <w:tcW w:w="0" w:type="dxa"/>
            <w:vAlign w:val="bottom"/>
          </w:tcPr>
          <w:p>
            <w:pPr>
              <w:spacing w:after="0"/>
              <w:rPr>
                <w:sz w:val="1"/>
                <w:szCs w:val="1"/>
                <w:color w:val="auto"/>
              </w:rPr>
            </w:pPr>
          </w:p>
        </w:tc>
      </w:tr>
      <w:tr>
        <w:trPr>
          <w:trHeight w:val="216"/>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480" w:type="dxa"/>
            <w:vAlign w:val="bottom"/>
          </w:tcPr>
          <w:p>
            <w:pPr>
              <w:spacing w:after="0"/>
              <w:rPr>
                <w:sz w:val="18"/>
                <w:szCs w:val="18"/>
                <w:color w:val="auto"/>
              </w:rPr>
            </w:pPr>
          </w:p>
        </w:tc>
        <w:tc>
          <w:tcPr>
            <w:tcW w:w="18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389</w:t>
            </w:r>
          </w:p>
        </w:tc>
        <w:tc>
          <w:tcPr>
            <w:tcW w:w="720" w:type="dxa"/>
            <w:vAlign w:val="bottom"/>
          </w:tcPr>
          <w:p>
            <w:pPr>
              <w:spacing w:after="0"/>
              <w:rPr>
                <w:sz w:val="18"/>
                <w:szCs w:val="18"/>
                <w:color w:val="auto"/>
              </w:rPr>
            </w:pPr>
          </w:p>
        </w:tc>
        <w:tc>
          <w:tcPr>
            <w:tcW w:w="14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26,230</w:t>
            </w:r>
          </w:p>
        </w:tc>
        <w:tc>
          <w:tcPr>
            <w:tcW w:w="0" w:type="dxa"/>
            <w:vAlign w:val="bottom"/>
          </w:tcPr>
          <w:p>
            <w:pPr>
              <w:spacing w:after="0"/>
              <w:rPr>
                <w:sz w:val="1"/>
                <w:szCs w:val="1"/>
                <w:color w:val="auto"/>
              </w:rPr>
            </w:pPr>
          </w:p>
        </w:tc>
      </w:tr>
      <w:tr>
        <w:trPr>
          <w:trHeight w:val="216"/>
        </w:trPr>
        <w:tc>
          <w:tcPr>
            <w:tcW w:w="680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480" w:type="dxa"/>
            <w:vAlign w:val="bottom"/>
            <w:tcBorders>
              <w:bottom w:val="single" w:sz="8" w:color="auto"/>
            </w:tcBorders>
            <w:shd w:val="clear" w:color="auto" w:fill="CFF0FC"/>
          </w:tcPr>
          <w:p>
            <w:pPr>
              <w:spacing w:after="0"/>
              <w:rPr>
                <w:sz w:val="18"/>
                <w:szCs w:val="18"/>
                <w:color w:val="auto"/>
              </w:rPr>
            </w:pPr>
          </w:p>
        </w:tc>
        <w:tc>
          <w:tcPr>
            <w:tcW w:w="184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25,174</w:t>
            </w:r>
          </w:p>
        </w:tc>
        <w:tc>
          <w:tcPr>
            <w:tcW w:w="72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25,493</w:t>
            </w:r>
          </w:p>
        </w:tc>
        <w:tc>
          <w:tcPr>
            <w:tcW w:w="0" w:type="dxa"/>
            <w:vAlign w:val="bottom"/>
          </w:tcPr>
          <w:p>
            <w:pPr>
              <w:spacing w:after="0"/>
              <w:rPr>
                <w:sz w:val="1"/>
                <w:szCs w:val="1"/>
                <w:color w:val="auto"/>
              </w:rPr>
            </w:pPr>
          </w:p>
        </w:tc>
      </w:tr>
      <w:tr>
        <w:trPr>
          <w:trHeight w:val="209"/>
        </w:trPr>
        <w:tc>
          <w:tcPr>
            <w:tcW w:w="6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4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18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1,335,536</w:t>
            </w:r>
          </w:p>
        </w:tc>
        <w:tc>
          <w:tcPr>
            <w:tcW w:w="7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1,329,890</w:t>
            </w:r>
          </w:p>
        </w:tc>
        <w:tc>
          <w:tcPr>
            <w:tcW w:w="0" w:type="dxa"/>
            <w:vAlign w:val="bottom"/>
          </w:tcPr>
          <w:p>
            <w:pPr>
              <w:spacing w:after="0"/>
              <w:rPr>
                <w:sz w:val="1"/>
                <w:szCs w:val="1"/>
                <w:color w:val="auto"/>
              </w:rPr>
            </w:pPr>
          </w:p>
        </w:tc>
      </w:tr>
      <w:tr>
        <w:trPr>
          <w:trHeight w:val="210"/>
        </w:trPr>
        <w:tc>
          <w:tcPr>
            <w:tcW w:w="6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480" w:type="dxa"/>
            <w:vAlign w:val="bottom"/>
            <w:shd w:val="clear" w:color="auto" w:fill="CFF0FC"/>
          </w:tcPr>
          <w:p>
            <w:pPr>
              <w:spacing w:after="0"/>
              <w:rPr>
                <w:sz w:val="18"/>
                <w:szCs w:val="18"/>
                <w:color w:val="auto"/>
              </w:rPr>
            </w:pPr>
          </w:p>
        </w:tc>
        <w:tc>
          <w:tcPr>
            <w:tcW w:w="18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Current Liabilities:</w:t>
            </w:r>
          </w:p>
        </w:tc>
        <w:tc>
          <w:tcPr>
            <w:tcW w:w="4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48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184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168,077</w:t>
            </w:r>
          </w:p>
        </w:tc>
        <w:tc>
          <w:tcPr>
            <w:tcW w:w="720" w:type="dxa"/>
            <w:vAlign w:val="bottom"/>
            <w:shd w:val="clear" w:color="auto" w:fill="CFF0FC"/>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114,621</w:t>
            </w:r>
          </w:p>
        </w:tc>
        <w:tc>
          <w:tcPr>
            <w:tcW w:w="0" w:type="dxa"/>
            <w:vAlign w:val="bottom"/>
          </w:tcPr>
          <w:p>
            <w:pPr>
              <w:spacing w:after="0"/>
              <w:rPr>
                <w:sz w:val="1"/>
                <w:szCs w:val="1"/>
                <w:color w:val="auto"/>
              </w:rPr>
            </w:pPr>
          </w:p>
        </w:tc>
      </w:tr>
      <w:tr>
        <w:trPr>
          <w:trHeight w:val="216"/>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portion operating lease liability</w:t>
            </w:r>
          </w:p>
        </w:tc>
        <w:tc>
          <w:tcPr>
            <w:tcW w:w="480" w:type="dxa"/>
            <w:vAlign w:val="bottom"/>
          </w:tcPr>
          <w:p>
            <w:pPr>
              <w:spacing w:after="0"/>
              <w:rPr>
                <w:sz w:val="18"/>
                <w:szCs w:val="18"/>
                <w:color w:val="auto"/>
              </w:rPr>
            </w:pPr>
          </w:p>
        </w:tc>
        <w:tc>
          <w:tcPr>
            <w:tcW w:w="18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124,010</w:t>
            </w:r>
          </w:p>
        </w:tc>
        <w:tc>
          <w:tcPr>
            <w:tcW w:w="720" w:type="dxa"/>
            <w:vAlign w:val="bottom"/>
          </w:tcPr>
          <w:p>
            <w:pPr>
              <w:spacing w:after="0"/>
              <w:rPr>
                <w:sz w:val="18"/>
                <w:szCs w:val="18"/>
                <w:color w:val="auto"/>
              </w:rPr>
            </w:pPr>
          </w:p>
        </w:tc>
        <w:tc>
          <w:tcPr>
            <w:tcW w:w="14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129,189</w:t>
            </w:r>
          </w:p>
        </w:tc>
        <w:tc>
          <w:tcPr>
            <w:tcW w:w="0" w:type="dxa"/>
            <w:vAlign w:val="bottom"/>
          </w:tcPr>
          <w:p>
            <w:pPr>
              <w:spacing w:after="0"/>
              <w:rPr>
                <w:sz w:val="1"/>
                <w:szCs w:val="1"/>
                <w:color w:val="auto"/>
              </w:rPr>
            </w:pPr>
          </w:p>
        </w:tc>
      </w:tr>
      <w:tr>
        <w:trPr>
          <w:trHeight w:val="216"/>
        </w:trPr>
        <w:tc>
          <w:tcPr>
            <w:tcW w:w="680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480" w:type="dxa"/>
            <w:vAlign w:val="bottom"/>
            <w:tcBorders>
              <w:bottom w:val="single" w:sz="8" w:color="auto"/>
            </w:tcBorders>
            <w:shd w:val="clear" w:color="auto" w:fill="CFF0FC"/>
          </w:tcPr>
          <w:p>
            <w:pPr>
              <w:spacing w:after="0"/>
              <w:rPr>
                <w:sz w:val="18"/>
                <w:szCs w:val="18"/>
                <w:color w:val="auto"/>
              </w:rPr>
            </w:pPr>
          </w:p>
        </w:tc>
        <w:tc>
          <w:tcPr>
            <w:tcW w:w="184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87,695</w:t>
            </w:r>
          </w:p>
        </w:tc>
        <w:tc>
          <w:tcPr>
            <w:tcW w:w="72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75,727</w:t>
            </w:r>
          </w:p>
        </w:tc>
        <w:tc>
          <w:tcPr>
            <w:tcW w:w="0" w:type="dxa"/>
            <w:vAlign w:val="bottom"/>
          </w:tcPr>
          <w:p>
            <w:pPr>
              <w:spacing w:after="0"/>
              <w:rPr>
                <w:sz w:val="1"/>
                <w:szCs w:val="1"/>
                <w:color w:val="auto"/>
              </w:rPr>
            </w:pPr>
          </w:p>
        </w:tc>
      </w:tr>
      <w:tr>
        <w:trPr>
          <w:trHeight w:val="209"/>
        </w:trPr>
        <w:tc>
          <w:tcPr>
            <w:tcW w:w="6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48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379,782</w:t>
            </w:r>
          </w:p>
        </w:tc>
        <w:tc>
          <w:tcPr>
            <w:tcW w:w="7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319,537</w:t>
            </w:r>
          </w:p>
        </w:tc>
        <w:tc>
          <w:tcPr>
            <w:tcW w:w="0" w:type="dxa"/>
            <w:vAlign w:val="bottom"/>
          </w:tcPr>
          <w:p>
            <w:pPr>
              <w:spacing w:after="0"/>
              <w:rPr>
                <w:sz w:val="1"/>
                <w:szCs w:val="1"/>
                <w:color w:val="auto"/>
              </w:rPr>
            </w:pPr>
          </w:p>
        </w:tc>
      </w:tr>
      <w:tr>
        <w:trPr>
          <w:trHeight w:val="210"/>
        </w:trPr>
        <w:tc>
          <w:tcPr>
            <w:tcW w:w="6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480" w:type="dxa"/>
            <w:vAlign w:val="bottom"/>
            <w:shd w:val="clear" w:color="auto" w:fill="CFF0FC"/>
          </w:tcPr>
          <w:p>
            <w:pPr>
              <w:spacing w:after="0"/>
              <w:rPr>
                <w:sz w:val="18"/>
                <w:szCs w:val="18"/>
                <w:color w:val="auto"/>
              </w:rPr>
            </w:pPr>
          </w:p>
        </w:tc>
        <w:tc>
          <w:tcPr>
            <w:tcW w:w="184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shd w:val="clear" w:color="auto" w:fill="CFF0FC"/>
          </w:tcPr>
          <w:p>
            <w:pPr>
              <w:spacing w:after="0"/>
              <w:rPr>
                <w:sz w:val="18"/>
                <w:szCs w:val="18"/>
                <w:color w:val="auto"/>
              </w:rPr>
            </w:pPr>
          </w:p>
        </w:tc>
        <w:tc>
          <w:tcPr>
            <w:tcW w:w="14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34,682</w:t>
            </w:r>
          </w:p>
        </w:tc>
        <w:tc>
          <w:tcPr>
            <w:tcW w:w="0" w:type="dxa"/>
            <w:vAlign w:val="bottom"/>
          </w:tcPr>
          <w:p>
            <w:pPr>
              <w:spacing w:after="0"/>
              <w:rPr>
                <w:sz w:val="1"/>
                <w:szCs w:val="1"/>
                <w:color w:val="auto"/>
              </w:rPr>
            </w:pPr>
          </w:p>
        </w:tc>
      </w:tr>
      <w:tr>
        <w:trPr>
          <w:trHeight w:val="216"/>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operating lease liability</w:t>
            </w:r>
          </w:p>
        </w:tc>
        <w:tc>
          <w:tcPr>
            <w:tcW w:w="480" w:type="dxa"/>
            <w:vAlign w:val="bottom"/>
          </w:tcPr>
          <w:p>
            <w:pPr>
              <w:spacing w:after="0"/>
              <w:rPr>
                <w:sz w:val="18"/>
                <w:szCs w:val="18"/>
                <w:color w:val="auto"/>
              </w:rPr>
            </w:pPr>
          </w:p>
        </w:tc>
        <w:tc>
          <w:tcPr>
            <w:tcW w:w="18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361,079</w:t>
            </w:r>
          </w:p>
        </w:tc>
        <w:tc>
          <w:tcPr>
            <w:tcW w:w="720" w:type="dxa"/>
            <w:vAlign w:val="bottom"/>
          </w:tcPr>
          <w:p>
            <w:pPr>
              <w:spacing w:after="0"/>
              <w:rPr>
                <w:sz w:val="18"/>
                <w:szCs w:val="18"/>
                <w:color w:val="auto"/>
              </w:rPr>
            </w:pPr>
          </w:p>
        </w:tc>
        <w:tc>
          <w:tcPr>
            <w:tcW w:w="14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359,073</w:t>
            </w:r>
          </w:p>
        </w:tc>
        <w:tc>
          <w:tcPr>
            <w:tcW w:w="0" w:type="dxa"/>
            <w:vAlign w:val="bottom"/>
          </w:tcPr>
          <w:p>
            <w:pPr>
              <w:spacing w:after="0"/>
              <w:rPr>
                <w:sz w:val="1"/>
                <w:szCs w:val="1"/>
                <w:color w:val="auto"/>
              </w:rPr>
            </w:pPr>
          </w:p>
        </w:tc>
      </w:tr>
      <w:tr>
        <w:trPr>
          <w:trHeight w:val="216"/>
        </w:trPr>
        <w:tc>
          <w:tcPr>
            <w:tcW w:w="680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480" w:type="dxa"/>
            <w:vAlign w:val="bottom"/>
            <w:tcBorders>
              <w:bottom w:val="single" w:sz="8" w:color="auto"/>
            </w:tcBorders>
            <w:shd w:val="clear" w:color="auto" w:fill="CFF0FC"/>
          </w:tcPr>
          <w:p>
            <w:pPr>
              <w:spacing w:after="0"/>
              <w:rPr>
                <w:sz w:val="18"/>
                <w:szCs w:val="18"/>
                <w:color w:val="auto"/>
              </w:rPr>
            </w:pPr>
          </w:p>
        </w:tc>
        <w:tc>
          <w:tcPr>
            <w:tcW w:w="184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47,705</w:t>
            </w:r>
          </w:p>
        </w:tc>
        <w:tc>
          <w:tcPr>
            <w:tcW w:w="72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45,396</w:t>
            </w:r>
          </w:p>
        </w:tc>
        <w:tc>
          <w:tcPr>
            <w:tcW w:w="0" w:type="dxa"/>
            <w:vAlign w:val="bottom"/>
          </w:tcPr>
          <w:p>
            <w:pPr>
              <w:spacing w:after="0"/>
              <w:rPr>
                <w:sz w:val="1"/>
                <w:szCs w:val="1"/>
                <w:color w:val="auto"/>
              </w:rPr>
            </w:pPr>
          </w:p>
        </w:tc>
      </w:tr>
      <w:tr>
        <w:trPr>
          <w:trHeight w:val="210"/>
        </w:trPr>
        <w:tc>
          <w:tcPr>
            <w:tcW w:w="6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48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788,566</w:t>
            </w:r>
          </w:p>
        </w:tc>
        <w:tc>
          <w:tcPr>
            <w:tcW w:w="7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758,688</w:t>
            </w:r>
          </w:p>
        </w:tc>
        <w:tc>
          <w:tcPr>
            <w:tcW w:w="0" w:type="dxa"/>
            <w:vAlign w:val="bottom"/>
          </w:tcPr>
          <w:p>
            <w:pPr>
              <w:spacing w:after="0"/>
              <w:rPr>
                <w:sz w:val="1"/>
                <w:szCs w:val="1"/>
                <w:color w:val="auto"/>
              </w:rPr>
            </w:pPr>
          </w:p>
        </w:tc>
      </w:tr>
      <w:tr>
        <w:trPr>
          <w:trHeight w:val="209"/>
        </w:trPr>
        <w:tc>
          <w:tcPr>
            <w:tcW w:w="6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Commitments and contingent liabilities</w:t>
            </w:r>
          </w:p>
        </w:tc>
        <w:tc>
          <w:tcPr>
            <w:tcW w:w="480" w:type="dxa"/>
            <w:vAlign w:val="bottom"/>
            <w:shd w:val="clear" w:color="auto" w:fill="CFF0FC"/>
          </w:tcPr>
          <w:p>
            <w:pPr>
              <w:spacing w:after="0"/>
              <w:rPr>
                <w:sz w:val="18"/>
                <w:szCs w:val="18"/>
                <w:color w:val="auto"/>
              </w:rPr>
            </w:pPr>
          </w:p>
        </w:tc>
        <w:tc>
          <w:tcPr>
            <w:tcW w:w="18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4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Non-redeemable preferred stock</w:t>
            </w:r>
          </w:p>
        </w:tc>
        <w:tc>
          <w:tcPr>
            <w:tcW w:w="480" w:type="dxa"/>
            <w:vAlign w:val="bottom"/>
            <w:shd w:val="clear" w:color="auto" w:fill="CFF0FC"/>
          </w:tcPr>
          <w:p>
            <w:pPr>
              <w:spacing w:after="0"/>
              <w:rPr>
                <w:sz w:val="18"/>
                <w:szCs w:val="18"/>
                <w:color w:val="auto"/>
              </w:rPr>
            </w:pPr>
          </w:p>
        </w:tc>
        <w:tc>
          <w:tcPr>
            <w:tcW w:w="184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835</w:t>
            </w:r>
          </w:p>
        </w:tc>
        <w:tc>
          <w:tcPr>
            <w:tcW w:w="720" w:type="dxa"/>
            <w:vAlign w:val="bottom"/>
            <w:shd w:val="clear" w:color="auto" w:fill="CFF0FC"/>
          </w:tcPr>
          <w:p>
            <w:pPr>
              <w:spacing w:after="0"/>
              <w:rPr>
                <w:sz w:val="18"/>
                <w:szCs w:val="18"/>
                <w:color w:val="auto"/>
              </w:rPr>
            </w:pPr>
          </w:p>
        </w:tc>
        <w:tc>
          <w:tcPr>
            <w:tcW w:w="14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813</w:t>
            </w:r>
          </w:p>
        </w:tc>
        <w:tc>
          <w:tcPr>
            <w:tcW w:w="0" w:type="dxa"/>
            <w:vAlign w:val="bottom"/>
          </w:tcPr>
          <w:p>
            <w:pPr>
              <w:spacing w:after="0"/>
              <w:rPr>
                <w:sz w:val="1"/>
                <w:szCs w:val="1"/>
                <w:color w:val="auto"/>
              </w:rPr>
            </w:pPr>
          </w:p>
        </w:tc>
      </w:tr>
      <w:tr>
        <w:trPr>
          <w:trHeight w:val="216"/>
        </w:trPr>
        <w:tc>
          <w:tcPr>
            <w:tcW w:w="6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Common equity:</w:t>
            </w:r>
          </w:p>
        </w:tc>
        <w:tc>
          <w:tcPr>
            <w:tcW w:w="4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Common stock, $1 par value:</w:t>
            </w:r>
          </w:p>
        </w:tc>
        <w:tc>
          <w:tcPr>
            <w:tcW w:w="480" w:type="dxa"/>
            <w:vAlign w:val="bottom"/>
            <w:shd w:val="clear" w:color="auto" w:fill="CFF0FC"/>
          </w:tcPr>
          <w:p>
            <w:pPr>
              <w:spacing w:after="0"/>
              <w:rPr>
                <w:sz w:val="18"/>
                <w:szCs w:val="18"/>
                <w:color w:val="auto"/>
              </w:rPr>
            </w:pPr>
          </w:p>
        </w:tc>
        <w:tc>
          <w:tcPr>
            <w:tcW w:w="18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Authorized: 80,000,000 shares</w:t>
            </w:r>
          </w:p>
        </w:tc>
        <w:tc>
          <w:tcPr>
            <w:tcW w:w="4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Issued common stock</w:t>
            </w:r>
          </w:p>
        </w:tc>
        <w:tc>
          <w:tcPr>
            <w:tcW w:w="480" w:type="dxa"/>
            <w:vAlign w:val="bottom"/>
            <w:shd w:val="clear" w:color="auto" w:fill="CFF0FC"/>
          </w:tcPr>
          <w:p>
            <w:pPr>
              <w:spacing w:after="0"/>
              <w:rPr>
                <w:sz w:val="18"/>
                <w:szCs w:val="18"/>
                <w:color w:val="auto"/>
              </w:rPr>
            </w:pPr>
          </w:p>
        </w:tc>
        <w:tc>
          <w:tcPr>
            <w:tcW w:w="184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11,773</w:t>
            </w:r>
          </w:p>
        </w:tc>
        <w:tc>
          <w:tcPr>
            <w:tcW w:w="720" w:type="dxa"/>
            <w:vAlign w:val="bottom"/>
            <w:shd w:val="clear" w:color="auto" w:fill="CFF0FC"/>
          </w:tcPr>
          <w:p>
            <w:pPr>
              <w:spacing w:after="0"/>
              <w:rPr>
                <w:sz w:val="18"/>
                <w:szCs w:val="18"/>
                <w:color w:val="auto"/>
              </w:rPr>
            </w:pPr>
          </w:p>
        </w:tc>
        <w:tc>
          <w:tcPr>
            <w:tcW w:w="14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11,961</w:t>
            </w:r>
          </w:p>
        </w:tc>
        <w:tc>
          <w:tcPr>
            <w:tcW w:w="0" w:type="dxa"/>
            <w:vAlign w:val="bottom"/>
          </w:tcPr>
          <w:p>
            <w:pPr>
              <w:spacing w:after="0"/>
              <w:rPr>
                <w:sz w:val="1"/>
                <w:szCs w:val="1"/>
                <w:color w:val="auto"/>
              </w:rPr>
            </w:pPr>
          </w:p>
        </w:tc>
      </w:tr>
      <w:tr>
        <w:trPr>
          <w:trHeight w:val="216"/>
        </w:trPr>
        <w:tc>
          <w:tcPr>
            <w:tcW w:w="68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480" w:type="dxa"/>
            <w:vAlign w:val="bottom"/>
          </w:tcPr>
          <w:p>
            <w:pPr>
              <w:spacing w:after="0"/>
              <w:rPr>
                <w:sz w:val="18"/>
                <w:szCs w:val="18"/>
                <w:color w:val="auto"/>
              </w:rPr>
            </w:pPr>
          </w:p>
        </w:tc>
        <w:tc>
          <w:tcPr>
            <w:tcW w:w="18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331,756</w:t>
            </w:r>
          </w:p>
        </w:tc>
        <w:tc>
          <w:tcPr>
            <w:tcW w:w="720" w:type="dxa"/>
            <w:vAlign w:val="bottom"/>
          </w:tcPr>
          <w:p>
            <w:pPr>
              <w:spacing w:after="0"/>
              <w:rPr>
                <w:sz w:val="18"/>
                <w:szCs w:val="18"/>
                <w:color w:val="auto"/>
              </w:rPr>
            </w:pPr>
          </w:p>
        </w:tc>
        <w:tc>
          <w:tcPr>
            <w:tcW w:w="14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319,143</w:t>
            </w:r>
          </w:p>
        </w:tc>
        <w:tc>
          <w:tcPr>
            <w:tcW w:w="0" w:type="dxa"/>
            <w:vAlign w:val="bottom"/>
          </w:tcPr>
          <w:p>
            <w:pPr>
              <w:spacing w:after="0"/>
              <w:rPr>
                <w:sz w:val="1"/>
                <w:szCs w:val="1"/>
                <w:color w:val="auto"/>
              </w:rPr>
            </w:pPr>
          </w:p>
        </w:tc>
      </w:tr>
      <w:tr>
        <w:trPr>
          <w:trHeight w:val="216"/>
        </w:trPr>
        <w:tc>
          <w:tcPr>
            <w:tcW w:w="68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Retained earnings</w:t>
            </w:r>
          </w:p>
        </w:tc>
        <w:tc>
          <w:tcPr>
            <w:tcW w:w="480" w:type="dxa"/>
            <w:vAlign w:val="bottom"/>
            <w:shd w:val="clear" w:color="auto" w:fill="CFF0FC"/>
          </w:tcPr>
          <w:p>
            <w:pPr>
              <w:spacing w:after="0"/>
              <w:rPr>
                <w:sz w:val="18"/>
                <w:szCs w:val="18"/>
                <w:color w:val="auto"/>
              </w:rPr>
            </w:pPr>
          </w:p>
        </w:tc>
        <w:tc>
          <w:tcPr>
            <w:tcW w:w="184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265,887</w:t>
            </w:r>
          </w:p>
        </w:tc>
        <w:tc>
          <w:tcPr>
            <w:tcW w:w="720" w:type="dxa"/>
            <w:vAlign w:val="bottom"/>
            <w:shd w:val="clear" w:color="auto" w:fill="CFF0FC"/>
          </w:tcPr>
          <w:p>
            <w:pPr>
              <w:spacing w:after="0"/>
              <w:rPr>
                <w:sz w:val="18"/>
                <w:szCs w:val="18"/>
                <w:color w:val="auto"/>
              </w:rPr>
            </w:pPr>
          </w:p>
        </w:tc>
        <w:tc>
          <w:tcPr>
            <w:tcW w:w="14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296,766</w:t>
            </w:r>
          </w:p>
        </w:tc>
        <w:tc>
          <w:tcPr>
            <w:tcW w:w="0" w:type="dxa"/>
            <w:vAlign w:val="bottom"/>
          </w:tcPr>
          <w:p>
            <w:pPr>
              <w:spacing w:after="0"/>
              <w:rPr>
                <w:sz w:val="1"/>
                <w:szCs w:val="1"/>
                <w:color w:val="auto"/>
              </w:rPr>
            </w:pPr>
          </w:p>
        </w:tc>
      </w:tr>
      <w:tr>
        <w:trPr>
          <w:trHeight w:val="216"/>
        </w:trPr>
        <w:tc>
          <w:tcPr>
            <w:tcW w:w="68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480" w:type="dxa"/>
            <w:vAlign w:val="bottom"/>
          </w:tcPr>
          <w:p>
            <w:pPr>
              <w:spacing w:after="0"/>
              <w:rPr>
                <w:sz w:val="18"/>
                <w:szCs w:val="18"/>
                <w:color w:val="auto"/>
              </w:rPr>
            </w:pPr>
          </w:p>
        </w:tc>
        <w:tc>
          <w:tcPr>
            <w:tcW w:w="18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(45,424 )</w:t>
            </w:r>
          </w:p>
        </w:tc>
        <w:tc>
          <w:tcPr>
            <w:tcW w:w="7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(39,624 )</w:t>
            </w:r>
          </w:p>
        </w:tc>
        <w:tc>
          <w:tcPr>
            <w:tcW w:w="0" w:type="dxa"/>
            <w:vAlign w:val="bottom"/>
          </w:tcPr>
          <w:p>
            <w:pPr>
              <w:spacing w:after="0"/>
              <w:rPr>
                <w:sz w:val="1"/>
                <w:szCs w:val="1"/>
                <w:color w:val="auto"/>
              </w:rPr>
            </w:pPr>
          </w:p>
        </w:tc>
      </w:tr>
      <w:tr>
        <w:trPr>
          <w:trHeight w:val="216"/>
        </w:trPr>
        <w:tc>
          <w:tcPr>
            <w:tcW w:w="6800" w:type="dxa"/>
            <w:vAlign w:val="bottom"/>
            <w:tcBorders>
              <w:bottom w:val="single" w:sz="8" w:color="auto"/>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Treasury shares, at cost (488,464 shares)</w:t>
            </w:r>
          </w:p>
        </w:tc>
        <w:tc>
          <w:tcPr>
            <w:tcW w:w="480" w:type="dxa"/>
            <w:vAlign w:val="bottom"/>
            <w:tcBorders>
              <w:bottom w:val="single" w:sz="8" w:color="auto"/>
            </w:tcBorders>
            <w:shd w:val="clear" w:color="auto" w:fill="CFF0FC"/>
          </w:tcPr>
          <w:p>
            <w:pPr>
              <w:spacing w:after="0"/>
              <w:rPr>
                <w:sz w:val="18"/>
                <w:szCs w:val="18"/>
                <w:color w:val="auto"/>
              </w:rPr>
            </w:pPr>
          </w:p>
        </w:tc>
        <w:tc>
          <w:tcPr>
            <w:tcW w:w="18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(17,857 )</w:t>
            </w:r>
          </w:p>
        </w:tc>
        <w:tc>
          <w:tcPr>
            <w:tcW w:w="72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(17,857 )</w:t>
            </w:r>
          </w:p>
        </w:tc>
        <w:tc>
          <w:tcPr>
            <w:tcW w:w="0" w:type="dxa"/>
            <w:vAlign w:val="bottom"/>
          </w:tcPr>
          <w:p>
            <w:pPr>
              <w:spacing w:after="0"/>
              <w:rPr>
                <w:sz w:val="1"/>
                <w:szCs w:val="1"/>
                <w:color w:val="auto"/>
              </w:rPr>
            </w:pPr>
          </w:p>
        </w:tc>
      </w:tr>
      <w:tr>
        <w:trPr>
          <w:trHeight w:val="210"/>
        </w:trPr>
        <w:tc>
          <w:tcPr>
            <w:tcW w:w="6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equity</w:t>
            </w:r>
          </w:p>
        </w:tc>
        <w:tc>
          <w:tcPr>
            <w:tcW w:w="48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546,970</w:t>
            </w:r>
          </w:p>
        </w:tc>
        <w:tc>
          <w:tcPr>
            <w:tcW w:w="7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571,202</w:t>
            </w:r>
          </w:p>
        </w:tc>
        <w:tc>
          <w:tcPr>
            <w:tcW w:w="0" w:type="dxa"/>
            <w:vAlign w:val="bottom"/>
          </w:tcPr>
          <w:p>
            <w:pPr>
              <w:spacing w:after="0"/>
              <w:rPr>
                <w:sz w:val="1"/>
                <w:szCs w:val="1"/>
                <w:color w:val="auto"/>
              </w:rPr>
            </w:pPr>
          </w:p>
        </w:tc>
      </w:tr>
      <w:tr>
        <w:trPr>
          <w:trHeight w:val="249"/>
        </w:trPr>
        <w:tc>
          <w:tcPr>
            <w:tcW w:w="680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480" w:type="dxa"/>
            <w:vAlign w:val="bottom"/>
            <w:tcBorders>
              <w:bottom w:val="single" w:sz="8" w:color="auto"/>
            </w:tcBorders>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184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1,335,536</w:t>
            </w:r>
          </w:p>
        </w:tc>
        <w:tc>
          <w:tcPr>
            <w:tcW w:w="720" w:type="dxa"/>
            <w:vAlign w:val="bottom"/>
            <w:tcBorders>
              <w:bottom w:val="single" w:sz="8" w:color="auto"/>
            </w:tcBorders>
            <w:shd w:val="clear" w:color="auto" w:fill="CFF0FC"/>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1,329,890</w:t>
            </w:r>
          </w:p>
        </w:tc>
        <w:tc>
          <w:tcPr>
            <w:tcW w:w="0" w:type="dxa"/>
            <w:vAlign w:val="bottom"/>
          </w:tcPr>
          <w:p>
            <w:pPr>
              <w:spacing w:after="0"/>
              <w:rPr>
                <w:sz w:val="1"/>
                <w:szCs w:val="1"/>
                <w:color w:val="auto"/>
              </w:rPr>
            </w:pPr>
          </w:p>
        </w:tc>
      </w:tr>
    </w:tbl>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7" w:name="page48"/>
    <w:bookmarkEnd w:id="47"/>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Genesco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per share amounts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48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Fiscal Year</w:t>
            </w:r>
          </w:p>
        </w:tc>
        <w:tc>
          <w:tcPr>
            <w:tcW w:w="44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4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2024</w:t>
            </w:r>
          </w:p>
        </w:tc>
        <w:tc>
          <w:tcPr>
            <w:tcW w:w="4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2023</w:t>
            </w:r>
          </w:p>
        </w:tc>
        <w:tc>
          <w:tcPr>
            <w:tcW w:w="0" w:type="dxa"/>
            <w:vAlign w:val="bottom"/>
          </w:tcPr>
          <w:p>
            <w:pPr>
              <w:spacing w:after="0"/>
              <w:rPr>
                <w:sz w:val="1"/>
                <w:szCs w:val="1"/>
                <w:color w:val="auto"/>
              </w:rPr>
            </w:pPr>
          </w:p>
        </w:tc>
      </w:tr>
      <w:tr>
        <w:trPr>
          <w:trHeight w:val="209"/>
        </w:trPr>
        <w:tc>
          <w:tcPr>
            <w:tcW w:w="6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5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2,325,062</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2,324,624</w:t>
            </w:r>
          </w:p>
        </w:tc>
        <w:tc>
          <w:tcPr>
            <w:tcW w:w="4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2,384,888</w:t>
            </w:r>
          </w:p>
        </w:tc>
        <w:tc>
          <w:tcPr>
            <w:tcW w:w="0" w:type="dxa"/>
            <w:vAlign w:val="bottom"/>
          </w:tcPr>
          <w:p>
            <w:pPr>
              <w:spacing w:after="0"/>
              <w:rPr>
                <w:sz w:val="1"/>
                <w:szCs w:val="1"/>
                <w:color w:val="auto"/>
              </w:rPr>
            </w:pPr>
          </w:p>
        </w:tc>
      </w:tr>
      <w:tr>
        <w:trPr>
          <w:trHeight w:val="216"/>
        </w:trPr>
        <w:tc>
          <w:tcPr>
            <w:tcW w:w="6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16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1,228,249</w:t>
            </w: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1,225,804</w:t>
            </w:r>
          </w:p>
        </w:tc>
        <w:tc>
          <w:tcPr>
            <w:tcW w:w="4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1,248,698</w:t>
            </w:r>
          </w:p>
        </w:tc>
        <w:tc>
          <w:tcPr>
            <w:tcW w:w="0" w:type="dxa"/>
            <w:vAlign w:val="bottom"/>
          </w:tcPr>
          <w:p>
            <w:pPr>
              <w:spacing w:after="0"/>
              <w:rPr>
                <w:sz w:val="1"/>
                <w:szCs w:val="1"/>
                <w:color w:val="auto"/>
              </w:rPr>
            </w:pPr>
          </w:p>
        </w:tc>
      </w:tr>
      <w:tr>
        <w:trPr>
          <w:trHeight w:val="210"/>
        </w:trPr>
        <w:tc>
          <w:tcPr>
            <w:tcW w:w="6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1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1,096,813</w:t>
            </w:r>
          </w:p>
        </w:tc>
        <w:tc>
          <w:tcPr>
            <w:tcW w:w="26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1,098,820</w:t>
            </w:r>
          </w:p>
        </w:tc>
        <w:tc>
          <w:tcPr>
            <w:tcW w:w="44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1,136,190</w:t>
            </w:r>
          </w:p>
        </w:tc>
        <w:tc>
          <w:tcPr>
            <w:tcW w:w="0" w:type="dxa"/>
            <w:vAlign w:val="bottom"/>
          </w:tcPr>
          <w:p>
            <w:pPr>
              <w:spacing w:after="0"/>
              <w:rPr>
                <w:sz w:val="1"/>
                <w:szCs w:val="1"/>
                <w:color w:val="auto"/>
              </w:rPr>
            </w:pPr>
          </w:p>
        </w:tc>
      </w:tr>
      <w:tr>
        <w:trPr>
          <w:trHeight w:val="216"/>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and administrative expenses</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1,079,653</w:t>
            </w:r>
          </w:p>
        </w:tc>
        <w:tc>
          <w:tcPr>
            <w:tcW w:w="260" w:type="dxa"/>
            <w:vAlign w:val="bottom"/>
          </w:tcPr>
          <w:p>
            <w:pPr>
              <w:spacing w:after="0"/>
              <w:rPr>
                <w:sz w:val="18"/>
                <w:szCs w:val="18"/>
                <w:color w:val="auto"/>
              </w:rPr>
            </w:pPr>
          </w:p>
        </w:tc>
        <w:tc>
          <w:tcPr>
            <w:tcW w:w="1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1,082,040</w:t>
            </w:r>
          </w:p>
        </w:tc>
        <w:tc>
          <w:tcPr>
            <w:tcW w:w="44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1,042,094</w:t>
            </w:r>
          </w:p>
        </w:tc>
        <w:tc>
          <w:tcPr>
            <w:tcW w:w="0" w:type="dxa"/>
            <w:vAlign w:val="bottom"/>
          </w:tcPr>
          <w:p>
            <w:pPr>
              <w:spacing w:after="0"/>
              <w:rPr>
                <w:sz w:val="1"/>
                <w:szCs w:val="1"/>
                <w:color w:val="auto"/>
              </w:rPr>
            </w:pPr>
          </w:p>
        </w:tc>
      </w:tr>
      <w:tr>
        <w:trPr>
          <w:trHeight w:val="216"/>
        </w:trPr>
        <w:tc>
          <w:tcPr>
            <w:tcW w:w="6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Goodwill impairment</w:t>
            </w:r>
          </w:p>
        </w:tc>
        <w:tc>
          <w:tcPr>
            <w:tcW w:w="1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28,453</w:t>
            </w:r>
          </w:p>
        </w:tc>
        <w:tc>
          <w:tcPr>
            <w:tcW w:w="44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Asset impairments and other, net</w:t>
            </w:r>
          </w:p>
        </w:tc>
        <w:tc>
          <w:tcPr>
            <w:tcW w:w="16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3,235</w:t>
            </w: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1,787</w:t>
            </w:r>
          </w:p>
        </w:tc>
        <w:tc>
          <w:tcPr>
            <w:tcW w:w="4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855</w:t>
            </w:r>
          </w:p>
        </w:tc>
        <w:tc>
          <w:tcPr>
            <w:tcW w:w="0" w:type="dxa"/>
            <w:vAlign w:val="bottom"/>
          </w:tcPr>
          <w:p>
            <w:pPr>
              <w:spacing w:after="0"/>
              <w:rPr>
                <w:sz w:val="1"/>
                <w:szCs w:val="1"/>
                <w:color w:val="auto"/>
              </w:rPr>
            </w:pPr>
          </w:p>
        </w:tc>
      </w:tr>
      <w:tr>
        <w:trPr>
          <w:trHeight w:val="210"/>
        </w:trPr>
        <w:tc>
          <w:tcPr>
            <w:tcW w:w="648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160" w:type="dxa"/>
            <w:vAlign w:val="bottom"/>
            <w:tcBorders>
              <w:bottom w:val="single" w:sz="8" w:color="auto"/>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13,925</w:t>
            </w:r>
          </w:p>
        </w:tc>
        <w:tc>
          <w:tcPr>
            <w:tcW w:w="26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(13,460 )</w:t>
            </w:r>
          </w:p>
        </w:tc>
        <w:tc>
          <w:tcPr>
            <w:tcW w:w="44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93,241</w:t>
            </w:r>
          </w:p>
        </w:tc>
        <w:tc>
          <w:tcPr>
            <w:tcW w:w="0" w:type="dxa"/>
            <w:vAlign w:val="bottom"/>
          </w:tcPr>
          <w:p>
            <w:pPr>
              <w:spacing w:after="0"/>
              <w:rPr>
                <w:sz w:val="1"/>
                <w:szCs w:val="1"/>
                <w:color w:val="auto"/>
              </w:rPr>
            </w:pPr>
          </w:p>
        </w:tc>
      </w:tr>
      <w:tr>
        <w:trPr>
          <w:trHeight w:val="209"/>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components of net periodic benefit cost</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367</w:t>
            </w:r>
          </w:p>
        </w:tc>
        <w:tc>
          <w:tcPr>
            <w:tcW w:w="260" w:type="dxa"/>
            <w:vAlign w:val="bottom"/>
          </w:tcPr>
          <w:p>
            <w:pPr>
              <w:spacing w:after="0"/>
              <w:rPr>
                <w:sz w:val="18"/>
                <w:szCs w:val="18"/>
                <w:color w:val="auto"/>
              </w:rPr>
            </w:pPr>
          </w:p>
        </w:tc>
        <w:tc>
          <w:tcPr>
            <w:tcW w:w="1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537</w:t>
            </w:r>
          </w:p>
        </w:tc>
        <w:tc>
          <w:tcPr>
            <w:tcW w:w="44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248</w:t>
            </w:r>
          </w:p>
        </w:tc>
        <w:tc>
          <w:tcPr>
            <w:tcW w:w="0" w:type="dxa"/>
            <w:vAlign w:val="bottom"/>
          </w:tcPr>
          <w:p>
            <w:pPr>
              <w:spacing w:after="0"/>
              <w:rPr>
                <w:sz w:val="1"/>
                <w:szCs w:val="1"/>
                <w:color w:val="auto"/>
              </w:rPr>
            </w:pPr>
          </w:p>
        </w:tc>
      </w:tr>
      <w:tr>
        <w:trPr>
          <w:trHeight w:val="198"/>
        </w:trPr>
        <w:tc>
          <w:tcPr>
            <w:tcW w:w="6480" w:type="dxa"/>
            <w:vAlign w:val="bottom"/>
            <w:shd w:val="clear" w:color="auto" w:fill="CFF0FC"/>
          </w:tcPr>
          <w:p>
            <w:pPr>
              <w:ind w:left="20"/>
              <w:spacing w:after="0" w:line="198" w:lineRule="exact"/>
              <w:rPr>
                <w:sz w:val="20"/>
                <w:szCs w:val="20"/>
                <w:color w:val="auto"/>
              </w:rPr>
            </w:pPr>
            <w:r>
              <w:rPr>
                <w:rFonts w:ascii="Times New Roman" w:cs="Times New Roman" w:eastAsia="Times New Roman" w:hAnsi="Times New Roman"/>
                <w:sz w:val="18"/>
                <w:szCs w:val="18"/>
                <w:color w:val="auto"/>
              </w:rPr>
              <w:t>Interest expense (net of interest income of $0.7 million, $0.4 million and $0.3 million for</w:t>
            </w:r>
          </w:p>
        </w:tc>
        <w:tc>
          <w:tcPr>
            <w:tcW w:w="1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60" w:type="dxa"/>
            <w:vAlign w:val="bottom"/>
            <w:vMerge w:val="restart"/>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4,250</w:t>
            </w:r>
          </w:p>
        </w:tc>
        <w:tc>
          <w:tcPr>
            <w:tcW w:w="26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48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Fiscal 2025, 2024 and 2023, respectively)</w:t>
            </w:r>
          </w:p>
        </w:tc>
        <w:tc>
          <w:tcPr>
            <w:tcW w:w="160" w:type="dxa"/>
            <w:vAlign w:val="bottom"/>
            <w:tcBorders>
              <w:bottom w:val="single" w:sz="8" w:color="auto"/>
            </w:tcBorders>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spacing w:after="0"/>
              <w:rPr>
                <w:sz w:val="20"/>
                <w:szCs w:val="20"/>
                <w:color w:val="auto"/>
              </w:rPr>
            </w:pPr>
          </w:p>
        </w:tc>
        <w:tc>
          <w:tcPr>
            <w:tcW w:w="1160" w:type="dxa"/>
            <w:vAlign w:val="bottom"/>
            <w:tcBorders>
              <w:bottom w:val="single" w:sz="8" w:color="auto"/>
            </w:tcBorders>
            <w:vMerge w:val="continue"/>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132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7,777</w:t>
            </w:r>
          </w:p>
        </w:tc>
        <w:tc>
          <w:tcPr>
            <w:tcW w:w="440" w:type="dxa"/>
            <w:vAlign w:val="bottom"/>
            <w:tcBorders>
              <w:bottom w:val="single" w:sz="8" w:color="auto"/>
            </w:tcBorders>
            <w:shd w:val="clear" w:color="auto" w:fill="CFF0FC"/>
          </w:tcPr>
          <w:p>
            <w:pPr>
              <w:spacing w:after="0"/>
              <w:rPr>
                <w:sz w:val="20"/>
                <w:szCs w:val="20"/>
                <w:color w:val="auto"/>
              </w:rPr>
            </w:pPr>
          </w:p>
        </w:tc>
        <w:tc>
          <w:tcPr>
            <w:tcW w:w="10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2,920</w:t>
            </w:r>
          </w:p>
        </w:tc>
        <w:tc>
          <w:tcPr>
            <w:tcW w:w="0" w:type="dxa"/>
            <w:vAlign w:val="bottom"/>
          </w:tcPr>
          <w:p>
            <w:pPr>
              <w:spacing w:after="0"/>
              <w:rPr>
                <w:sz w:val="1"/>
                <w:szCs w:val="1"/>
                <w:color w:val="auto"/>
              </w:rPr>
            </w:pPr>
          </w:p>
        </w:tc>
      </w:tr>
      <w:tr>
        <w:trPr>
          <w:trHeight w:val="210"/>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(loss) from continuing operations before income taxes</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9,308</w:t>
            </w:r>
          </w:p>
        </w:tc>
        <w:tc>
          <w:tcPr>
            <w:tcW w:w="26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(21,774 )</w:t>
            </w:r>
          </w:p>
        </w:tc>
        <w:tc>
          <w:tcPr>
            <w:tcW w:w="44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90,073</w:t>
            </w:r>
          </w:p>
        </w:tc>
        <w:tc>
          <w:tcPr>
            <w:tcW w:w="0" w:type="dxa"/>
            <w:vAlign w:val="bottom"/>
          </w:tcPr>
          <w:p>
            <w:pPr>
              <w:spacing w:after="0"/>
              <w:rPr>
                <w:sz w:val="1"/>
                <w:szCs w:val="1"/>
                <w:color w:val="auto"/>
              </w:rPr>
            </w:pPr>
          </w:p>
        </w:tc>
      </w:tr>
      <w:tr>
        <w:trPr>
          <w:trHeight w:val="216"/>
        </w:trPr>
        <w:tc>
          <w:tcPr>
            <w:tcW w:w="648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60" w:type="dxa"/>
            <w:vAlign w:val="bottom"/>
            <w:tcBorders>
              <w:bottom w:val="single" w:sz="8" w:color="auto"/>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28,820</w:t>
            </w:r>
          </w:p>
        </w:tc>
        <w:tc>
          <w:tcPr>
            <w:tcW w:w="26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1,854</w:t>
            </w:r>
          </w:p>
        </w:tc>
        <w:tc>
          <w:tcPr>
            <w:tcW w:w="44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17,831</w:t>
            </w:r>
          </w:p>
        </w:tc>
        <w:tc>
          <w:tcPr>
            <w:tcW w:w="0" w:type="dxa"/>
            <w:vAlign w:val="bottom"/>
          </w:tcPr>
          <w:p>
            <w:pPr>
              <w:spacing w:after="0"/>
              <w:rPr>
                <w:sz w:val="1"/>
                <w:szCs w:val="1"/>
                <w:color w:val="auto"/>
              </w:rPr>
            </w:pPr>
          </w:p>
        </w:tc>
      </w:tr>
      <w:tr>
        <w:trPr>
          <w:trHeight w:val="209"/>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(loss) from continuing operations</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(19,512 )</w:t>
            </w:r>
          </w:p>
        </w:tc>
        <w:tc>
          <w:tcPr>
            <w:tcW w:w="26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(23,628 )</w:t>
            </w:r>
          </w:p>
        </w:tc>
        <w:tc>
          <w:tcPr>
            <w:tcW w:w="44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72,242</w:t>
            </w:r>
          </w:p>
        </w:tc>
        <w:tc>
          <w:tcPr>
            <w:tcW w:w="0" w:type="dxa"/>
            <w:vAlign w:val="bottom"/>
          </w:tcPr>
          <w:p>
            <w:pPr>
              <w:spacing w:after="0"/>
              <w:rPr>
                <w:sz w:val="1"/>
                <w:szCs w:val="1"/>
                <w:color w:val="auto"/>
              </w:rPr>
            </w:pPr>
          </w:p>
        </w:tc>
      </w:tr>
      <w:tr>
        <w:trPr>
          <w:trHeight w:val="216"/>
        </w:trPr>
        <w:tc>
          <w:tcPr>
            <w:tcW w:w="648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Gain (loss) from discontinued operations, net of tax</w:t>
            </w:r>
          </w:p>
        </w:tc>
        <w:tc>
          <w:tcPr>
            <w:tcW w:w="160" w:type="dxa"/>
            <w:vAlign w:val="bottom"/>
            <w:tcBorders>
              <w:bottom w:val="single" w:sz="8" w:color="auto"/>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622</w:t>
            </w:r>
          </w:p>
        </w:tc>
        <w:tc>
          <w:tcPr>
            <w:tcW w:w="26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6,801</w:t>
            </w:r>
          </w:p>
        </w:tc>
        <w:tc>
          <w:tcPr>
            <w:tcW w:w="44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(327 )</w:t>
            </w:r>
          </w:p>
        </w:tc>
        <w:tc>
          <w:tcPr>
            <w:tcW w:w="0" w:type="dxa"/>
            <w:vAlign w:val="bottom"/>
          </w:tcPr>
          <w:p>
            <w:pPr>
              <w:spacing w:after="0"/>
              <w:rPr>
                <w:sz w:val="1"/>
                <w:szCs w:val="1"/>
                <w:color w:val="auto"/>
              </w:rPr>
            </w:pPr>
          </w:p>
        </w:tc>
      </w:tr>
      <w:tr>
        <w:trPr>
          <w:trHeight w:val="210"/>
        </w:trPr>
        <w:tc>
          <w:tcPr>
            <w:tcW w:w="6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Earnings (Loss)</w:t>
            </w:r>
          </w:p>
        </w:tc>
        <w:tc>
          <w:tcPr>
            <w:tcW w:w="500" w:type="dxa"/>
            <w:vAlign w:val="bottom"/>
            <w:tcBorders>
              <w:bottom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(18,890 )</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(16,827 )</w:t>
            </w:r>
          </w:p>
        </w:tc>
        <w:tc>
          <w:tcPr>
            <w:tcW w:w="4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71,915</w:t>
            </w:r>
          </w:p>
        </w:tc>
        <w:tc>
          <w:tcPr>
            <w:tcW w:w="0" w:type="dxa"/>
            <w:vAlign w:val="bottom"/>
          </w:tcPr>
          <w:p>
            <w:pPr>
              <w:spacing w:after="0"/>
              <w:rPr>
                <w:sz w:val="1"/>
                <w:szCs w:val="1"/>
                <w:color w:val="auto"/>
              </w:rPr>
            </w:pPr>
          </w:p>
        </w:tc>
      </w:tr>
      <w:tr>
        <w:trPr>
          <w:trHeight w:val="20"/>
        </w:trPr>
        <w:tc>
          <w:tcPr>
            <w:tcW w:w="64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earnings (loss) per common share:</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Continuing operations</w:t>
            </w:r>
          </w:p>
        </w:tc>
        <w:tc>
          <w:tcPr>
            <w:tcW w:w="5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(1.80 )</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(2.10 )</w:t>
            </w:r>
          </w:p>
        </w:tc>
        <w:tc>
          <w:tcPr>
            <w:tcW w:w="4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5.80</w:t>
            </w:r>
          </w:p>
        </w:tc>
        <w:tc>
          <w:tcPr>
            <w:tcW w:w="0" w:type="dxa"/>
            <w:vAlign w:val="bottom"/>
          </w:tcPr>
          <w:p>
            <w:pPr>
              <w:spacing w:after="0"/>
              <w:rPr>
                <w:sz w:val="1"/>
                <w:szCs w:val="1"/>
                <w:color w:val="auto"/>
              </w:rPr>
            </w:pPr>
          </w:p>
        </w:tc>
      </w:tr>
      <w:tr>
        <w:trPr>
          <w:trHeight w:val="216"/>
        </w:trPr>
        <w:tc>
          <w:tcPr>
            <w:tcW w:w="64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Discontinued operations</w:t>
            </w:r>
          </w:p>
        </w:tc>
        <w:tc>
          <w:tcPr>
            <w:tcW w:w="16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0.06</w:t>
            </w: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0.60</w:t>
            </w:r>
          </w:p>
        </w:tc>
        <w:tc>
          <w:tcPr>
            <w:tcW w:w="4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(0.03 )</w:t>
            </w:r>
          </w:p>
        </w:tc>
        <w:tc>
          <w:tcPr>
            <w:tcW w:w="0" w:type="dxa"/>
            <w:vAlign w:val="bottom"/>
          </w:tcPr>
          <w:p>
            <w:pPr>
              <w:spacing w:after="0"/>
              <w:rPr>
                <w:sz w:val="1"/>
                <w:szCs w:val="1"/>
                <w:color w:val="auto"/>
              </w:rPr>
            </w:pPr>
          </w:p>
        </w:tc>
      </w:tr>
      <w:tr>
        <w:trPr>
          <w:trHeight w:val="250"/>
        </w:trPr>
        <w:tc>
          <w:tcPr>
            <w:tcW w:w="6480" w:type="dxa"/>
            <w:vAlign w:val="bottom"/>
            <w:tcBorders>
              <w:bottom w:val="single" w:sz="8" w:color="auto"/>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earnings (loss)</w:t>
            </w:r>
          </w:p>
        </w:tc>
        <w:tc>
          <w:tcPr>
            <w:tcW w:w="500" w:type="dxa"/>
            <w:vAlign w:val="bottom"/>
            <w:tcBorders>
              <w:bottom w:val="single" w:sz="8" w:color="auto"/>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(1.74 )</w:t>
            </w:r>
          </w:p>
        </w:tc>
        <w:tc>
          <w:tcPr>
            <w:tcW w:w="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(1.50 )</w:t>
            </w:r>
          </w:p>
        </w:tc>
        <w:tc>
          <w:tcPr>
            <w:tcW w:w="4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5.77</w:t>
            </w:r>
          </w:p>
        </w:tc>
        <w:tc>
          <w:tcPr>
            <w:tcW w:w="0" w:type="dxa"/>
            <w:vAlign w:val="bottom"/>
          </w:tcPr>
          <w:p>
            <w:pPr>
              <w:spacing w:after="0"/>
              <w:rPr>
                <w:sz w:val="1"/>
                <w:szCs w:val="1"/>
                <w:color w:val="auto"/>
              </w:rPr>
            </w:pPr>
          </w:p>
        </w:tc>
      </w:tr>
      <w:tr>
        <w:trPr>
          <w:trHeight w:val="413"/>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earnings (loss) per common share:</w:t>
            </w: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4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Continuing operations</w:t>
            </w:r>
          </w:p>
        </w:tc>
        <w:tc>
          <w:tcPr>
            <w:tcW w:w="5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(1.80 )</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(2.10 )</w:t>
            </w:r>
          </w:p>
        </w:tc>
        <w:tc>
          <w:tcPr>
            <w:tcW w:w="4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5.69</w:t>
            </w:r>
          </w:p>
        </w:tc>
        <w:tc>
          <w:tcPr>
            <w:tcW w:w="0" w:type="dxa"/>
            <w:vAlign w:val="bottom"/>
          </w:tcPr>
          <w:p>
            <w:pPr>
              <w:spacing w:after="0"/>
              <w:rPr>
                <w:sz w:val="1"/>
                <w:szCs w:val="1"/>
                <w:color w:val="auto"/>
              </w:rPr>
            </w:pPr>
          </w:p>
        </w:tc>
      </w:tr>
      <w:tr>
        <w:trPr>
          <w:trHeight w:val="216"/>
        </w:trPr>
        <w:tc>
          <w:tcPr>
            <w:tcW w:w="64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Discontinued operations</w:t>
            </w:r>
          </w:p>
        </w:tc>
        <w:tc>
          <w:tcPr>
            <w:tcW w:w="16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0.06</w:t>
            </w: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0.60</w:t>
            </w:r>
          </w:p>
        </w:tc>
        <w:tc>
          <w:tcPr>
            <w:tcW w:w="4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(0.03 )</w:t>
            </w:r>
          </w:p>
        </w:tc>
        <w:tc>
          <w:tcPr>
            <w:tcW w:w="0" w:type="dxa"/>
            <w:vAlign w:val="bottom"/>
          </w:tcPr>
          <w:p>
            <w:pPr>
              <w:spacing w:after="0"/>
              <w:rPr>
                <w:sz w:val="1"/>
                <w:szCs w:val="1"/>
                <w:color w:val="auto"/>
              </w:rPr>
            </w:pPr>
          </w:p>
        </w:tc>
      </w:tr>
      <w:tr>
        <w:trPr>
          <w:trHeight w:val="249"/>
        </w:trPr>
        <w:tc>
          <w:tcPr>
            <w:tcW w:w="6480" w:type="dxa"/>
            <w:vAlign w:val="bottom"/>
            <w:tcBorders>
              <w:bottom w:val="single" w:sz="8" w:color="auto"/>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earnings (loss)</w:t>
            </w:r>
          </w:p>
        </w:tc>
        <w:tc>
          <w:tcPr>
            <w:tcW w:w="500" w:type="dxa"/>
            <w:vAlign w:val="bottom"/>
            <w:tcBorders>
              <w:bottom w:val="single" w:sz="8" w:color="auto"/>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(1.74 )</w:t>
            </w:r>
          </w:p>
        </w:tc>
        <w:tc>
          <w:tcPr>
            <w:tcW w:w="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(1.50 )</w:t>
            </w:r>
          </w:p>
        </w:tc>
        <w:tc>
          <w:tcPr>
            <w:tcW w:w="4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5.66</w:t>
            </w:r>
          </w:p>
        </w:tc>
        <w:tc>
          <w:tcPr>
            <w:tcW w:w="0" w:type="dxa"/>
            <w:vAlign w:val="bottom"/>
          </w:tcPr>
          <w:p>
            <w:pPr>
              <w:spacing w:after="0"/>
              <w:rPr>
                <w:sz w:val="1"/>
                <w:szCs w:val="1"/>
                <w:color w:val="auto"/>
              </w:rPr>
            </w:pPr>
          </w:p>
        </w:tc>
      </w:tr>
      <w:tr>
        <w:trPr>
          <w:trHeight w:val="413"/>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4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160" w:type="dxa"/>
            <w:vAlign w:val="bottom"/>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10,836</w:t>
            </w:r>
          </w:p>
        </w:tc>
        <w:tc>
          <w:tcPr>
            <w:tcW w:w="26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11,243</w:t>
            </w:r>
          </w:p>
        </w:tc>
        <w:tc>
          <w:tcPr>
            <w:tcW w:w="44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12,457</w:t>
            </w:r>
          </w:p>
        </w:tc>
        <w:tc>
          <w:tcPr>
            <w:tcW w:w="0" w:type="dxa"/>
            <w:vAlign w:val="bottom"/>
          </w:tcPr>
          <w:p>
            <w:pPr>
              <w:spacing w:after="0"/>
              <w:rPr>
                <w:sz w:val="1"/>
                <w:szCs w:val="1"/>
                <w:color w:val="auto"/>
              </w:rPr>
            </w:pPr>
          </w:p>
        </w:tc>
      </w:tr>
      <w:tr>
        <w:trPr>
          <w:trHeight w:val="238"/>
        </w:trPr>
        <w:tc>
          <w:tcPr>
            <w:tcW w:w="6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10,836</w:t>
            </w:r>
          </w:p>
        </w:tc>
        <w:tc>
          <w:tcPr>
            <w:tcW w:w="260" w:type="dxa"/>
            <w:vAlign w:val="bottom"/>
          </w:tcPr>
          <w:p>
            <w:pPr>
              <w:spacing w:after="0"/>
              <w:rPr>
                <w:sz w:val="20"/>
                <w:szCs w:val="20"/>
                <w:color w:val="auto"/>
              </w:rPr>
            </w:pPr>
          </w:p>
        </w:tc>
        <w:tc>
          <w:tcPr>
            <w:tcW w:w="1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11,243</w:t>
            </w:r>
          </w:p>
        </w:tc>
        <w:tc>
          <w:tcPr>
            <w:tcW w:w="440" w:type="dxa"/>
            <w:vAlign w:val="bottom"/>
          </w:tcPr>
          <w:p>
            <w:pPr>
              <w:spacing w:after="0"/>
              <w:rPr>
                <w:sz w:val="20"/>
                <w:szCs w:val="20"/>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12,707</w:t>
            </w: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8" w:name="page49"/>
    <w:bookmarkEnd w:id="48"/>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Genesco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as noted</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640" w:type="dxa"/>
            <w:vAlign w:val="bottom"/>
            <w:tcBorders>
              <w:top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Fiscal Year</w:t>
            </w:r>
          </w:p>
        </w:tc>
        <w:tc>
          <w:tcPr>
            <w:tcW w:w="5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spacing w:after="0"/>
              <w:rPr>
                <w:sz w:val="19"/>
                <w:szCs w:val="19"/>
                <w:color w:val="auto"/>
              </w:rPr>
            </w:pPr>
          </w:p>
        </w:tc>
      </w:tr>
      <w:tr>
        <w:trPr>
          <w:trHeight w:val="210"/>
        </w:trPr>
        <w:tc>
          <w:tcPr>
            <w:tcW w:w="66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2024</w:t>
            </w:r>
          </w:p>
        </w:tc>
        <w:tc>
          <w:tcPr>
            <w:tcW w:w="5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2023</w:t>
            </w:r>
          </w:p>
        </w:tc>
      </w:tr>
      <w:tr>
        <w:trPr>
          <w:trHeight w:val="209"/>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earnings (loss)</w:t>
            </w:r>
          </w:p>
        </w:tc>
        <w:tc>
          <w:tcPr>
            <w:tcW w:w="44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(18,890 )</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(16,827 )</w:t>
            </w:r>
          </w:p>
        </w:tc>
        <w:tc>
          <w:tcPr>
            <w:tcW w:w="54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71,915</w:t>
            </w:r>
          </w:p>
        </w:tc>
      </w:tr>
      <w:tr>
        <w:trPr>
          <w:trHeight w:val="216"/>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4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Postretirement liability adjustment</w:t>
            </w:r>
          </w:p>
        </w:tc>
        <w:tc>
          <w:tcPr>
            <w:tcW w:w="44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(1,557 )</w:t>
            </w:r>
          </w:p>
        </w:tc>
        <w:tc>
          <w:tcPr>
            <w:tcW w:w="26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99</w:t>
            </w:r>
          </w:p>
        </w:tc>
        <w:tc>
          <w:tcPr>
            <w:tcW w:w="54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340</w:t>
            </w:r>
          </w:p>
        </w:tc>
      </w:tr>
      <w:tr>
        <w:trPr>
          <w:trHeight w:val="216"/>
        </w:trPr>
        <w:tc>
          <w:tcPr>
            <w:tcW w:w="664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4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(4,243 )</w:t>
            </w: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1,488</w:t>
            </w:r>
          </w:p>
        </w:tc>
        <w:tc>
          <w:tcPr>
            <w:tcW w:w="5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(5,143 )</w:t>
            </w:r>
          </w:p>
        </w:tc>
      </w:tr>
      <w:tr>
        <w:trPr>
          <w:trHeight w:val="209"/>
        </w:trPr>
        <w:tc>
          <w:tcPr>
            <w:tcW w:w="6640" w:type="dxa"/>
            <w:vAlign w:val="bottom"/>
            <w:tcBorders>
              <w:bottom w:val="single" w:sz="8" w:color="auto"/>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other comprehensive income (loss)</w:t>
            </w:r>
          </w:p>
        </w:tc>
        <w:tc>
          <w:tcPr>
            <w:tcW w:w="44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(5,800 )</w:t>
            </w:r>
          </w:p>
        </w:tc>
        <w:tc>
          <w:tcPr>
            <w:tcW w:w="26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1,587</w:t>
            </w:r>
          </w:p>
        </w:tc>
        <w:tc>
          <w:tcPr>
            <w:tcW w:w="54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(4,803 )</w:t>
            </w:r>
          </w:p>
        </w:tc>
      </w:tr>
      <w:tr>
        <w:trPr>
          <w:trHeight w:val="209"/>
        </w:trPr>
        <w:tc>
          <w:tcPr>
            <w:tcW w:w="6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 (Loss)</w:t>
            </w: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(24,690 )</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(15,240 )</w:t>
            </w:r>
          </w:p>
        </w:tc>
        <w:tc>
          <w:tcPr>
            <w:tcW w:w="5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67,112</w:t>
            </w:r>
          </w:p>
        </w:tc>
      </w:tr>
      <w:tr>
        <w:trPr>
          <w:trHeight w:val="20"/>
        </w:trPr>
        <w:tc>
          <w:tcPr>
            <w:tcW w:w="66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9" w:name="page50"/>
    <w:bookmarkEnd w:id="49"/>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Genesco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6000" w:type="dxa"/>
            <w:vAlign w:val="bottom"/>
            <w:tcBorders>
              <w:top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400" w:type="dxa"/>
            <w:vAlign w:val="bottom"/>
            <w:tcBorders>
              <w:top w:val="single" w:sz="8" w:color="auto"/>
              <w:bottom w:val="single" w:sz="8" w:color="auto"/>
            </w:tcBorders>
          </w:tcPr>
          <w:p>
            <w:pPr>
              <w:jc w:val="right"/>
              <w:ind w:right="517"/>
              <w:spacing w:after="0"/>
              <w:rPr>
                <w:sz w:val="20"/>
                <w:szCs w:val="20"/>
                <w:color w:val="auto"/>
              </w:rPr>
            </w:pPr>
            <w:r>
              <w:rPr>
                <w:rFonts w:ascii="Times New Roman" w:cs="Times New Roman" w:eastAsia="Times New Roman" w:hAnsi="Times New Roman"/>
                <w:sz w:val="13"/>
                <w:szCs w:val="13"/>
                <w:b w:val="1"/>
                <w:bCs w:val="1"/>
                <w:color w:val="auto"/>
              </w:rPr>
              <w:t>Fiscal Year</w:t>
            </w:r>
          </w:p>
        </w:tc>
        <w:tc>
          <w:tcPr>
            <w:tcW w:w="660" w:type="dxa"/>
            <w:vAlign w:val="bottom"/>
            <w:tcBorders>
              <w:top w:val="single" w:sz="8" w:color="auto"/>
              <w:bottom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spacing w:after="0"/>
              <w:rPr>
                <w:sz w:val="12"/>
                <w:szCs w:val="12"/>
                <w:color w:val="auto"/>
              </w:rPr>
            </w:pPr>
          </w:p>
        </w:tc>
      </w:tr>
      <w:tr>
        <w:trPr>
          <w:trHeight w:val="128"/>
        </w:trPr>
        <w:tc>
          <w:tcPr>
            <w:tcW w:w="6000" w:type="dxa"/>
            <w:vAlign w:val="bottom"/>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jc w:val="right"/>
              <w:ind w:right="57"/>
              <w:spacing w:after="0" w:line="129" w:lineRule="exact"/>
              <w:rPr>
                <w:sz w:val="20"/>
                <w:szCs w:val="20"/>
                <w:color w:val="auto"/>
              </w:rPr>
            </w:pPr>
            <w:r>
              <w:rPr>
                <w:rFonts w:ascii="Times New Roman" w:cs="Times New Roman" w:eastAsia="Times New Roman" w:hAnsi="Times New Roman"/>
                <w:sz w:val="13"/>
                <w:szCs w:val="13"/>
                <w:b w:val="1"/>
                <w:bCs w:val="1"/>
                <w:color w:val="auto"/>
              </w:rPr>
              <w:t>2025</w:t>
            </w:r>
          </w:p>
        </w:tc>
        <w:tc>
          <w:tcPr>
            <w:tcW w:w="320" w:type="dxa"/>
            <w:vAlign w:val="bottom"/>
            <w:tcBorders>
              <w:bottom w:val="single" w:sz="8" w:color="auto"/>
            </w:tcBorders>
          </w:tcPr>
          <w:p>
            <w:pPr>
              <w:spacing w:after="0"/>
              <w:rPr>
                <w:sz w:val="11"/>
                <w:szCs w:val="11"/>
                <w:color w:val="auto"/>
              </w:rPr>
            </w:pPr>
          </w:p>
        </w:tc>
        <w:tc>
          <w:tcPr>
            <w:tcW w:w="1400" w:type="dxa"/>
            <w:vAlign w:val="bottom"/>
            <w:tcBorders>
              <w:bottom w:val="single" w:sz="8" w:color="auto"/>
            </w:tcBorders>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rPr>
              <w:t>2024</w:t>
            </w:r>
          </w:p>
        </w:tc>
        <w:tc>
          <w:tcPr>
            <w:tcW w:w="66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jc w:val="right"/>
              <w:ind w:right="77"/>
              <w:spacing w:after="0" w:line="129" w:lineRule="exact"/>
              <w:rPr>
                <w:sz w:val="20"/>
                <w:szCs w:val="20"/>
                <w:color w:val="auto"/>
              </w:rPr>
            </w:pPr>
            <w:r>
              <w:rPr>
                <w:rFonts w:ascii="Times New Roman" w:cs="Times New Roman" w:eastAsia="Times New Roman" w:hAnsi="Times New Roman"/>
                <w:sz w:val="13"/>
                <w:szCs w:val="13"/>
                <w:color w:val="auto"/>
              </w:rPr>
              <w:t>2023</w:t>
            </w:r>
          </w:p>
        </w:tc>
      </w:tr>
      <w:tr>
        <w:trPr>
          <w:trHeight w:val="128"/>
        </w:trPr>
        <w:tc>
          <w:tcPr>
            <w:tcW w:w="6000" w:type="dxa"/>
            <w:vAlign w:val="bottom"/>
            <w:shd w:val="clear" w:color="auto" w:fill="CFF0FC"/>
          </w:tcPr>
          <w:p>
            <w:pPr>
              <w:ind w:left="20"/>
              <w:spacing w:after="0" w:line="129" w:lineRule="exact"/>
              <w:rPr>
                <w:sz w:val="20"/>
                <w:szCs w:val="20"/>
                <w:color w:val="auto"/>
              </w:rPr>
            </w:pPr>
            <w:r>
              <w:rPr>
                <w:rFonts w:ascii="Times New Roman" w:cs="Times New Roman" w:eastAsia="Times New Roman" w:hAnsi="Times New Roman"/>
                <w:sz w:val="13"/>
                <w:szCs w:val="13"/>
                <w:b w:val="1"/>
                <w:bCs w:val="1"/>
                <w:color w:val="auto"/>
              </w:rPr>
              <w:t>CASH FLOWS FROM OPERATING ACTIVITIES:</w:t>
            </w:r>
          </w:p>
        </w:tc>
        <w:tc>
          <w:tcPr>
            <w:tcW w:w="62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140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r>
      <w:tr>
        <w:trPr>
          <w:trHeight w:val="135"/>
        </w:trPr>
        <w:tc>
          <w:tcPr>
            <w:tcW w:w="600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Net earnings (loss)</w:t>
            </w:r>
          </w:p>
        </w:tc>
        <w:tc>
          <w:tcPr>
            <w:tcW w:w="620" w:type="dxa"/>
            <w:vAlign w:val="bottom"/>
          </w:tcPr>
          <w:p>
            <w:pPr>
              <w:jc w:val="right"/>
              <w:ind w:right="477"/>
              <w:spacing w:after="0" w:line="135"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11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(18,890 )</w:t>
            </w:r>
          </w:p>
        </w:tc>
        <w:tc>
          <w:tcPr>
            <w:tcW w:w="320" w:type="dxa"/>
            <w:vAlign w:val="bottom"/>
          </w:tcPr>
          <w:p>
            <w:pPr>
              <w:jc w:val="right"/>
              <w:ind w:right="177"/>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14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(16,827 )</w:t>
            </w:r>
          </w:p>
        </w:tc>
        <w:tc>
          <w:tcPr>
            <w:tcW w:w="660" w:type="dxa"/>
            <w:vAlign w:val="bottom"/>
          </w:tcPr>
          <w:p>
            <w:pPr>
              <w:jc w:val="right"/>
              <w:ind w:right="49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14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71,915</w:t>
            </w:r>
          </w:p>
        </w:tc>
      </w:tr>
      <w:tr>
        <w:trPr>
          <w:trHeight w:val="117"/>
        </w:trPr>
        <w:tc>
          <w:tcPr>
            <w:tcW w:w="6000" w:type="dxa"/>
            <w:vAlign w:val="bottom"/>
            <w:shd w:val="clear" w:color="auto" w:fill="CFF0FC"/>
          </w:tcPr>
          <w:p>
            <w:pPr>
              <w:ind w:left="20"/>
              <w:spacing w:after="0" w:line="117" w:lineRule="exact"/>
              <w:rPr>
                <w:sz w:val="20"/>
                <w:szCs w:val="20"/>
                <w:color w:val="auto"/>
              </w:rPr>
            </w:pPr>
            <w:r>
              <w:rPr>
                <w:rFonts w:ascii="Times New Roman" w:cs="Times New Roman" w:eastAsia="Times New Roman" w:hAnsi="Times New Roman"/>
                <w:sz w:val="13"/>
                <w:szCs w:val="13"/>
                <w:color w:val="auto"/>
              </w:rPr>
              <w:t>Adjustments to reconcile net earnings (loss) to net cash provided by (used in) operating</w:t>
            </w:r>
          </w:p>
        </w:tc>
        <w:tc>
          <w:tcPr>
            <w:tcW w:w="620" w:type="dxa"/>
            <w:vAlign w:val="bottom"/>
            <w:shd w:val="clear" w:color="auto" w:fill="CFF0FC"/>
          </w:tcPr>
          <w:p>
            <w:pPr>
              <w:spacing w:after="0"/>
              <w:rPr>
                <w:sz w:val="10"/>
                <w:szCs w:val="10"/>
                <w:color w:val="auto"/>
              </w:rPr>
            </w:pPr>
          </w:p>
        </w:tc>
        <w:tc>
          <w:tcPr>
            <w:tcW w:w="110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140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140" w:type="dxa"/>
            <w:vAlign w:val="bottom"/>
            <w:shd w:val="clear" w:color="auto" w:fill="CFF0FC"/>
          </w:tcPr>
          <w:p>
            <w:pPr>
              <w:spacing w:after="0"/>
              <w:rPr>
                <w:sz w:val="10"/>
                <w:szCs w:val="10"/>
                <w:color w:val="auto"/>
              </w:rPr>
            </w:pPr>
          </w:p>
        </w:tc>
      </w:tr>
      <w:tr>
        <w:trPr>
          <w:trHeight w:val="153"/>
        </w:trPr>
        <w:tc>
          <w:tcPr>
            <w:tcW w:w="60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activities:</w:t>
            </w:r>
          </w:p>
        </w:tc>
        <w:tc>
          <w:tcPr>
            <w:tcW w:w="620" w:type="dxa"/>
            <w:vAlign w:val="bottom"/>
            <w:shd w:val="clear" w:color="auto" w:fill="CFF0FC"/>
          </w:tcPr>
          <w:p>
            <w:pPr>
              <w:spacing w:after="0"/>
              <w:rPr>
                <w:sz w:val="13"/>
                <w:szCs w:val="13"/>
                <w:color w:val="auto"/>
              </w:rPr>
            </w:pPr>
          </w:p>
        </w:tc>
        <w:tc>
          <w:tcPr>
            <w:tcW w:w="110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40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r>
      <w:tr>
        <w:trPr>
          <w:trHeight w:val="135"/>
        </w:trPr>
        <w:tc>
          <w:tcPr>
            <w:tcW w:w="6000" w:type="dxa"/>
            <w:vAlign w:val="bottom"/>
          </w:tcPr>
          <w:p>
            <w:pPr>
              <w:ind w:left="160"/>
              <w:spacing w:after="0" w:line="135" w:lineRule="exact"/>
              <w:rPr>
                <w:sz w:val="20"/>
                <w:szCs w:val="20"/>
                <w:color w:val="auto"/>
              </w:rPr>
            </w:pPr>
            <w:r>
              <w:rPr>
                <w:rFonts w:ascii="Times New Roman" w:cs="Times New Roman" w:eastAsia="Times New Roman" w:hAnsi="Times New Roman"/>
                <w:sz w:val="13"/>
                <w:szCs w:val="13"/>
                <w:color w:val="auto"/>
              </w:rPr>
              <w:t>Depreciation and amortization</w:t>
            </w:r>
          </w:p>
        </w:tc>
        <w:tc>
          <w:tcPr>
            <w:tcW w:w="620" w:type="dxa"/>
            <w:vAlign w:val="bottom"/>
          </w:tcPr>
          <w:p>
            <w:pPr>
              <w:spacing w:after="0"/>
              <w:rPr>
                <w:sz w:val="11"/>
                <w:szCs w:val="11"/>
                <w:color w:val="auto"/>
              </w:rPr>
            </w:pPr>
          </w:p>
        </w:tc>
        <w:tc>
          <w:tcPr>
            <w:tcW w:w="110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b w:val="1"/>
                <w:bCs w:val="1"/>
                <w:color w:val="auto"/>
              </w:rPr>
              <w:t>52,464</w:t>
            </w:r>
          </w:p>
        </w:tc>
        <w:tc>
          <w:tcPr>
            <w:tcW w:w="320" w:type="dxa"/>
            <w:vAlign w:val="bottom"/>
          </w:tcPr>
          <w:p>
            <w:pPr>
              <w:spacing w:after="0"/>
              <w:rPr>
                <w:sz w:val="11"/>
                <w:szCs w:val="11"/>
                <w:color w:val="auto"/>
              </w:rPr>
            </w:pPr>
          </w:p>
        </w:tc>
        <w:tc>
          <w:tcPr>
            <w:tcW w:w="1400" w:type="dxa"/>
            <w:vAlign w:val="bottom"/>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49,441</w:t>
            </w:r>
          </w:p>
        </w:tc>
        <w:tc>
          <w:tcPr>
            <w:tcW w:w="660" w:type="dxa"/>
            <w:vAlign w:val="bottom"/>
          </w:tcPr>
          <w:p>
            <w:pPr>
              <w:spacing w:after="0"/>
              <w:rPr>
                <w:sz w:val="11"/>
                <w:szCs w:val="11"/>
                <w:color w:val="auto"/>
              </w:rPr>
            </w:pPr>
          </w:p>
        </w:tc>
        <w:tc>
          <w:tcPr>
            <w:tcW w:w="114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42,818</w:t>
            </w:r>
          </w:p>
        </w:tc>
      </w:tr>
      <w:tr>
        <w:trPr>
          <w:trHeight w:val="135"/>
        </w:trPr>
        <w:tc>
          <w:tcPr>
            <w:tcW w:w="6000" w:type="dxa"/>
            <w:vAlign w:val="bottom"/>
            <w:shd w:val="clear" w:color="auto" w:fill="CFF0FC"/>
          </w:tcPr>
          <w:p>
            <w:pPr>
              <w:ind w:left="160"/>
              <w:spacing w:after="0" w:line="135" w:lineRule="exact"/>
              <w:rPr>
                <w:sz w:val="20"/>
                <w:szCs w:val="20"/>
                <w:color w:val="auto"/>
              </w:rPr>
            </w:pPr>
            <w:r>
              <w:rPr>
                <w:rFonts w:ascii="Times New Roman" w:cs="Times New Roman" w:eastAsia="Times New Roman" w:hAnsi="Times New Roman"/>
                <w:sz w:val="13"/>
                <w:szCs w:val="13"/>
                <w:color w:val="auto"/>
              </w:rPr>
              <w:t>Deferred income taxes</w:t>
            </w:r>
          </w:p>
        </w:tc>
        <w:tc>
          <w:tcPr>
            <w:tcW w:w="620" w:type="dxa"/>
            <w:vAlign w:val="bottom"/>
            <w:shd w:val="clear" w:color="auto" w:fill="CFF0FC"/>
          </w:tcPr>
          <w:p>
            <w:pPr>
              <w:spacing w:after="0"/>
              <w:rPr>
                <w:sz w:val="11"/>
                <w:szCs w:val="11"/>
                <w:color w:val="auto"/>
              </w:rPr>
            </w:pPr>
          </w:p>
        </w:tc>
        <w:tc>
          <w:tcPr>
            <w:tcW w:w="110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b w:val="1"/>
                <w:bCs w:val="1"/>
                <w:color w:val="auto"/>
              </w:rPr>
              <w:t>26,758</w:t>
            </w:r>
          </w:p>
        </w:tc>
        <w:tc>
          <w:tcPr>
            <w:tcW w:w="320" w:type="dxa"/>
            <w:vAlign w:val="bottom"/>
            <w:shd w:val="clear" w:color="auto" w:fill="CFF0FC"/>
          </w:tcPr>
          <w:p>
            <w:pPr>
              <w:spacing w:after="0"/>
              <w:rPr>
                <w:sz w:val="11"/>
                <w:szCs w:val="11"/>
                <w:color w:val="auto"/>
              </w:rPr>
            </w:pPr>
          </w:p>
        </w:tc>
        <w:tc>
          <w:tcPr>
            <w:tcW w:w="1400" w:type="dxa"/>
            <w:vAlign w:val="bottom"/>
            <w:shd w:val="clear" w:color="auto" w:fill="CFF0FC"/>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3,452</w:t>
            </w:r>
          </w:p>
        </w:tc>
        <w:tc>
          <w:tcPr>
            <w:tcW w:w="660" w:type="dxa"/>
            <w:vAlign w:val="bottom"/>
            <w:shd w:val="clear" w:color="auto" w:fill="CFF0FC"/>
          </w:tcPr>
          <w:p>
            <w:pPr>
              <w:spacing w:after="0"/>
              <w:rPr>
                <w:sz w:val="11"/>
                <w:szCs w:val="11"/>
                <w:color w:val="auto"/>
              </w:rPr>
            </w:pPr>
          </w:p>
        </w:tc>
        <w:tc>
          <w:tcPr>
            <w:tcW w:w="11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(26,394 )</w:t>
            </w:r>
          </w:p>
        </w:tc>
      </w:tr>
      <w:tr>
        <w:trPr>
          <w:trHeight w:val="135"/>
        </w:trPr>
        <w:tc>
          <w:tcPr>
            <w:tcW w:w="6000" w:type="dxa"/>
            <w:vAlign w:val="bottom"/>
          </w:tcPr>
          <w:p>
            <w:pPr>
              <w:ind w:left="160"/>
              <w:spacing w:after="0" w:line="135" w:lineRule="exact"/>
              <w:rPr>
                <w:sz w:val="20"/>
                <w:szCs w:val="20"/>
                <w:color w:val="auto"/>
              </w:rPr>
            </w:pPr>
            <w:r>
              <w:rPr>
                <w:rFonts w:ascii="Times New Roman" w:cs="Times New Roman" w:eastAsia="Times New Roman" w:hAnsi="Times New Roman"/>
                <w:sz w:val="13"/>
                <w:szCs w:val="13"/>
                <w:color w:val="auto"/>
              </w:rPr>
              <w:t>Goodwill impairment</w:t>
            </w:r>
          </w:p>
        </w:tc>
        <w:tc>
          <w:tcPr>
            <w:tcW w:w="620" w:type="dxa"/>
            <w:vAlign w:val="bottom"/>
          </w:tcPr>
          <w:p>
            <w:pPr>
              <w:spacing w:after="0"/>
              <w:rPr>
                <w:sz w:val="11"/>
                <w:szCs w:val="11"/>
                <w:color w:val="auto"/>
              </w:rPr>
            </w:pPr>
          </w:p>
        </w:tc>
        <w:tc>
          <w:tcPr>
            <w:tcW w:w="110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320" w:type="dxa"/>
            <w:vAlign w:val="bottom"/>
          </w:tcPr>
          <w:p>
            <w:pPr>
              <w:spacing w:after="0"/>
              <w:rPr>
                <w:sz w:val="11"/>
                <w:szCs w:val="11"/>
                <w:color w:val="auto"/>
              </w:rPr>
            </w:pPr>
          </w:p>
        </w:tc>
        <w:tc>
          <w:tcPr>
            <w:tcW w:w="1400" w:type="dxa"/>
            <w:vAlign w:val="bottom"/>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28,453</w:t>
            </w:r>
          </w:p>
        </w:tc>
        <w:tc>
          <w:tcPr>
            <w:tcW w:w="660" w:type="dxa"/>
            <w:vAlign w:val="bottom"/>
          </w:tcPr>
          <w:p>
            <w:pPr>
              <w:spacing w:after="0"/>
              <w:rPr>
                <w:sz w:val="11"/>
                <w:szCs w:val="11"/>
                <w:color w:val="auto"/>
              </w:rPr>
            </w:pPr>
          </w:p>
        </w:tc>
        <w:tc>
          <w:tcPr>
            <w:tcW w:w="114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135"/>
        </w:trPr>
        <w:tc>
          <w:tcPr>
            <w:tcW w:w="6000" w:type="dxa"/>
            <w:vAlign w:val="bottom"/>
            <w:shd w:val="clear" w:color="auto" w:fill="CFF0FC"/>
          </w:tcPr>
          <w:p>
            <w:pPr>
              <w:ind w:left="160"/>
              <w:spacing w:after="0" w:line="135" w:lineRule="exact"/>
              <w:rPr>
                <w:sz w:val="20"/>
                <w:szCs w:val="20"/>
                <w:color w:val="auto"/>
              </w:rPr>
            </w:pPr>
            <w:r>
              <w:rPr>
                <w:rFonts w:ascii="Times New Roman" w:cs="Times New Roman" w:eastAsia="Times New Roman" w:hAnsi="Times New Roman"/>
                <w:sz w:val="13"/>
                <w:szCs w:val="13"/>
                <w:color w:val="auto"/>
              </w:rPr>
              <w:t>Impairment of long-lived assets</w:t>
            </w:r>
          </w:p>
        </w:tc>
        <w:tc>
          <w:tcPr>
            <w:tcW w:w="620" w:type="dxa"/>
            <w:vAlign w:val="bottom"/>
            <w:shd w:val="clear" w:color="auto" w:fill="CFF0FC"/>
          </w:tcPr>
          <w:p>
            <w:pPr>
              <w:spacing w:after="0"/>
              <w:rPr>
                <w:sz w:val="11"/>
                <w:szCs w:val="11"/>
                <w:color w:val="auto"/>
              </w:rPr>
            </w:pPr>
          </w:p>
        </w:tc>
        <w:tc>
          <w:tcPr>
            <w:tcW w:w="110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b w:val="1"/>
                <w:bCs w:val="1"/>
                <w:color w:val="auto"/>
              </w:rPr>
              <w:t>1,384</w:t>
            </w:r>
          </w:p>
        </w:tc>
        <w:tc>
          <w:tcPr>
            <w:tcW w:w="320" w:type="dxa"/>
            <w:vAlign w:val="bottom"/>
            <w:shd w:val="clear" w:color="auto" w:fill="CFF0FC"/>
          </w:tcPr>
          <w:p>
            <w:pPr>
              <w:spacing w:after="0"/>
              <w:rPr>
                <w:sz w:val="11"/>
                <w:szCs w:val="11"/>
                <w:color w:val="auto"/>
              </w:rPr>
            </w:pPr>
          </w:p>
        </w:tc>
        <w:tc>
          <w:tcPr>
            <w:tcW w:w="1400" w:type="dxa"/>
            <w:vAlign w:val="bottom"/>
            <w:shd w:val="clear" w:color="auto" w:fill="CFF0FC"/>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958</w:t>
            </w:r>
          </w:p>
        </w:tc>
        <w:tc>
          <w:tcPr>
            <w:tcW w:w="660" w:type="dxa"/>
            <w:vAlign w:val="bottom"/>
            <w:shd w:val="clear" w:color="auto" w:fill="CFF0FC"/>
          </w:tcPr>
          <w:p>
            <w:pPr>
              <w:spacing w:after="0"/>
              <w:rPr>
                <w:sz w:val="11"/>
                <w:szCs w:val="11"/>
                <w:color w:val="auto"/>
              </w:rPr>
            </w:pPr>
          </w:p>
        </w:tc>
        <w:tc>
          <w:tcPr>
            <w:tcW w:w="114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1,550</w:t>
            </w:r>
          </w:p>
        </w:tc>
      </w:tr>
      <w:tr>
        <w:trPr>
          <w:trHeight w:val="135"/>
        </w:trPr>
        <w:tc>
          <w:tcPr>
            <w:tcW w:w="6000" w:type="dxa"/>
            <w:vAlign w:val="bottom"/>
          </w:tcPr>
          <w:p>
            <w:pPr>
              <w:ind w:left="160"/>
              <w:spacing w:after="0" w:line="135" w:lineRule="exact"/>
              <w:rPr>
                <w:sz w:val="20"/>
                <w:szCs w:val="20"/>
                <w:color w:val="auto"/>
              </w:rPr>
            </w:pPr>
            <w:r>
              <w:rPr>
                <w:rFonts w:ascii="Times New Roman" w:cs="Times New Roman" w:eastAsia="Times New Roman" w:hAnsi="Times New Roman"/>
                <w:sz w:val="13"/>
                <w:szCs w:val="13"/>
                <w:color w:val="auto"/>
              </w:rPr>
              <w:t>Share-based compensation expense</w:t>
            </w:r>
          </w:p>
        </w:tc>
        <w:tc>
          <w:tcPr>
            <w:tcW w:w="620" w:type="dxa"/>
            <w:vAlign w:val="bottom"/>
          </w:tcPr>
          <w:p>
            <w:pPr>
              <w:spacing w:after="0"/>
              <w:rPr>
                <w:sz w:val="11"/>
                <w:szCs w:val="11"/>
                <w:color w:val="auto"/>
              </w:rPr>
            </w:pPr>
          </w:p>
        </w:tc>
        <w:tc>
          <w:tcPr>
            <w:tcW w:w="110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b w:val="1"/>
                <w:bCs w:val="1"/>
                <w:color w:val="auto"/>
              </w:rPr>
              <w:t>12,866</w:t>
            </w:r>
          </w:p>
        </w:tc>
        <w:tc>
          <w:tcPr>
            <w:tcW w:w="320" w:type="dxa"/>
            <w:vAlign w:val="bottom"/>
          </w:tcPr>
          <w:p>
            <w:pPr>
              <w:spacing w:after="0"/>
              <w:rPr>
                <w:sz w:val="11"/>
                <w:szCs w:val="11"/>
                <w:color w:val="auto"/>
              </w:rPr>
            </w:pPr>
          </w:p>
        </w:tc>
        <w:tc>
          <w:tcPr>
            <w:tcW w:w="1400" w:type="dxa"/>
            <w:vAlign w:val="bottom"/>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14,014</w:t>
            </w:r>
          </w:p>
        </w:tc>
        <w:tc>
          <w:tcPr>
            <w:tcW w:w="660" w:type="dxa"/>
            <w:vAlign w:val="bottom"/>
          </w:tcPr>
          <w:p>
            <w:pPr>
              <w:spacing w:after="0"/>
              <w:rPr>
                <w:sz w:val="11"/>
                <w:szCs w:val="11"/>
                <w:color w:val="auto"/>
              </w:rPr>
            </w:pPr>
          </w:p>
        </w:tc>
        <w:tc>
          <w:tcPr>
            <w:tcW w:w="114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14,017</w:t>
            </w:r>
          </w:p>
        </w:tc>
      </w:tr>
      <w:tr>
        <w:trPr>
          <w:trHeight w:val="135"/>
        </w:trPr>
        <w:tc>
          <w:tcPr>
            <w:tcW w:w="6000" w:type="dxa"/>
            <w:vAlign w:val="bottom"/>
            <w:shd w:val="clear" w:color="auto" w:fill="CFF0FC"/>
          </w:tcPr>
          <w:p>
            <w:pPr>
              <w:ind w:left="160"/>
              <w:spacing w:after="0" w:line="135" w:lineRule="exact"/>
              <w:rPr>
                <w:sz w:val="20"/>
                <w:szCs w:val="20"/>
                <w:color w:val="auto"/>
              </w:rPr>
            </w:pPr>
            <w:r>
              <w:rPr>
                <w:rFonts w:ascii="Times New Roman" w:cs="Times New Roman" w:eastAsia="Times New Roman" w:hAnsi="Times New Roman"/>
                <w:sz w:val="13"/>
                <w:szCs w:val="13"/>
                <w:color w:val="auto"/>
              </w:rPr>
              <w:t>Provision for discontinued operations</w:t>
            </w:r>
          </w:p>
        </w:tc>
        <w:tc>
          <w:tcPr>
            <w:tcW w:w="620" w:type="dxa"/>
            <w:vAlign w:val="bottom"/>
            <w:shd w:val="clear" w:color="auto" w:fill="CFF0FC"/>
          </w:tcPr>
          <w:p>
            <w:pPr>
              <w:spacing w:after="0"/>
              <w:rPr>
                <w:sz w:val="11"/>
                <w:szCs w:val="11"/>
                <w:color w:val="auto"/>
              </w:rPr>
            </w:pPr>
          </w:p>
        </w:tc>
        <w:tc>
          <w:tcPr>
            <w:tcW w:w="110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b w:val="1"/>
                <w:bCs w:val="1"/>
                <w:color w:val="auto"/>
              </w:rPr>
              <w:t>360</w:t>
            </w:r>
          </w:p>
        </w:tc>
        <w:tc>
          <w:tcPr>
            <w:tcW w:w="320" w:type="dxa"/>
            <w:vAlign w:val="bottom"/>
            <w:shd w:val="clear" w:color="auto" w:fill="CFF0FC"/>
          </w:tcPr>
          <w:p>
            <w:pPr>
              <w:spacing w:after="0"/>
              <w:rPr>
                <w:sz w:val="11"/>
                <w:szCs w:val="11"/>
                <w:color w:val="auto"/>
              </w:rPr>
            </w:pPr>
          </w:p>
        </w:tc>
        <w:tc>
          <w:tcPr>
            <w:tcW w:w="1400" w:type="dxa"/>
            <w:vAlign w:val="bottom"/>
            <w:shd w:val="clear" w:color="auto" w:fill="CFF0FC"/>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514</w:t>
            </w:r>
          </w:p>
        </w:tc>
        <w:tc>
          <w:tcPr>
            <w:tcW w:w="660" w:type="dxa"/>
            <w:vAlign w:val="bottom"/>
            <w:shd w:val="clear" w:color="auto" w:fill="CFF0FC"/>
          </w:tcPr>
          <w:p>
            <w:pPr>
              <w:spacing w:after="0"/>
              <w:rPr>
                <w:sz w:val="11"/>
                <w:szCs w:val="11"/>
                <w:color w:val="auto"/>
              </w:rPr>
            </w:pPr>
          </w:p>
        </w:tc>
        <w:tc>
          <w:tcPr>
            <w:tcW w:w="114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440</w:t>
            </w:r>
          </w:p>
        </w:tc>
      </w:tr>
      <w:tr>
        <w:trPr>
          <w:trHeight w:val="135"/>
        </w:trPr>
        <w:tc>
          <w:tcPr>
            <w:tcW w:w="6000" w:type="dxa"/>
            <w:vAlign w:val="bottom"/>
          </w:tcPr>
          <w:p>
            <w:pPr>
              <w:ind w:left="160"/>
              <w:spacing w:after="0" w:line="135" w:lineRule="exact"/>
              <w:rPr>
                <w:sz w:val="20"/>
                <w:szCs w:val="20"/>
                <w:color w:val="auto"/>
              </w:rPr>
            </w:pPr>
            <w:r>
              <w:rPr>
                <w:rFonts w:ascii="Times New Roman" w:cs="Times New Roman" w:eastAsia="Times New Roman" w:hAnsi="Times New Roman"/>
                <w:sz w:val="13"/>
                <w:szCs w:val="13"/>
                <w:color w:val="auto"/>
              </w:rPr>
              <w:t>Loss on sale of assets</w:t>
            </w:r>
          </w:p>
        </w:tc>
        <w:tc>
          <w:tcPr>
            <w:tcW w:w="620" w:type="dxa"/>
            <w:vAlign w:val="bottom"/>
          </w:tcPr>
          <w:p>
            <w:pPr>
              <w:spacing w:after="0"/>
              <w:rPr>
                <w:sz w:val="11"/>
                <w:szCs w:val="11"/>
                <w:color w:val="auto"/>
              </w:rPr>
            </w:pPr>
          </w:p>
        </w:tc>
        <w:tc>
          <w:tcPr>
            <w:tcW w:w="110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b w:val="1"/>
                <w:bCs w:val="1"/>
                <w:color w:val="auto"/>
              </w:rPr>
              <w:t>502</w:t>
            </w:r>
          </w:p>
        </w:tc>
        <w:tc>
          <w:tcPr>
            <w:tcW w:w="320" w:type="dxa"/>
            <w:vAlign w:val="bottom"/>
          </w:tcPr>
          <w:p>
            <w:pPr>
              <w:spacing w:after="0"/>
              <w:rPr>
                <w:sz w:val="11"/>
                <w:szCs w:val="11"/>
                <w:color w:val="auto"/>
              </w:rPr>
            </w:pPr>
          </w:p>
        </w:tc>
        <w:tc>
          <w:tcPr>
            <w:tcW w:w="1400" w:type="dxa"/>
            <w:vAlign w:val="bottom"/>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128</w:t>
            </w:r>
          </w:p>
        </w:tc>
        <w:tc>
          <w:tcPr>
            <w:tcW w:w="660" w:type="dxa"/>
            <w:vAlign w:val="bottom"/>
          </w:tcPr>
          <w:p>
            <w:pPr>
              <w:spacing w:after="0"/>
              <w:rPr>
                <w:sz w:val="11"/>
                <w:szCs w:val="11"/>
                <w:color w:val="auto"/>
              </w:rPr>
            </w:pPr>
          </w:p>
        </w:tc>
        <w:tc>
          <w:tcPr>
            <w:tcW w:w="114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159</w:t>
            </w:r>
          </w:p>
        </w:tc>
      </w:tr>
      <w:tr>
        <w:trPr>
          <w:trHeight w:val="135"/>
        </w:trPr>
        <w:tc>
          <w:tcPr>
            <w:tcW w:w="6000" w:type="dxa"/>
            <w:vAlign w:val="bottom"/>
            <w:shd w:val="clear" w:color="auto" w:fill="CFF0FC"/>
          </w:tcPr>
          <w:p>
            <w:pPr>
              <w:ind w:left="160"/>
              <w:spacing w:after="0" w:line="135" w:lineRule="exact"/>
              <w:rPr>
                <w:sz w:val="20"/>
                <w:szCs w:val="20"/>
                <w:color w:val="auto"/>
              </w:rPr>
            </w:pPr>
            <w:r>
              <w:rPr>
                <w:rFonts w:ascii="Times New Roman" w:cs="Times New Roman" w:eastAsia="Times New Roman" w:hAnsi="Times New Roman"/>
                <w:sz w:val="13"/>
                <w:szCs w:val="13"/>
                <w:color w:val="auto"/>
              </w:rPr>
              <w:t>Other</w:t>
            </w:r>
          </w:p>
        </w:tc>
        <w:tc>
          <w:tcPr>
            <w:tcW w:w="620" w:type="dxa"/>
            <w:vAlign w:val="bottom"/>
            <w:shd w:val="clear" w:color="auto" w:fill="CFF0FC"/>
          </w:tcPr>
          <w:p>
            <w:pPr>
              <w:spacing w:after="0"/>
              <w:rPr>
                <w:sz w:val="11"/>
                <w:szCs w:val="11"/>
                <w:color w:val="auto"/>
              </w:rPr>
            </w:pPr>
          </w:p>
        </w:tc>
        <w:tc>
          <w:tcPr>
            <w:tcW w:w="110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b w:val="1"/>
                <w:bCs w:val="1"/>
                <w:color w:val="auto"/>
              </w:rPr>
              <w:t>436</w:t>
            </w:r>
          </w:p>
        </w:tc>
        <w:tc>
          <w:tcPr>
            <w:tcW w:w="320" w:type="dxa"/>
            <w:vAlign w:val="bottom"/>
            <w:shd w:val="clear" w:color="auto" w:fill="CFF0FC"/>
          </w:tcPr>
          <w:p>
            <w:pPr>
              <w:spacing w:after="0"/>
              <w:rPr>
                <w:sz w:val="11"/>
                <w:szCs w:val="11"/>
                <w:color w:val="auto"/>
              </w:rPr>
            </w:pPr>
          </w:p>
        </w:tc>
        <w:tc>
          <w:tcPr>
            <w:tcW w:w="1400" w:type="dxa"/>
            <w:vAlign w:val="bottom"/>
            <w:shd w:val="clear" w:color="auto" w:fill="CFF0FC"/>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1,000</w:t>
            </w:r>
          </w:p>
        </w:tc>
        <w:tc>
          <w:tcPr>
            <w:tcW w:w="660" w:type="dxa"/>
            <w:vAlign w:val="bottom"/>
            <w:shd w:val="clear" w:color="auto" w:fill="CFF0FC"/>
          </w:tcPr>
          <w:p>
            <w:pPr>
              <w:spacing w:after="0"/>
              <w:rPr>
                <w:sz w:val="11"/>
                <w:szCs w:val="11"/>
                <w:color w:val="auto"/>
              </w:rPr>
            </w:pPr>
          </w:p>
        </w:tc>
        <w:tc>
          <w:tcPr>
            <w:tcW w:w="114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225</w:t>
            </w:r>
          </w:p>
        </w:tc>
      </w:tr>
      <w:tr>
        <w:trPr>
          <w:trHeight w:val="117"/>
        </w:trPr>
        <w:tc>
          <w:tcPr>
            <w:tcW w:w="6000" w:type="dxa"/>
            <w:vAlign w:val="bottom"/>
          </w:tcPr>
          <w:p>
            <w:pPr>
              <w:ind w:left="20"/>
              <w:spacing w:after="0" w:line="117" w:lineRule="exact"/>
              <w:rPr>
                <w:sz w:val="20"/>
                <w:szCs w:val="20"/>
                <w:color w:val="auto"/>
              </w:rPr>
            </w:pPr>
            <w:r>
              <w:rPr>
                <w:rFonts w:ascii="Times New Roman" w:cs="Times New Roman" w:eastAsia="Times New Roman" w:hAnsi="Times New Roman"/>
                <w:sz w:val="13"/>
                <w:szCs w:val="13"/>
                <w:color w:val="auto"/>
              </w:rPr>
              <w:t>Changes in working capital and other assets and liabilities, net of</w:t>
            </w:r>
          </w:p>
        </w:tc>
        <w:tc>
          <w:tcPr>
            <w:tcW w:w="6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40" w:type="dxa"/>
            <w:vAlign w:val="bottom"/>
          </w:tcPr>
          <w:p>
            <w:pPr>
              <w:spacing w:after="0"/>
              <w:rPr>
                <w:sz w:val="10"/>
                <w:szCs w:val="10"/>
                <w:color w:val="auto"/>
              </w:rPr>
            </w:pPr>
          </w:p>
        </w:tc>
      </w:tr>
      <w:tr>
        <w:trPr>
          <w:trHeight w:val="153"/>
        </w:trPr>
        <w:tc>
          <w:tcPr>
            <w:tcW w:w="60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acquisitions/dispositions:</w:t>
            </w:r>
          </w:p>
        </w:tc>
        <w:tc>
          <w:tcPr>
            <w:tcW w:w="6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35"/>
        </w:trPr>
        <w:tc>
          <w:tcPr>
            <w:tcW w:w="6000" w:type="dxa"/>
            <w:vAlign w:val="bottom"/>
            <w:shd w:val="clear" w:color="auto" w:fill="CFF0FC"/>
          </w:tcPr>
          <w:p>
            <w:pPr>
              <w:ind w:left="160"/>
              <w:spacing w:after="0" w:line="135" w:lineRule="exact"/>
              <w:rPr>
                <w:sz w:val="20"/>
                <w:szCs w:val="20"/>
                <w:color w:val="auto"/>
              </w:rPr>
            </w:pPr>
            <w:r>
              <w:rPr>
                <w:rFonts w:ascii="Times New Roman" w:cs="Times New Roman" w:eastAsia="Times New Roman" w:hAnsi="Times New Roman"/>
                <w:sz w:val="13"/>
                <w:szCs w:val="13"/>
                <w:color w:val="auto"/>
              </w:rPr>
              <w:t>Accounts receivable</w:t>
            </w:r>
          </w:p>
        </w:tc>
        <w:tc>
          <w:tcPr>
            <w:tcW w:w="620" w:type="dxa"/>
            <w:vAlign w:val="bottom"/>
            <w:shd w:val="clear" w:color="auto" w:fill="CFF0FC"/>
          </w:tcPr>
          <w:p>
            <w:pPr>
              <w:spacing w:after="0"/>
              <w:rPr>
                <w:sz w:val="11"/>
                <w:szCs w:val="11"/>
                <w:color w:val="auto"/>
              </w:rPr>
            </w:pPr>
          </w:p>
        </w:tc>
        <w:tc>
          <w:tcPr>
            <w:tcW w:w="110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b w:val="1"/>
                <w:bCs w:val="1"/>
                <w:color w:val="auto"/>
              </w:rPr>
              <w:t>4,299</w:t>
            </w:r>
          </w:p>
        </w:tc>
        <w:tc>
          <w:tcPr>
            <w:tcW w:w="320" w:type="dxa"/>
            <w:vAlign w:val="bottom"/>
            <w:shd w:val="clear" w:color="auto" w:fill="CFF0FC"/>
          </w:tcPr>
          <w:p>
            <w:pPr>
              <w:spacing w:after="0"/>
              <w:rPr>
                <w:sz w:val="11"/>
                <w:szCs w:val="11"/>
                <w:color w:val="auto"/>
              </w:rPr>
            </w:pPr>
          </w:p>
        </w:tc>
        <w:tc>
          <w:tcPr>
            <w:tcW w:w="14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(13,287 )</w:t>
            </w:r>
          </w:p>
        </w:tc>
        <w:tc>
          <w:tcPr>
            <w:tcW w:w="660" w:type="dxa"/>
            <w:vAlign w:val="bottom"/>
            <w:shd w:val="clear" w:color="auto" w:fill="CFF0FC"/>
          </w:tcPr>
          <w:p>
            <w:pPr>
              <w:spacing w:after="0"/>
              <w:rPr>
                <w:sz w:val="11"/>
                <w:szCs w:val="11"/>
                <w:color w:val="auto"/>
              </w:rPr>
            </w:pPr>
          </w:p>
        </w:tc>
        <w:tc>
          <w:tcPr>
            <w:tcW w:w="11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(1,082 )</w:t>
            </w:r>
          </w:p>
        </w:tc>
      </w:tr>
      <w:tr>
        <w:trPr>
          <w:trHeight w:val="135"/>
        </w:trPr>
        <w:tc>
          <w:tcPr>
            <w:tcW w:w="6000" w:type="dxa"/>
            <w:vAlign w:val="bottom"/>
          </w:tcPr>
          <w:p>
            <w:pPr>
              <w:ind w:left="160"/>
              <w:spacing w:after="0" w:line="135" w:lineRule="exact"/>
              <w:rPr>
                <w:sz w:val="20"/>
                <w:szCs w:val="20"/>
                <w:color w:val="auto"/>
              </w:rPr>
            </w:pPr>
            <w:r>
              <w:rPr>
                <w:rFonts w:ascii="Times New Roman" w:cs="Times New Roman" w:eastAsia="Times New Roman" w:hAnsi="Times New Roman"/>
                <w:sz w:val="13"/>
                <w:szCs w:val="13"/>
                <w:color w:val="auto"/>
              </w:rPr>
              <w:t>Inventories</w:t>
            </w:r>
          </w:p>
        </w:tc>
        <w:tc>
          <w:tcPr>
            <w:tcW w:w="620" w:type="dxa"/>
            <w:vAlign w:val="bottom"/>
          </w:tcPr>
          <w:p>
            <w:pPr>
              <w:spacing w:after="0"/>
              <w:rPr>
                <w:sz w:val="11"/>
                <w:szCs w:val="11"/>
                <w:color w:val="auto"/>
              </w:rPr>
            </w:pPr>
          </w:p>
        </w:tc>
        <w:tc>
          <w:tcPr>
            <w:tcW w:w="11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(49,080 )</w:t>
            </w:r>
          </w:p>
        </w:tc>
        <w:tc>
          <w:tcPr>
            <w:tcW w:w="320" w:type="dxa"/>
            <w:vAlign w:val="bottom"/>
          </w:tcPr>
          <w:p>
            <w:pPr>
              <w:spacing w:after="0"/>
              <w:rPr>
                <w:sz w:val="11"/>
                <w:szCs w:val="11"/>
                <w:color w:val="auto"/>
              </w:rPr>
            </w:pPr>
          </w:p>
        </w:tc>
        <w:tc>
          <w:tcPr>
            <w:tcW w:w="1400" w:type="dxa"/>
            <w:vAlign w:val="bottom"/>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80,352</w:t>
            </w:r>
          </w:p>
        </w:tc>
        <w:tc>
          <w:tcPr>
            <w:tcW w:w="660" w:type="dxa"/>
            <w:vAlign w:val="bottom"/>
          </w:tcPr>
          <w:p>
            <w:pPr>
              <w:spacing w:after="0"/>
              <w:rPr>
                <w:sz w:val="11"/>
                <w:szCs w:val="11"/>
                <w:color w:val="auto"/>
              </w:rPr>
            </w:pPr>
          </w:p>
        </w:tc>
        <w:tc>
          <w:tcPr>
            <w:tcW w:w="11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(183,583 )</w:t>
            </w:r>
          </w:p>
        </w:tc>
      </w:tr>
      <w:tr>
        <w:trPr>
          <w:trHeight w:val="135"/>
        </w:trPr>
        <w:tc>
          <w:tcPr>
            <w:tcW w:w="6000" w:type="dxa"/>
            <w:vAlign w:val="bottom"/>
            <w:shd w:val="clear" w:color="auto" w:fill="CFF0FC"/>
          </w:tcPr>
          <w:p>
            <w:pPr>
              <w:ind w:left="160"/>
              <w:spacing w:after="0" w:line="135" w:lineRule="exact"/>
              <w:rPr>
                <w:sz w:val="20"/>
                <w:szCs w:val="20"/>
                <w:color w:val="auto"/>
              </w:rPr>
            </w:pPr>
            <w:r>
              <w:rPr>
                <w:rFonts w:ascii="Times New Roman" w:cs="Times New Roman" w:eastAsia="Times New Roman" w:hAnsi="Times New Roman"/>
                <w:sz w:val="13"/>
                <w:szCs w:val="13"/>
                <w:color w:val="auto"/>
              </w:rPr>
              <w:t>Prepaids and other current assets</w:t>
            </w:r>
          </w:p>
        </w:tc>
        <w:tc>
          <w:tcPr>
            <w:tcW w:w="620" w:type="dxa"/>
            <w:vAlign w:val="bottom"/>
            <w:shd w:val="clear" w:color="auto" w:fill="CFF0FC"/>
          </w:tcPr>
          <w:p>
            <w:pPr>
              <w:spacing w:after="0"/>
              <w:rPr>
                <w:sz w:val="11"/>
                <w:szCs w:val="11"/>
                <w:color w:val="auto"/>
              </w:rPr>
            </w:pPr>
          </w:p>
        </w:tc>
        <w:tc>
          <w:tcPr>
            <w:tcW w:w="11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(61,210 )</w:t>
            </w:r>
          </w:p>
        </w:tc>
        <w:tc>
          <w:tcPr>
            <w:tcW w:w="320" w:type="dxa"/>
            <w:vAlign w:val="bottom"/>
            <w:shd w:val="clear" w:color="auto" w:fill="CFF0FC"/>
          </w:tcPr>
          <w:p>
            <w:pPr>
              <w:spacing w:after="0"/>
              <w:rPr>
                <w:sz w:val="11"/>
                <w:szCs w:val="11"/>
                <w:color w:val="auto"/>
              </w:rPr>
            </w:pPr>
          </w:p>
        </w:tc>
        <w:tc>
          <w:tcPr>
            <w:tcW w:w="14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(13,659 )</w:t>
            </w:r>
          </w:p>
        </w:tc>
        <w:tc>
          <w:tcPr>
            <w:tcW w:w="660" w:type="dxa"/>
            <w:vAlign w:val="bottom"/>
            <w:shd w:val="clear" w:color="auto" w:fill="CFF0FC"/>
          </w:tcPr>
          <w:p>
            <w:pPr>
              <w:spacing w:after="0"/>
              <w:rPr>
                <w:sz w:val="11"/>
                <w:szCs w:val="11"/>
                <w:color w:val="auto"/>
              </w:rPr>
            </w:pPr>
          </w:p>
        </w:tc>
        <w:tc>
          <w:tcPr>
            <w:tcW w:w="114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45,386</w:t>
            </w:r>
          </w:p>
        </w:tc>
      </w:tr>
      <w:tr>
        <w:trPr>
          <w:trHeight w:val="135"/>
        </w:trPr>
        <w:tc>
          <w:tcPr>
            <w:tcW w:w="6000" w:type="dxa"/>
            <w:vAlign w:val="bottom"/>
          </w:tcPr>
          <w:p>
            <w:pPr>
              <w:ind w:left="160"/>
              <w:spacing w:after="0" w:line="135" w:lineRule="exact"/>
              <w:rPr>
                <w:sz w:val="20"/>
                <w:szCs w:val="20"/>
                <w:color w:val="auto"/>
              </w:rPr>
            </w:pPr>
            <w:r>
              <w:rPr>
                <w:rFonts w:ascii="Times New Roman" w:cs="Times New Roman" w:eastAsia="Times New Roman" w:hAnsi="Times New Roman"/>
                <w:sz w:val="13"/>
                <w:szCs w:val="13"/>
                <w:color w:val="auto"/>
              </w:rPr>
              <w:t>Accounts payable</w:t>
            </w:r>
          </w:p>
        </w:tc>
        <w:tc>
          <w:tcPr>
            <w:tcW w:w="620" w:type="dxa"/>
            <w:vAlign w:val="bottom"/>
          </w:tcPr>
          <w:p>
            <w:pPr>
              <w:spacing w:after="0"/>
              <w:rPr>
                <w:sz w:val="11"/>
                <w:szCs w:val="11"/>
                <w:color w:val="auto"/>
              </w:rPr>
            </w:pPr>
          </w:p>
        </w:tc>
        <w:tc>
          <w:tcPr>
            <w:tcW w:w="110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b w:val="1"/>
                <w:bCs w:val="1"/>
                <w:color w:val="auto"/>
              </w:rPr>
              <w:t>54,327</w:t>
            </w:r>
          </w:p>
        </w:tc>
        <w:tc>
          <w:tcPr>
            <w:tcW w:w="320" w:type="dxa"/>
            <w:vAlign w:val="bottom"/>
          </w:tcPr>
          <w:p>
            <w:pPr>
              <w:spacing w:after="0"/>
              <w:rPr>
                <w:sz w:val="11"/>
                <w:szCs w:val="11"/>
                <w:color w:val="auto"/>
              </w:rPr>
            </w:pPr>
          </w:p>
        </w:tc>
        <w:tc>
          <w:tcPr>
            <w:tcW w:w="14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(27,665 )</w:t>
            </w:r>
          </w:p>
        </w:tc>
        <w:tc>
          <w:tcPr>
            <w:tcW w:w="660" w:type="dxa"/>
            <w:vAlign w:val="bottom"/>
          </w:tcPr>
          <w:p>
            <w:pPr>
              <w:spacing w:after="0"/>
              <w:rPr>
                <w:sz w:val="11"/>
                <w:szCs w:val="11"/>
                <w:color w:val="auto"/>
              </w:rPr>
            </w:pPr>
          </w:p>
        </w:tc>
        <w:tc>
          <w:tcPr>
            <w:tcW w:w="11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(11,839 )</w:t>
            </w:r>
          </w:p>
        </w:tc>
      </w:tr>
      <w:tr>
        <w:trPr>
          <w:trHeight w:val="135"/>
        </w:trPr>
        <w:tc>
          <w:tcPr>
            <w:tcW w:w="6000" w:type="dxa"/>
            <w:vAlign w:val="bottom"/>
            <w:shd w:val="clear" w:color="auto" w:fill="CFF0FC"/>
          </w:tcPr>
          <w:p>
            <w:pPr>
              <w:ind w:left="160"/>
              <w:spacing w:after="0" w:line="135" w:lineRule="exact"/>
              <w:rPr>
                <w:sz w:val="20"/>
                <w:szCs w:val="20"/>
                <w:color w:val="auto"/>
              </w:rPr>
            </w:pPr>
            <w:r>
              <w:rPr>
                <w:rFonts w:ascii="Times New Roman" w:cs="Times New Roman" w:eastAsia="Times New Roman" w:hAnsi="Times New Roman"/>
                <w:sz w:val="13"/>
                <w:szCs w:val="13"/>
                <w:color w:val="auto"/>
              </w:rPr>
              <w:t>Other accrued liabilities</w:t>
            </w:r>
          </w:p>
        </w:tc>
        <w:tc>
          <w:tcPr>
            <w:tcW w:w="620" w:type="dxa"/>
            <w:vAlign w:val="bottom"/>
            <w:shd w:val="clear" w:color="auto" w:fill="CFF0FC"/>
          </w:tcPr>
          <w:p>
            <w:pPr>
              <w:spacing w:after="0"/>
              <w:rPr>
                <w:sz w:val="11"/>
                <w:szCs w:val="11"/>
                <w:color w:val="auto"/>
              </w:rPr>
            </w:pPr>
          </w:p>
        </w:tc>
        <w:tc>
          <w:tcPr>
            <w:tcW w:w="110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b w:val="1"/>
                <w:bCs w:val="1"/>
                <w:color w:val="auto"/>
              </w:rPr>
              <w:t>12,066</w:t>
            </w:r>
          </w:p>
        </w:tc>
        <w:tc>
          <w:tcPr>
            <w:tcW w:w="320" w:type="dxa"/>
            <w:vAlign w:val="bottom"/>
            <w:shd w:val="clear" w:color="auto" w:fill="CFF0FC"/>
          </w:tcPr>
          <w:p>
            <w:pPr>
              <w:spacing w:after="0"/>
              <w:rPr>
                <w:sz w:val="11"/>
                <w:szCs w:val="11"/>
                <w:color w:val="auto"/>
              </w:rPr>
            </w:pPr>
          </w:p>
        </w:tc>
        <w:tc>
          <w:tcPr>
            <w:tcW w:w="14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(2,011 )</w:t>
            </w:r>
          </w:p>
        </w:tc>
        <w:tc>
          <w:tcPr>
            <w:tcW w:w="660" w:type="dxa"/>
            <w:vAlign w:val="bottom"/>
            <w:shd w:val="clear" w:color="auto" w:fill="CFF0FC"/>
          </w:tcPr>
          <w:p>
            <w:pPr>
              <w:spacing w:after="0"/>
              <w:rPr>
                <w:sz w:val="11"/>
                <w:szCs w:val="11"/>
                <w:color w:val="auto"/>
              </w:rPr>
            </w:pPr>
          </w:p>
        </w:tc>
        <w:tc>
          <w:tcPr>
            <w:tcW w:w="11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(49,276 )</w:t>
            </w:r>
          </w:p>
        </w:tc>
      </w:tr>
      <w:tr>
        <w:trPr>
          <w:trHeight w:val="135"/>
        </w:trPr>
        <w:tc>
          <w:tcPr>
            <w:tcW w:w="6000" w:type="dxa"/>
            <w:vAlign w:val="bottom"/>
            <w:tcBorders>
              <w:bottom w:val="single" w:sz="8" w:color="auto"/>
            </w:tcBorders>
          </w:tcPr>
          <w:p>
            <w:pPr>
              <w:ind w:left="160"/>
              <w:spacing w:after="0" w:line="135" w:lineRule="exact"/>
              <w:rPr>
                <w:sz w:val="20"/>
                <w:szCs w:val="20"/>
                <w:color w:val="auto"/>
              </w:rPr>
            </w:pPr>
            <w:r>
              <w:rPr>
                <w:rFonts w:ascii="Times New Roman" w:cs="Times New Roman" w:eastAsia="Times New Roman" w:hAnsi="Times New Roman"/>
                <w:sz w:val="13"/>
                <w:szCs w:val="13"/>
                <w:color w:val="auto"/>
              </w:rPr>
              <w:t>Other assets and liabilities</w:t>
            </w:r>
          </w:p>
        </w:tc>
        <w:tc>
          <w:tcPr>
            <w:tcW w:w="62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jc w:val="right"/>
              <w:ind w:right="57"/>
              <w:spacing w:after="0" w:line="135" w:lineRule="exact"/>
              <w:rPr>
                <w:sz w:val="20"/>
                <w:szCs w:val="20"/>
                <w:color w:val="auto"/>
              </w:rPr>
            </w:pPr>
            <w:r>
              <w:rPr>
                <w:rFonts w:ascii="Times New Roman" w:cs="Times New Roman" w:eastAsia="Times New Roman" w:hAnsi="Times New Roman"/>
                <w:sz w:val="13"/>
                <w:szCs w:val="13"/>
                <w:b w:val="1"/>
                <w:bCs w:val="1"/>
                <w:color w:val="auto"/>
              </w:rPr>
              <w:t>51,604</w:t>
            </w:r>
          </w:p>
        </w:tc>
        <w:tc>
          <w:tcPr>
            <w:tcW w:w="320" w:type="dxa"/>
            <w:vAlign w:val="bottom"/>
            <w:tcBorders>
              <w:bottom w:val="single" w:sz="8" w:color="auto"/>
            </w:tcBorders>
          </w:tcPr>
          <w:p>
            <w:pPr>
              <w:spacing w:after="0"/>
              <w:rPr>
                <w:sz w:val="11"/>
                <w:szCs w:val="11"/>
                <w:color w:val="auto"/>
              </w:rPr>
            </w:pPr>
          </w:p>
        </w:tc>
        <w:tc>
          <w:tcPr>
            <w:tcW w:w="140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(10,067 )</w:t>
            </w:r>
          </w:p>
        </w:tc>
        <w:tc>
          <w:tcPr>
            <w:tcW w:w="66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(69,220 )</w:t>
            </w:r>
          </w:p>
        </w:tc>
      </w:tr>
      <w:tr>
        <w:trPr>
          <w:trHeight w:val="128"/>
        </w:trPr>
        <w:tc>
          <w:tcPr>
            <w:tcW w:w="6000" w:type="dxa"/>
            <w:vAlign w:val="bottom"/>
            <w:tcBorders>
              <w:bottom w:val="single" w:sz="8" w:color="auto"/>
            </w:tcBorders>
            <w:shd w:val="clear" w:color="auto" w:fill="CFF0FC"/>
          </w:tcPr>
          <w:p>
            <w:pPr>
              <w:ind w:left="20"/>
              <w:spacing w:after="0" w:line="129" w:lineRule="exact"/>
              <w:rPr>
                <w:sz w:val="20"/>
                <w:szCs w:val="20"/>
                <w:color w:val="auto"/>
              </w:rPr>
            </w:pPr>
            <w:r>
              <w:rPr>
                <w:rFonts w:ascii="Times New Roman" w:cs="Times New Roman" w:eastAsia="Times New Roman" w:hAnsi="Times New Roman"/>
                <w:sz w:val="13"/>
                <w:szCs w:val="13"/>
                <w:color w:val="auto"/>
              </w:rPr>
              <w:t>Net cash provided by (used in) operating activities</w:t>
            </w:r>
          </w:p>
        </w:tc>
        <w:tc>
          <w:tcPr>
            <w:tcW w:w="620" w:type="dxa"/>
            <w:vAlign w:val="bottom"/>
            <w:tcBorders>
              <w:bottom w:val="single" w:sz="8" w:color="auto"/>
            </w:tcBorders>
            <w:shd w:val="clear" w:color="auto" w:fill="CFF0FC"/>
          </w:tcPr>
          <w:p>
            <w:pPr>
              <w:spacing w:after="0"/>
              <w:rPr>
                <w:sz w:val="11"/>
                <w:szCs w:val="11"/>
                <w:color w:val="auto"/>
              </w:rPr>
            </w:pPr>
          </w:p>
        </w:tc>
        <w:tc>
          <w:tcPr>
            <w:tcW w:w="1100" w:type="dxa"/>
            <w:vAlign w:val="bottom"/>
            <w:tcBorders>
              <w:bottom w:val="single" w:sz="8" w:color="auto"/>
            </w:tcBorders>
            <w:shd w:val="clear" w:color="auto" w:fill="CFF0FC"/>
          </w:tcPr>
          <w:p>
            <w:pPr>
              <w:jc w:val="right"/>
              <w:ind w:right="57"/>
              <w:spacing w:after="0" w:line="129" w:lineRule="exact"/>
              <w:rPr>
                <w:sz w:val="20"/>
                <w:szCs w:val="20"/>
                <w:color w:val="auto"/>
              </w:rPr>
            </w:pPr>
            <w:r>
              <w:rPr>
                <w:rFonts w:ascii="Times New Roman" w:cs="Times New Roman" w:eastAsia="Times New Roman" w:hAnsi="Times New Roman"/>
                <w:sz w:val="13"/>
                <w:szCs w:val="13"/>
                <w:b w:val="1"/>
                <w:bCs w:val="1"/>
                <w:color w:val="auto"/>
              </w:rPr>
              <w:t>87,886</w:t>
            </w:r>
          </w:p>
        </w:tc>
        <w:tc>
          <w:tcPr>
            <w:tcW w:w="320" w:type="dxa"/>
            <w:vAlign w:val="bottom"/>
            <w:tcBorders>
              <w:bottom w:val="single" w:sz="8" w:color="auto"/>
            </w:tcBorders>
            <w:shd w:val="clear" w:color="auto" w:fill="CFF0FC"/>
          </w:tcPr>
          <w:p>
            <w:pPr>
              <w:spacing w:after="0"/>
              <w:rPr>
                <w:sz w:val="11"/>
                <w:szCs w:val="11"/>
                <w:color w:val="auto"/>
              </w:rPr>
            </w:pPr>
          </w:p>
        </w:tc>
        <w:tc>
          <w:tcPr>
            <w:tcW w:w="1400" w:type="dxa"/>
            <w:vAlign w:val="bottom"/>
            <w:tcBorders>
              <w:bottom w:val="single" w:sz="8" w:color="auto"/>
            </w:tcBorders>
            <w:shd w:val="clear" w:color="auto" w:fill="CFF0FC"/>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rPr>
              <w:t>94,796</w:t>
            </w:r>
          </w:p>
        </w:tc>
        <w:tc>
          <w:tcPr>
            <w:tcW w:w="660" w:type="dxa"/>
            <w:vAlign w:val="bottom"/>
            <w:tcBorders>
              <w:bottom w:val="single" w:sz="8" w:color="auto"/>
            </w:tcBorders>
            <w:shd w:val="clear" w:color="auto" w:fill="CFF0FC"/>
          </w:tcPr>
          <w:p>
            <w:pPr>
              <w:spacing w:after="0"/>
              <w:rPr>
                <w:sz w:val="11"/>
                <w:szCs w:val="11"/>
                <w:color w:val="auto"/>
              </w:rPr>
            </w:pPr>
          </w:p>
        </w:tc>
        <w:tc>
          <w:tcPr>
            <w:tcW w:w="114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(164,884 )</w:t>
            </w:r>
          </w:p>
        </w:tc>
      </w:tr>
      <w:tr>
        <w:trPr>
          <w:trHeight w:val="129"/>
        </w:trPr>
        <w:tc>
          <w:tcPr>
            <w:tcW w:w="6000" w:type="dxa"/>
            <w:vAlign w:val="bottom"/>
          </w:tcPr>
          <w:p>
            <w:pPr>
              <w:ind w:left="20"/>
              <w:spacing w:after="0" w:line="129" w:lineRule="exact"/>
              <w:rPr>
                <w:sz w:val="20"/>
                <w:szCs w:val="20"/>
                <w:color w:val="auto"/>
              </w:rPr>
            </w:pPr>
            <w:r>
              <w:rPr>
                <w:rFonts w:ascii="Times New Roman" w:cs="Times New Roman" w:eastAsia="Times New Roman" w:hAnsi="Times New Roman"/>
                <w:sz w:val="13"/>
                <w:szCs w:val="13"/>
                <w:b w:val="1"/>
                <w:bCs w:val="1"/>
                <w:color w:val="auto"/>
              </w:rPr>
              <w:t>CASH FLOWS FROM INVESTING ACTIVITIES:</w:t>
            </w:r>
          </w:p>
        </w:tc>
        <w:tc>
          <w:tcPr>
            <w:tcW w:w="6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40" w:type="dxa"/>
            <w:vAlign w:val="bottom"/>
          </w:tcPr>
          <w:p>
            <w:pPr>
              <w:spacing w:after="0"/>
              <w:rPr>
                <w:sz w:val="11"/>
                <w:szCs w:val="11"/>
                <w:color w:val="auto"/>
              </w:rPr>
            </w:pPr>
          </w:p>
        </w:tc>
      </w:tr>
      <w:tr>
        <w:trPr>
          <w:trHeight w:val="135"/>
        </w:trPr>
        <w:tc>
          <w:tcPr>
            <w:tcW w:w="6000" w:type="dxa"/>
            <w:vAlign w:val="bottom"/>
            <w:shd w:val="clear" w:color="auto" w:fill="CFF0FC"/>
          </w:tcPr>
          <w:p>
            <w:pPr>
              <w:ind w:left="160"/>
              <w:spacing w:after="0" w:line="135" w:lineRule="exact"/>
              <w:rPr>
                <w:sz w:val="20"/>
                <w:szCs w:val="20"/>
                <w:color w:val="auto"/>
              </w:rPr>
            </w:pPr>
            <w:r>
              <w:rPr>
                <w:rFonts w:ascii="Times New Roman" w:cs="Times New Roman" w:eastAsia="Times New Roman" w:hAnsi="Times New Roman"/>
                <w:sz w:val="13"/>
                <w:szCs w:val="13"/>
                <w:color w:val="auto"/>
              </w:rPr>
              <w:t>Capital expenditures</w:t>
            </w:r>
          </w:p>
        </w:tc>
        <w:tc>
          <w:tcPr>
            <w:tcW w:w="620" w:type="dxa"/>
            <w:vAlign w:val="bottom"/>
            <w:shd w:val="clear" w:color="auto" w:fill="CFF0FC"/>
          </w:tcPr>
          <w:p>
            <w:pPr>
              <w:spacing w:after="0"/>
              <w:rPr>
                <w:sz w:val="11"/>
                <w:szCs w:val="11"/>
                <w:color w:val="auto"/>
              </w:rPr>
            </w:pPr>
          </w:p>
        </w:tc>
        <w:tc>
          <w:tcPr>
            <w:tcW w:w="11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(41,132 )</w:t>
            </w:r>
          </w:p>
        </w:tc>
        <w:tc>
          <w:tcPr>
            <w:tcW w:w="320" w:type="dxa"/>
            <w:vAlign w:val="bottom"/>
            <w:shd w:val="clear" w:color="auto" w:fill="CFF0FC"/>
          </w:tcPr>
          <w:p>
            <w:pPr>
              <w:spacing w:after="0"/>
              <w:rPr>
                <w:sz w:val="11"/>
                <w:szCs w:val="11"/>
                <w:color w:val="auto"/>
              </w:rPr>
            </w:pPr>
          </w:p>
        </w:tc>
        <w:tc>
          <w:tcPr>
            <w:tcW w:w="14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(60,303 )</w:t>
            </w:r>
          </w:p>
        </w:tc>
        <w:tc>
          <w:tcPr>
            <w:tcW w:w="660" w:type="dxa"/>
            <w:vAlign w:val="bottom"/>
            <w:shd w:val="clear" w:color="auto" w:fill="CFF0FC"/>
          </w:tcPr>
          <w:p>
            <w:pPr>
              <w:spacing w:after="0"/>
              <w:rPr>
                <w:sz w:val="11"/>
                <w:szCs w:val="11"/>
                <w:color w:val="auto"/>
              </w:rPr>
            </w:pPr>
          </w:p>
        </w:tc>
        <w:tc>
          <w:tcPr>
            <w:tcW w:w="11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(59,934 )</w:t>
            </w:r>
          </w:p>
        </w:tc>
      </w:tr>
      <w:tr>
        <w:trPr>
          <w:trHeight w:val="135"/>
        </w:trPr>
        <w:tc>
          <w:tcPr>
            <w:tcW w:w="6000" w:type="dxa"/>
            <w:vAlign w:val="bottom"/>
          </w:tcPr>
          <w:p>
            <w:pPr>
              <w:ind w:left="160"/>
              <w:spacing w:after="0" w:line="135" w:lineRule="exact"/>
              <w:rPr>
                <w:sz w:val="20"/>
                <w:szCs w:val="20"/>
                <w:color w:val="auto"/>
              </w:rPr>
            </w:pPr>
            <w:r>
              <w:rPr>
                <w:rFonts w:ascii="Times New Roman" w:cs="Times New Roman" w:eastAsia="Times New Roman" w:hAnsi="Times New Roman"/>
                <w:sz w:val="13"/>
                <w:szCs w:val="13"/>
                <w:color w:val="auto"/>
              </w:rPr>
              <w:t>Other investing activities</w:t>
            </w:r>
          </w:p>
        </w:tc>
        <w:tc>
          <w:tcPr>
            <w:tcW w:w="620" w:type="dxa"/>
            <w:vAlign w:val="bottom"/>
          </w:tcPr>
          <w:p>
            <w:pPr>
              <w:spacing w:after="0"/>
              <w:rPr>
                <w:sz w:val="11"/>
                <w:szCs w:val="11"/>
                <w:color w:val="auto"/>
              </w:rPr>
            </w:pPr>
          </w:p>
        </w:tc>
        <w:tc>
          <w:tcPr>
            <w:tcW w:w="110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320" w:type="dxa"/>
            <w:vAlign w:val="bottom"/>
          </w:tcPr>
          <w:p>
            <w:pPr>
              <w:spacing w:after="0"/>
              <w:rPr>
                <w:sz w:val="11"/>
                <w:szCs w:val="11"/>
                <w:color w:val="auto"/>
              </w:rPr>
            </w:pPr>
          </w:p>
        </w:tc>
        <w:tc>
          <w:tcPr>
            <w:tcW w:w="1400" w:type="dxa"/>
            <w:vAlign w:val="bottom"/>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215</w:t>
            </w:r>
          </w:p>
        </w:tc>
        <w:tc>
          <w:tcPr>
            <w:tcW w:w="660" w:type="dxa"/>
            <w:vAlign w:val="bottom"/>
          </w:tcPr>
          <w:p>
            <w:pPr>
              <w:spacing w:after="0"/>
              <w:rPr>
                <w:sz w:val="11"/>
                <w:szCs w:val="11"/>
                <w:color w:val="auto"/>
              </w:rPr>
            </w:pPr>
          </w:p>
        </w:tc>
        <w:tc>
          <w:tcPr>
            <w:tcW w:w="114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135"/>
        </w:trPr>
        <w:tc>
          <w:tcPr>
            <w:tcW w:w="6000" w:type="dxa"/>
            <w:vAlign w:val="bottom"/>
            <w:tcBorders>
              <w:bottom w:val="single" w:sz="8" w:color="auto"/>
            </w:tcBorders>
            <w:shd w:val="clear" w:color="auto" w:fill="CFF0FC"/>
          </w:tcPr>
          <w:p>
            <w:pPr>
              <w:ind w:left="160"/>
              <w:spacing w:after="0" w:line="135" w:lineRule="exact"/>
              <w:rPr>
                <w:sz w:val="20"/>
                <w:szCs w:val="20"/>
                <w:color w:val="auto"/>
              </w:rPr>
            </w:pPr>
            <w:r>
              <w:rPr>
                <w:rFonts w:ascii="Times New Roman" w:cs="Times New Roman" w:eastAsia="Times New Roman" w:hAnsi="Times New Roman"/>
                <w:sz w:val="13"/>
                <w:szCs w:val="13"/>
                <w:color w:val="auto"/>
              </w:rPr>
              <w:t>Proceeds from asset sales</w:t>
            </w:r>
          </w:p>
        </w:tc>
        <w:tc>
          <w:tcPr>
            <w:tcW w:w="620" w:type="dxa"/>
            <w:vAlign w:val="bottom"/>
            <w:tcBorders>
              <w:bottom w:val="single" w:sz="8" w:color="auto"/>
            </w:tcBorders>
            <w:shd w:val="clear" w:color="auto" w:fill="CFF0FC"/>
          </w:tcPr>
          <w:p>
            <w:pPr>
              <w:spacing w:after="0"/>
              <w:rPr>
                <w:sz w:val="11"/>
                <w:szCs w:val="11"/>
                <w:color w:val="auto"/>
              </w:rPr>
            </w:pPr>
          </w:p>
        </w:tc>
        <w:tc>
          <w:tcPr>
            <w:tcW w:w="1100" w:type="dxa"/>
            <w:vAlign w:val="bottom"/>
            <w:tcBorders>
              <w:bottom w:val="single" w:sz="8" w:color="auto"/>
            </w:tcBorders>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b w:val="1"/>
                <w:bCs w:val="1"/>
                <w:color w:val="auto"/>
              </w:rPr>
              <w:t>1</w:t>
            </w:r>
          </w:p>
        </w:tc>
        <w:tc>
          <w:tcPr>
            <w:tcW w:w="320" w:type="dxa"/>
            <w:vAlign w:val="bottom"/>
            <w:tcBorders>
              <w:bottom w:val="single" w:sz="8" w:color="auto"/>
            </w:tcBorders>
            <w:shd w:val="clear" w:color="auto" w:fill="CFF0FC"/>
          </w:tcPr>
          <w:p>
            <w:pPr>
              <w:spacing w:after="0"/>
              <w:rPr>
                <w:sz w:val="11"/>
                <w:szCs w:val="11"/>
                <w:color w:val="auto"/>
              </w:rPr>
            </w:pPr>
          </w:p>
        </w:tc>
        <w:tc>
          <w:tcPr>
            <w:tcW w:w="1400" w:type="dxa"/>
            <w:vAlign w:val="bottom"/>
            <w:tcBorders>
              <w:bottom w:val="single" w:sz="8" w:color="auto"/>
            </w:tcBorders>
            <w:shd w:val="clear" w:color="auto" w:fill="CFF0FC"/>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87</w:t>
            </w:r>
          </w:p>
        </w:tc>
        <w:tc>
          <w:tcPr>
            <w:tcW w:w="660" w:type="dxa"/>
            <w:vAlign w:val="bottom"/>
            <w:tcBorders>
              <w:bottom w:val="single" w:sz="8" w:color="auto"/>
            </w:tcBorders>
            <w:shd w:val="clear" w:color="auto" w:fill="CFF0FC"/>
          </w:tcPr>
          <w:p>
            <w:pPr>
              <w:spacing w:after="0"/>
              <w:rPr>
                <w:sz w:val="11"/>
                <w:szCs w:val="11"/>
                <w:color w:val="auto"/>
              </w:rPr>
            </w:pPr>
          </w:p>
        </w:tc>
        <w:tc>
          <w:tcPr>
            <w:tcW w:w="1140" w:type="dxa"/>
            <w:vAlign w:val="bottom"/>
            <w:tcBorders>
              <w:bottom w:val="single" w:sz="8" w:color="auto"/>
            </w:tcBorders>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129"/>
        </w:trPr>
        <w:tc>
          <w:tcPr>
            <w:tcW w:w="6000" w:type="dxa"/>
            <w:vAlign w:val="bottom"/>
            <w:tcBorders>
              <w:bottom w:val="single" w:sz="8" w:color="auto"/>
            </w:tcBorders>
          </w:tcPr>
          <w:p>
            <w:pPr>
              <w:ind w:left="20"/>
              <w:spacing w:after="0" w:line="129" w:lineRule="exact"/>
              <w:rPr>
                <w:sz w:val="20"/>
                <w:szCs w:val="20"/>
                <w:color w:val="auto"/>
              </w:rPr>
            </w:pPr>
            <w:r>
              <w:rPr>
                <w:rFonts w:ascii="Times New Roman" w:cs="Times New Roman" w:eastAsia="Times New Roman" w:hAnsi="Times New Roman"/>
                <w:sz w:val="13"/>
                <w:szCs w:val="13"/>
                <w:color w:val="auto"/>
              </w:rPr>
              <w:t>Net cash used in investing activities</w:t>
            </w:r>
          </w:p>
        </w:tc>
        <w:tc>
          <w:tcPr>
            <w:tcW w:w="62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(41,131 )</w:t>
            </w:r>
          </w:p>
        </w:tc>
        <w:tc>
          <w:tcPr>
            <w:tcW w:w="320" w:type="dxa"/>
            <w:vAlign w:val="bottom"/>
            <w:tcBorders>
              <w:bottom w:val="single" w:sz="8" w:color="auto"/>
            </w:tcBorders>
          </w:tcPr>
          <w:p>
            <w:pPr>
              <w:spacing w:after="0"/>
              <w:rPr>
                <w:sz w:val="11"/>
                <w:szCs w:val="11"/>
                <w:color w:val="auto"/>
              </w:rPr>
            </w:pPr>
          </w:p>
        </w:tc>
        <w:tc>
          <w:tcPr>
            <w:tcW w:w="14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(60,001 )</w:t>
            </w:r>
          </w:p>
        </w:tc>
        <w:tc>
          <w:tcPr>
            <w:tcW w:w="66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(59,934 )</w:t>
            </w:r>
          </w:p>
        </w:tc>
      </w:tr>
      <w:tr>
        <w:trPr>
          <w:trHeight w:val="128"/>
        </w:trPr>
        <w:tc>
          <w:tcPr>
            <w:tcW w:w="6000" w:type="dxa"/>
            <w:vAlign w:val="bottom"/>
            <w:shd w:val="clear" w:color="auto" w:fill="CFF0FC"/>
          </w:tcPr>
          <w:p>
            <w:pPr>
              <w:ind w:left="20"/>
              <w:spacing w:after="0" w:line="129" w:lineRule="exact"/>
              <w:rPr>
                <w:sz w:val="20"/>
                <w:szCs w:val="20"/>
                <w:color w:val="auto"/>
              </w:rPr>
            </w:pPr>
            <w:r>
              <w:rPr>
                <w:rFonts w:ascii="Times New Roman" w:cs="Times New Roman" w:eastAsia="Times New Roman" w:hAnsi="Times New Roman"/>
                <w:sz w:val="13"/>
                <w:szCs w:val="13"/>
                <w:b w:val="1"/>
                <w:bCs w:val="1"/>
                <w:color w:val="auto"/>
              </w:rPr>
              <w:t>CASH FLOWS FROM FINANCING ACTIVITIES:</w:t>
            </w:r>
          </w:p>
        </w:tc>
        <w:tc>
          <w:tcPr>
            <w:tcW w:w="62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320" w:type="dxa"/>
            <w:vAlign w:val="bottom"/>
            <w:shd w:val="clear" w:color="auto" w:fill="CFF0FC"/>
          </w:tcPr>
          <w:p>
            <w:pPr>
              <w:spacing w:after="0"/>
              <w:rPr>
                <w:sz w:val="11"/>
                <w:szCs w:val="11"/>
                <w:color w:val="auto"/>
              </w:rPr>
            </w:pPr>
          </w:p>
        </w:tc>
        <w:tc>
          <w:tcPr>
            <w:tcW w:w="140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140" w:type="dxa"/>
            <w:vAlign w:val="bottom"/>
            <w:shd w:val="clear" w:color="auto" w:fill="CFF0FC"/>
          </w:tcPr>
          <w:p>
            <w:pPr>
              <w:spacing w:after="0"/>
              <w:rPr>
                <w:sz w:val="11"/>
                <w:szCs w:val="11"/>
                <w:color w:val="auto"/>
              </w:rPr>
            </w:pPr>
          </w:p>
        </w:tc>
      </w:tr>
      <w:tr>
        <w:trPr>
          <w:trHeight w:val="135"/>
        </w:trPr>
        <w:tc>
          <w:tcPr>
            <w:tcW w:w="6000" w:type="dxa"/>
            <w:vAlign w:val="bottom"/>
          </w:tcPr>
          <w:p>
            <w:pPr>
              <w:ind w:left="160"/>
              <w:spacing w:after="0" w:line="135" w:lineRule="exact"/>
              <w:rPr>
                <w:sz w:val="20"/>
                <w:szCs w:val="20"/>
                <w:color w:val="auto"/>
              </w:rPr>
            </w:pPr>
            <w:r>
              <w:rPr>
                <w:rFonts w:ascii="Times New Roman" w:cs="Times New Roman" w:eastAsia="Times New Roman" w:hAnsi="Times New Roman"/>
                <w:sz w:val="13"/>
                <w:szCs w:val="13"/>
                <w:color w:val="auto"/>
              </w:rPr>
              <w:t>Borrowings under revolving credit facility</w:t>
            </w:r>
          </w:p>
        </w:tc>
        <w:tc>
          <w:tcPr>
            <w:tcW w:w="620" w:type="dxa"/>
            <w:vAlign w:val="bottom"/>
          </w:tcPr>
          <w:p>
            <w:pPr>
              <w:spacing w:after="0"/>
              <w:rPr>
                <w:sz w:val="11"/>
                <w:szCs w:val="11"/>
                <w:color w:val="auto"/>
              </w:rPr>
            </w:pPr>
          </w:p>
        </w:tc>
        <w:tc>
          <w:tcPr>
            <w:tcW w:w="110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b w:val="1"/>
                <w:bCs w:val="1"/>
                <w:color w:val="auto"/>
              </w:rPr>
              <w:t>422,167</w:t>
            </w:r>
          </w:p>
        </w:tc>
        <w:tc>
          <w:tcPr>
            <w:tcW w:w="320" w:type="dxa"/>
            <w:vAlign w:val="bottom"/>
          </w:tcPr>
          <w:p>
            <w:pPr>
              <w:spacing w:after="0"/>
              <w:rPr>
                <w:sz w:val="11"/>
                <w:szCs w:val="11"/>
                <w:color w:val="auto"/>
              </w:rPr>
            </w:pPr>
          </w:p>
        </w:tc>
        <w:tc>
          <w:tcPr>
            <w:tcW w:w="1400" w:type="dxa"/>
            <w:vAlign w:val="bottom"/>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477,841</w:t>
            </w:r>
          </w:p>
        </w:tc>
        <w:tc>
          <w:tcPr>
            <w:tcW w:w="660" w:type="dxa"/>
            <w:vAlign w:val="bottom"/>
          </w:tcPr>
          <w:p>
            <w:pPr>
              <w:spacing w:after="0"/>
              <w:rPr>
                <w:sz w:val="11"/>
                <w:szCs w:val="11"/>
                <w:color w:val="auto"/>
              </w:rPr>
            </w:pPr>
          </w:p>
        </w:tc>
        <w:tc>
          <w:tcPr>
            <w:tcW w:w="114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338,818</w:t>
            </w:r>
          </w:p>
        </w:tc>
      </w:tr>
      <w:tr>
        <w:trPr>
          <w:trHeight w:val="135"/>
        </w:trPr>
        <w:tc>
          <w:tcPr>
            <w:tcW w:w="6000" w:type="dxa"/>
            <w:vAlign w:val="bottom"/>
            <w:shd w:val="clear" w:color="auto" w:fill="CFF0FC"/>
          </w:tcPr>
          <w:p>
            <w:pPr>
              <w:ind w:left="160"/>
              <w:spacing w:after="0" w:line="135" w:lineRule="exact"/>
              <w:rPr>
                <w:sz w:val="20"/>
                <w:szCs w:val="20"/>
                <w:color w:val="auto"/>
              </w:rPr>
            </w:pPr>
            <w:r>
              <w:rPr>
                <w:rFonts w:ascii="Times New Roman" w:cs="Times New Roman" w:eastAsia="Times New Roman" w:hAnsi="Times New Roman"/>
                <w:sz w:val="13"/>
                <w:szCs w:val="13"/>
                <w:color w:val="auto"/>
              </w:rPr>
              <w:t>Payments on revolving credit facility</w:t>
            </w:r>
          </w:p>
        </w:tc>
        <w:tc>
          <w:tcPr>
            <w:tcW w:w="620" w:type="dxa"/>
            <w:vAlign w:val="bottom"/>
            <w:shd w:val="clear" w:color="auto" w:fill="CFF0FC"/>
          </w:tcPr>
          <w:p>
            <w:pPr>
              <w:spacing w:after="0"/>
              <w:rPr>
                <w:sz w:val="11"/>
                <w:szCs w:val="11"/>
                <w:color w:val="auto"/>
              </w:rPr>
            </w:pPr>
          </w:p>
        </w:tc>
        <w:tc>
          <w:tcPr>
            <w:tcW w:w="11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(456,727 )</w:t>
            </w:r>
          </w:p>
        </w:tc>
        <w:tc>
          <w:tcPr>
            <w:tcW w:w="320" w:type="dxa"/>
            <w:vAlign w:val="bottom"/>
            <w:shd w:val="clear" w:color="auto" w:fill="CFF0FC"/>
          </w:tcPr>
          <w:p>
            <w:pPr>
              <w:spacing w:after="0"/>
              <w:rPr>
                <w:sz w:val="11"/>
                <w:szCs w:val="11"/>
                <w:color w:val="auto"/>
              </w:rPr>
            </w:pPr>
          </w:p>
        </w:tc>
        <w:tc>
          <w:tcPr>
            <w:tcW w:w="14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(488,438 )</w:t>
            </w:r>
          </w:p>
        </w:tc>
        <w:tc>
          <w:tcPr>
            <w:tcW w:w="660" w:type="dxa"/>
            <w:vAlign w:val="bottom"/>
            <w:shd w:val="clear" w:color="auto" w:fill="CFF0FC"/>
          </w:tcPr>
          <w:p>
            <w:pPr>
              <w:spacing w:after="0"/>
              <w:rPr>
                <w:sz w:val="11"/>
                <w:szCs w:val="11"/>
                <w:color w:val="auto"/>
              </w:rPr>
            </w:pPr>
          </w:p>
        </w:tc>
        <w:tc>
          <w:tcPr>
            <w:tcW w:w="11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(308,768 )</w:t>
            </w:r>
          </w:p>
        </w:tc>
      </w:tr>
      <w:tr>
        <w:trPr>
          <w:trHeight w:val="135"/>
        </w:trPr>
        <w:tc>
          <w:tcPr>
            <w:tcW w:w="6000" w:type="dxa"/>
            <w:vAlign w:val="bottom"/>
          </w:tcPr>
          <w:p>
            <w:pPr>
              <w:ind w:left="160"/>
              <w:spacing w:after="0" w:line="135" w:lineRule="exact"/>
              <w:rPr>
                <w:sz w:val="20"/>
                <w:szCs w:val="20"/>
                <w:color w:val="auto"/>
              </w:rPr>
            </w:pPr>
            <w:r>
              <w:rPr>
                <w:rFonts w:ascii="Times New Roman" w:cs="Times New Roman" w:eastAsia="Times New Roman" w:hAnsi="Times New Roman"/>
                <w:sz w:val="13"/>
                <w:szCs w:val="13"/>
                <w:color w:val="auto"/>
              </w:rPr>
              <w:t>Shares repurchased related to share repurchase plan</w:t>
            </w:r>
          </w:p>
        </w:tc>
        <w:tc>
          <w:tcPr>
            <w:tcW w:w="620" w:type="dxa"/>
            <w:vAlign w:val="bottom"/>
          </w:tcPr>
          <w:p>
            <w:pPr>
              <w:spacing w:after="0"/>
              <w:rPr>
                <w:sz w:val="11"/>
                <w:szCs w:val="11"/>
                <w:color w:val="auto"/>
              </w:rPr>
            </w:pPr>
          </w:p>
        </w:tc>
        <w:tc>
          <w:tcPr>
            <w:tcW w:w="11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(9,789 )</w:t>
            </w:r>
          </w:p>
        </w:tc>
        <w:tc>
          <w:tcPr>
            <w:tcW w:w="320" w:type="dxa"/>
            <w:vAlign w:val="bottom"/>
          </w:tcPr>
          <w:p>
            <w:pPr>
              <w:spacing w:after="0"/>
              <w:rPr>
                <w:sz w:val="11"/>
                <w:szCs w:val="11"/>
                <w:color w:val="auto"/>
              </w:rPr>
            </w:pPr>
          </w:p>
        </w:tc>
        <w:tc>
          <w:tcPr>
            <w:tcW w:w="14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(32,027 )</w:t>
            </w:r>
          </w:p>
        </w:tc>
        <w:tc>
          <w:tcPr>
            <w:tcW w:w="660" w:type="dxa"/>
            <w:vAlign w:val="bottom"/>
          </w:tcPr>
          <w:p>
            <w:pPr>
              <w:spacing w:after="0"/>
              <w:rPr>
                <w:sz w:val="11"/>
                <w:szCs w:val="11"/>
                <w:color w:val="auto"/>
              </w:rPr>
            </w:pPr>
          </w:p>
        </w:tc>
        <w:tc>
          <w:tcPr>
            <w:tcW w:w="11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(77,470 )</w:t>
            </w:r>
          </w:p>
        </w:tc>
      </w:tr>
      <w:tr>
        <w:trPr>
          <w:trHeight w:val="135"/>
        </w:trPr>
        <w:tc>
          <w:tcPr>
            <w:tcW w:w="6000" w:type="dxa"/>
            <w:vAlign w:val="bottom"/>
            <w:shd w:val="clear" w:color="auto" w:fill="CFF0FC"/>
          </w:tcPr>
          <w:p>
            <w:pPr>
              <w:ind w:left="160"/>
              <w:spacing w:after="0" w:line="135" w:lineRule="exact"/>
              <w:rPr>
                <w:sz w:val="20"/>
                <w:szCs w:val="20"/>
                <w:color w:val="auto"/>
              </w:rPr>
            </w:pPr>
            <w:r>
              <w:rPr>
                <w:rFonts w:ascii="Times New Roman" w:cs="Times New Roman" w:eastAsia="Times New Roman" w:hAnsi="Times New Roman"/>
                <w:sz w:val="13"/>
                <w:szCs w:val="13"/>
                <w:color w:val="auto"/>
              </w:rPr>
              <w:t>Shares repurchased related to taxes for share-based awards</w:t>
            </w:r>
          </w:p>
        </w:tc>
        <w:tc>
          <w:tcPr>
            <w:tcW w:w="620" w:type="dxa"/>
            <w:vAlign w:val="bottom"/>
            <w:shd w:val="clear" w:color="auto" w:fill="CFF0FC"/>
          </w:tcPr>
          <w:p>
            <w:pPr>
              <w:spacing w:after="0"/>
              <w:rPr>
                <w:sz w:val="11"/>
                <w:szCs w:val="11"/>
                <w:color w:val="auto"/>
              </w:rPr>
            </w:pPr>
          </w:p>
        </w:tc>
        <w:tc>
          <w:tcPr>
            <w:tcW w:w="11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(2,572 )</w:t>
            </w:r>
          </w:p>
        </w:tc>
        <w:tc>
          <w:tcPr>
            <w:tcW w:w="320" w:type="dxa"/>
            <w:vAlign w:val="bottom"/>
            <w:shd w:val="clear" w:color="auto" w:fill="CFF0FC"/>
          </w:tcPr>
          <w:p>
            <w:pPr>
              <w:spacing w:after="0"/>
              <w:rPr>
                <w:sz w:val="11"/>
                <w:szCs w:val="11"/>
                <w:color w:val="auto"/>
              </w:rPr>
            </w:pPr>
          </w:p>
        </w:tc>
        <w:tc>
          <w:tcPr>
            <w:tcW w:w="14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(2,249 )</w:t>
            </w:r>
          </w:p>
        </w:tc>
        <w:tc>
          <w:tcPr>
            <w:tcW w:w="660" w:type="dxa"/>
            <w:vAlign w:val="bottom"/>
            <w:shd w:val="clear" w:color="auto" w:fill="CFF0FC"/>
          </w:tcPr>
          <w:p>
            <w:pPr>
              <w:spacing w:after="0"/>
              <w:rPr>
                <w:sz w:val="11"/>
                <w:szCs w:val="11"/>
                <w:color w:val="auto"/>
              </w:rPr>
            </w:pPr>
          </w:p>
        </w:tc>
        <w:tc>
          <w:tcPr>
            <w:tcW w:w="11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(3,942 )</w:t>
            </w:r>
          </w:p>
        </w:tc>
      </w:tr>
      <w:tr>
        <w:trPr>
          <w:trHeight w:val="135"/>
        </w:trPr>
        <w:tc>
          <w:tcPr>
            <w:tcW w:w="6000" w:type="dxa"/>
            <w:vAlign w:val="bottom"/>
          </w:tcPr>
          <w:p>
            <w:pPr>
              <w:ind w:left="160"/>
              <w:spacing w:after="0" w:line="135" w:lineRule="exact"/>
              <w:rPr>
                <w:sz w:val="20"/>
                <w:szCs w:val="20"/>
                <w:color w:val="auto"/>
              </w:rPr>
            </w:pPr>
            <w:r>
              <w:rPr>
                <w:rFonts w:ascii="Times New Roman" w:cs="Times New Roman" w:eastAsia="Times New Roman" w:hAnsi="Times New Roman"/>
                <w:sz w:val="13"/>
                <w:szCs w:val="13"/>
                <w:color w:val="auto"/>
              </w:rPr>
              <w:t>Change in overdraft balances</w:t>
            </w:r>
          </w:p>
        </w:tc>
        <w:tc>
          <w:tcPr>
            <w:tcW w:w="620" w:type="dxa"/>
            <w:vAlign w:val="bottom"/>
          </w:tcPr>
          <w:p>
            <w:pPr>
              <w:spacing w:after="0"/>
              <w:rPr>
                <w:sz w:val="11"/>
                <w:szCs w:val="11"/>
                <w:color w:val="auto"/>
              </w:rPr>
            </w:pPr>
          </w:p>
        </w:tc>
        <w:tc>
          <w:tcPr>
            <w:tcW w:w="11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(82 )</w:t>
            </w:r>
          </w:p>
        </w:tc>
        <w:tc>
          <w:tcPr>
            <w:tcW w:w="320" w:type="dxa"/>
            <w:vAlign w:val="bottom"/>
          </w:tcPr>
          <w:p>
            <w:pPr>
              <w:spacing w:after="0"/>
              <w:rPr>
                <w:sz w:val="11"/>
                <w:szCs w:val="11"/>
                <w:color w:val="auto"/>
              </w:rPr>
            </w:pPr>
          </w:p>
        </w:tc>
        <w:tc>
          <w:tcPr>
            <w:tcW w:w="14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(2,694 )</w:t>
            </w:r>
          </w:p>
        </w:tc>
        <w:tc>
          <w:tcPr>
            <w:tcW w:w="660" w:type="dxa"/>
            <w:vAlign w:val="bottom"/>
          </w:tcPr>
          <w:p>
            <w:pPr>
              <w:spacing w:after="0"/>
              <w:rPr>
                <w:sz w:val="11"/>
                <w:szCs w:val="11"/>
                <w:color w:val="auto"/>
              </w:rPr>
            </w:pPr>
          </w:p>
        </w:tc>
        <w:tc>
          <w:tcPr>
            <w:tcW w:w="114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5,976</w:t>
            </w:r>
          </w:p>
        </w:tc>
      </w:tr>
      <w:tr>
        <w:trPr>
          <w:trHeight w:val="135"/>
        </w:trPr>
        <w:tc>
          <w:tcPr>
            <w:tcW w:w="6000" w:type="dxa"/>
            <w:vAlign w:val="bottom"/>
            <w:tcBorders>
              <w:bottom w:val="single" w:sz="8" w:color="auto"/>
            </w:tcBorders>
            <w:shd w:val="clear" w:color="auto" w:fill="CFF0FC"/>
          </w:tcPr>
          <w:p>
            <w:pPr>
              <w:ind w:left="160"/>
              <w:spacing w:after="0" w:line="135" w:lineRule="exact"/>
              <w:rPr>
                <w:sz w:val="20"/>
                <w:szCs w:val="20"/>
                <w:color w:val="auto"/>
              </w:rPr>
            </w:pPr>
            <w:r>
              <w:rPr>
                <w:rFonts w:ascii="Times New Roman" w:cs="Times New Roman" w:eastAsia="Times New Roman" w:hAnsi="Times New Roman"/>
                <w:sz w:val="13"/>
                <w:szCs w:val="13"/>
                <w:color w:val="auto"/>
              </w:rPr>
              <w:t>Additions to deferred financing costs</w:t>
            </w:r>
          </w:p>
        </w:tc>
        <w:tc>
          <w:tcPr>
            <w:tcW w:w="620" w:type="dxa"/>
            <w:vAlign w:val="bottom"/>
            <w:tcBorders>
              <w:bottom w:val="single" w:sz="8" w:color="auto"/>
            </w:tcBorders>
            <w:shd w:val="clear" w:color="auto" w:fill="CFF0FC"/>
          </w:tcPr>
          <w:p>
            <w:pPr>
              <w:spacing w:after="0"/>
              <w:rPr>
                <w:sz w:val="11"/>
                <w:szCs w:val="11"/>
                <w:color w:val="auto"/>
              </w:rPr>
            </w:pPr>
          </w:p>
        </w:tc>
        <w:tc>
          <w:tcPr>
            <w:tcW w:w="1100" w:type="dxa"/>
            <w:vAlign w:val="bottom"/>
            <w:tcBorders>
              <w:bottom w:val="single" w:sz="8" w:color="auto"/>
            </w:tcBorders>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320" w:type="dxa"/>
            <w:vAlign w:val="bottom"/>
            <w:tcBorders>
              <w:bottom w:val="single" w:sz="8" w:color="auto"/>
            </w:tcBorders>
            <w:shd w:val="clear" w:color="auto" w:fill="CFF0FC"/>
          </w:tcPr>
          <w:p>
            <w:pPr>
              <w:spacing w:after="0"/>
              <w:rPr>
                <w:sz w:val="11"/>
                <w:szCs w:val="11"/>
                <w:color w:val="auto"/>
              </w:rPr>
            </w:pPr>
          </w:p>
        </w:tc>
        <w:tc>
          <w:tcPr>
            <w:tcW w:w="140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(12 )</w:t>
            </w:r>
          </w:p>
        </w:tc>
        <w:tc>
          <w:tcPr>
            <w:tcW w:w="660" w:type="dxa"/>
            <w:vAlign w:val="bottom"/>
            <w:tcBorders>
              <w:bottom w:val="single" w:sz="8" w:color="auto"/>
            </w:tcBorders>
            <w:shd w:val="clear" w:color="auto" w:fill="CFF0FC"/>
          </w:tcPr>
          <w:p>
            <w:pPr>
              <w:spacing w:after="0"/>
              <w:rPr>
                <w:sz w:val="11"/>
                <w:szCs w:val="11"/>
                <w:color w:val="auto"/>
              </w:rPr>
            </w:pPr>
          </w:p>
        </w:tc>
        <w:tc>
          <w:tcPr>
            <w:tcW w:w="114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(144 )</w:t>
            </w:r>
          </w:p>
        </w:tc>
      </w:tr>
      <w:tr>
        <w:trPr>
          <w:trHeight w:val="128"/>
        </w:trPr>
        <w:tc>
          <w:tcPr>
            <w:tcW w:w="6000" w:type="dxa"/>
            <w:vAlign w:val="bottom"/>
            <w:tcBorders>
              <w:bottom w:val="single" w:sz="8" w:color="auto"/>
            </w:tcBorders>
          </w:tcPr>
          <w:p>
            <w:pPr>
              <w:ind w:left="20"/>
              <w:spacing w:after="0" w:line="129" w:lineRule="exact"/>
              <w:rPr>
                <w:sz w:val="20"/>
                <w:szCs w:val="20"/>
                <w:color w:val="auto"/>
              </w:rPr>
            </w:pPr>
            <w:r>
              <w:rPr>
                <w:rFonts w:ascii="Times New Roman" w:cs="Times New Roman" w:eastAsia="Times New Roman" w:hAnsi="Times New Roman"/>
                <w:sz w:val="13"/>
                <w:szCs w:val="13"/>
                <w:color w:val="auto"/>
              </w:rPr>
              <w:t>Net cash used in financing activities</w:t>
            </w:r>
          </w:p>
        </w:tc>
        <w:tc>
          <w:tcPr>
            <w:tcW w:w="62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(47,003 )</w:t>
            </w:r>
          </w:p>
        </w:tc>
        <w:tc>
          <w:tcPr>
            <w:tcW w:w="320" w:type="dxa"/>
            <w:vAlign w:val="bottom"/>
            <w:tcBorders>
              <w:bottom w:val="single" w:sz="8" w:color="auto"/>
            </w:tcBorders>
          </w:tcPr>
          <w:p>
            <w:pPr>
              <w:spacing w:after="0"/>
              <w:rPr>
                <w:sz w:val="11"/>
                <w:szCs w:val="11"/>
                <w:color w:val="auto"/>
              </w:rPr>
            </w:pPr>
          </w:p>
        </w:tc>
        <w:tc>
          <w:tcPr>
            <w:tcW w:w="14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(47,579 )</w:t>
            </w:r>
          </w:p>
        </w:tc>
        <w:tc>
          <w:tcPr>
            <w:tcW w:w="66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(45,530 )</w:t>
            </w:r>
          </w:p>
        </w:tc>
      </w:tr>
      <w:tr>
        <w:trPr>
          <w:trHeight w:val="128"/>
        </w:trPr>
        <w:tc>
          <w:tcPr>
            <w:tcW w:w="6000" w:type="dxa"/>
            <w:vAlign w:val="bottom"/>
            <w:tcBorders>
              <w:bottom w:val="single" w:sz="8" w:color="auto"/>
            </w:tcBorders>
            <w:shd w:val="clear" w:color="auto" w:fill="CFF0FC"/>
          </w:tcPr>
          <w:p>
            <w:pPr>
              <w:ind w:left="20"/>
              <w:spacing w:after="0" w:line="129" w:lineRule="exact"/>
              <w:rPr>
                <w:sz w:val="20"/>
                <w:szCs w:val="20"/>
                <w:color w:val="auto"/>
              </w:rPr>
            </w:pPr>
            <w:r>
              <w:rPr>
                <w:rFonts w:ascii="Times New Roman" w:cs="Times New Roman" w:eastAsia="Times New Roman" w:hAnsi="Times New Roman"/>
                <w:sz w:val="13"/>
                <w:szCs w:val="13"/>
                <w:color w:val="auto"/>
              </w:rPr>
              <w:t>Effect of foreign exchange rate fluctuations on cash</w:t>
            </w:r>
          </w:p>
        </w:tc>
        <w:tc>
          <w:tcPr>
            <w:tcW w:w="620" w:type="dxa"/>
            <w:vAlign w:val="bottom"/>
            <w:tcBorders>
              <w:bottom w:val="single" w:sz="8" w:color="auto"/>
            </w:tcBorders>
            <w:shd w:val="clear" w:color="auto" w:fill="CFF0FC"/>
          </w:tcPr>
          <w:p>
            <w:pPr>
              <w:spacing w:after="0"/>
              <w:rPr>
                <w:sz w:val="11"/>
                <w:szCs w:val="11"/>
                <w:color w:val="auto"/>
              </w:rPr>
            </w:pPr>
          </w:p>
        </w:tc>
        <w:tc>
          <w:tcPr>
            <w:tcW w:w="110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(900 )</w:t>
            </w:r>
          </w:p>
        </w:tc>
        <w:tc>
          <w:tcPr>
            <w:tcW w:w="320" w:type="dxa"/>
            <w:vAlign w:val="bottom"/>
            <w:tcBorders>
              <w:bottom w:val="single" w:sz="8" w:color="auto"/>
            </w:tcBorders>
            <w:shd w:val="clear" w:color="auto" w:fill="CFF0FC"/>
          </w:tcPr>
          <w:p>
            <w:pPr>
              <w:spacing w:after="0"/>
              <w:rPr>
                <w:sz w:val="11"/>
                <w:szCs w:val="11"/>
                <w:color w:val="auto"/>
              </w:rPr>
            </w:pPr>
          </w:p>
        </w:tc>
        <w:tc>
          <w:tcPr>
            <w:tcW w:w="140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(51 )</w:t>
            </w:r>
          </w:p>
        </w:tc>
        <w:tc>
          <w:tcPr>
            <w:tcW w:w="660" w:type="dxa"/>
            <w:vAlign w:val="bottom"/>
            <w:tcBorders>
              <w:bottom w:val="single" w:sz="8" w:color="auto"/>
            </w:tcBorders>
            <w:shd w:val="clear" w:color="auto" w:fill="CFF0FC"/>
          </w:tcPr>
          <w:p>
            <w:pPr>
              <w:spacing w:after="0"/>
              <w:rPr>
                <w:sz w:val="11"/>
                <w:szCs w:val="11"/>
                <w:color w:val="auto"/>
              </w:rPr>
            </w:pPr>
          </w:p>
        </w:tc>
        <w:tc>
          <w:tcPr>
            <w:tcW w:w="114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(2,187 )</w:t>
            </w:r>
          </w:p>
        </w:tc>
      </w:tr>
      <w:tr>
        <w:trPr>
          <w:trHeight w:val="129"/>
        </w:trPr>
        <w:tc>
          <w:tcPr>
            <w:tcW w:w="6000" w:type="dxa"/>
            <w:vAlign w:val="bottom"/>
          </w:tcPr>
          <w:p>
            <w:pPr>
              <w:ind w:left="20"/>
              <w:spacing w:after="0" w:line="129" w:lineRule="exact"/>
              <w:rPr>
                <w:sz w:val="20"/>
                <w:szCs w:val="20"/>
                <w:color w:val="auto"/>
              </w:rPr>
            </w:pPr>
            <w:r>
              <w:rPr>
                <w:rFonts w:ascii="Times New Roman" w:cs="Times New Roman" w:eastAsia="Times New Roman" w:hAnsi="Times New Roman"/>
                <w:sz w:val="13"/>
                <w:szCs w:val="13"/>
                <w:b w:val="1"/>
                <w:bCs w:val="1"/>
                <w:color w:val="auto"/>
              </w:rPr>
              <w:t>Net Decrease in Cash and Cash Equivalents</w:t>
            </w:r>
          </w:p>
        </w:tc>
        <w:tc>
          <w:tcPr>
            <w:tcW w:w="620" w:type="dxa"/>
            <w:vAlign w:val="bottom"/>
          </w:tcPr>
          <w:p>
            <w:pPr>
              <w:spacing w:after="0"/>
              <w:rPr>
                <w:sz w:val="11"/>
                <w:szCs w:val="11"/>
                <w:color w:val="auto"/>
              </w:rPr>
            </w:pPr>
          </w:p>
        </w:tc>
        <w:tc>
          <w:tcPr>
            <w:tcW w:w="110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(1,148 )</w:t>
            </w:r>
          </w:p>
        </w:tc>
        <w:tc>
          <w:tcPr>
            <w:tcW w:w="320" w:type="dxa"/>
            <w:vAlign w:val="bottom"/>
          </w:tcPr>
          <w:p>
            <w:pPr>
              <w:spacing w:after="0"/>
              <w:rPr>
                <w:sz w:val="11"/>
                <w:szCs w:val="11"/>
                <w:color w:val="auto"/>
              </w:rPr>
            </w:pPr>
          </w:p>
        </w:tc>
        <w:tc>
          <w:tcPr>
            <w:tcW w:w="140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(12,835 )</w:t>
            </w:r>
          </w:p>
        </w:tc>
        <w:tc>
          <w:tcPr>
            <w:tcW w:w="660" w:type="dxa"/>
            <w:vAlign w:val="bottom"/>
          </w:tcPr>
          <w:p>
            <w:pPr>
              <w:spacing w:after="0"/>
              <w:rPr>
                <w:sz w:val="11"/>
                <w:szCs w:val="11"/>
                <w:color w:val="auto"/>
              </w:rPr>
            </w:pPr>
          </w:p>
        </w:tc>
        <w:tc>
          <w:tcPr>
            <w:tcW w:w="114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(272,535 )</w:t>
            </w:r>
          </w:p>
        </w:tc>
      </w:tr>
      <w:tr>
        <w:trPr>
          <w:trHeight w:val="135"/>
        </w:trPr>
        <w:tc>
          <w:tcPr>
            <w:tcW w:w="6000" w:type="dxa"/>
            <w:vAlign w:val="bottom"/>
            <w:tcBorders>
              <w:bottom w:val="single" w:sz="8" w:color="auto"/>
            </w:tcBorders>
            <w:shd w:val="clear" w:color="auto" w:fill="CFF0FC"/>
          </w:tcPr>
          <w:p>
            <w:pPr>
              <w:ind w:left="20"/>
              <w:spacing w:after="0" w:line="135" w:lineRule="exact"/>
              <w:rPr>
                <w:sz w:val="20"/>
                <w:szCs w:val="20"/>
                <w:color w:val="auto"/>
              </w:rPr>
            </w:pPr>
            <w:r>
              <w:rPr>
                <w:rFonts w:ascii="Times New Roman" w:cs="Times New Roman" w:eastAsia="Times New Roman" w:hAnsi="Times New Roman"/>
                <w:sz w:val="13"/>
                <w:szCs w:val="13"/>
                <w:color w:val="auto"/>
              </w:rPr>
              <w:t>Cash and cash equivalents at beginning of year</w:t>
            </w:r>
          </w:p>
        </w:tc>
        <w:tc>
          <w:tcPr>
            <w:tcW w:w="620" w:type="dxa"/>
            <w:vAlign w:val="bottom"/>
            <w:tcBorders>
              <w:bottom w:val="single" w:sz="8" w:color="auto"/>
            </w:tcBorders>
            <w:shd w:val="clear" w:color="auto" w:fill="CFF0FC"/>
          </w:tcPr>
          <w:p>
            <w:pPr>
              <w:spacing w:after="0"/>
              <w:rPr>
                <w:sz w:val="11"/>
                <w:szCs w:val="11"/>
                <w:color w:val="auto"/>
              </w:rPr>
            </w:pPr>
          </w:p>
        </w:tc>
        <w:tc>
          <w:tcPr>
            <w:tcW w:w="1100" w:type="dxa"/>
            <w:vAlign w:val="bottom"/>
            <w:tcBorders>
              <w:bottom w:val="single" w:sz="8" w:color="auto"/>
            </w:tcBorders>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b w:val="1"/>
                <w:bCs w:val="1"/>
                <w:color w:val="auto"/>
              </w:rPr>
              <w:t>35,155</w:t>
            </w:r>
          </w:p>
        </w:tc>
        <w:tc>
          <w:tcPr>
            <w:tcW w:w="320" w:type="dxa"/>
            <w:vAlign w:val="bottom"/>
            <w:tcBorders>
              <w:bottom w:val="single" w:sz="8" w:color="auto"/>
            </w:tcBorders>
            <w:shd w:val="clear" w:color="auto" w:fill="CFF0FC"/>
          </w:tcPr>
          <w:p>
            <w:pPr>
              <w:spacing w:after="0"/>
              <w:rPr>
                <w:sz w:val="11"/>
                <w:szCs w:val="11"/>
                <w:color w:val="auto"/>
              </w:rPr>
            </w:pPr>
          </w:p>
        </w:tc>
        <w:tc>
          <w:tcPr>
            <w:tcW w:w="1400" w:type="dxa"/>
            <w:vAlign w:val="bottom"/>
            <w:tcBorders>
              <w:bottom w:val="single" w:sz="8" w:color="auto"/>
            </w:tcBorders>
            <w:shd w:val="clear" w:color="auto" w:fill="CFF0FC"/>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47,990</w:t>
            </w:r>
          </w:p>
        </w:tc>
        <w:tc>
          <w:tcPr>
            <w:tcW w:w="660" w:type="dxa"/>
            <w:vAlign w:val="bottom"/>
            <w:tcBorders>
              <w:bottom w:val="single" w:sz="8" w:color="auto"/>
            </w:tcBorders>
            <w:shd w:val="clear" w:color="auto" w:fill="CFF0FC"/>
          </w:tcPr>
          <w:p>
            <w:pPr>
              <w:spacing w:after="0"/>
              <w:rPr>
                <w:sz w:val="11"/>
                <w:szCs w:val="11"/>
                <w:color w:val="auto"/>
              </w:rPr>
            </w:pPr>
          </w:p>
        </w:tc>
        <w:tc>
          <w:tcPr>
            <w:tcW w:w="1140" w:type="dxa"/>
            <w:vAlign w:val="bottom"/>
            <w:tcBorders>
              <w:bottom w:val="single" w:sz="8" w:color="auto"/>
            </w:tcBorders>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320,525</w:t>
            </w:r>
          </w:p>
        </w:tc>
      </w:tr>
      <w:tr>
        <w:trPr>
          <w:trHeight w:val="128"/>
        </w:trPr>
        <w:tc>
          <w:tcPr>
            <w:tcW w:w="6000" w:type="dxa"/>
            <w:vAlign w:val="bottom"/>
            <w:tcBorders>
              <w:bottom w:val="single" w:sz="8" w:color="auto"/>
            </w:tcBorders>
          </w:tcPr>
          <w:p>
            <w:pPr>
              <w:ind w:left="20"/>
              <w:spacing w:after="0" w:line="129" w:lineRule="exact"/>
              <w:rPr>
                <w:sz w:val="20"/>
                <w:szCs w:val="20"/>
                <w:color w:val="auto"/>
              </w:rPr>
            </w:pPr>
            <w:r>
              <w:rPr>
                <w:rFonts w:ascii="Times New Roman" w:cs="Times New Roman" w:eastAsia="Times New Roman" w:hAnsi="Times New Roman"/>
                <w:sz w:val="13"/>
                <w:szCs w:val="13"/>
                <w:b w:val="1"/>
                <w:bCs w:val="1"/>
                <w:color w:val="auto"/>
              </w:rPr>
              <w:t>Cash and cash equivalents at end of year</w:t>
            </w:r>
          </w:p>
        </w:tc>
        <w:tc>
          <w:tcPr>
            <w:tcW w:w="620" w:type="dxa"/>
            <w:vAlign w:val="bottom"/>
            <w:tcBorders>
              <w:bottom w:val="single" w:sz="8" w:color="auto"/>
            </w:tcBorders>
          </w:tcPr>
          <w:p>
            <w:pPr>
              <w:jc w:val="right"/>
              <w:ind w:right="477"/>
              <w:spacing w:after="0" w:line="129"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1100" w:type="dxa"/>
            <w:vAlign w:val="bottom"/>
            <w:tcBorders>
              <w:bottom w:val="single" w:sz="8" w:color="auto"/>
            </w:tcBorders>
          </w:tcPr>
          <w:p>
            <w:pPr>
              <w:jc w:val="right"/>
              <w:ind w:right="57"/>
              <w:spacing w:after="0" w:line="129" w:lineRule="exact"/>
              <w:rPr>
                <w:sz w:val="20"/>
                <w:szCs w:val="20"/>
                <w:color w:val="auto"/>
              </w:rPr>
            </w:pPr>
            <w:r>
              <w:rPr>
                <w:rFonts w:ascii="Times New Roman" w:cs="Times New Roman" w:eastAsia="Times New Roman" w:hAnsi="Times New Roman"/>
                <w:sz w:val="13"/>
                <w:szCs w:val="13"/>
                <w:b w:val="1"/>
                <w:bCs w:val="1"/>
                <w:color w:val="auto"/>
              </w:rPr>
              <w:t>34,007</w:t>
            </w:r>
          </w:p>
        </w:tc>
        <w:tc>
          <w:tcPr>
            <w:tcW w:w="320" w:type="dxa"/>
            <w:vAlign w:val="bottom"/>
            <w:tcBorders>
              <w:bottom w:val="single" w:sz="8" w:color="auto"/>
            </w:tcBorders>
          </w:tcPr>
          <w:p>
            <w:pPr>
              <w:jc w:val="right"/>
              <w:ind w:right="177"/>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1400" w:type="dxa"/>
            <w:vAlign w:val="bottom"/>
            <w:tcBorders>
              <w:bottom w:val="single" w:sz="8" w:color="auto"/>
            </w:tcBorders>
          </w:tcPr>
          <w:p>
            <w:pPr>
              <w:jc w:val="right"/>
              <w:ind w:right="37"/>
              <w:spacing w:after="0" w:line="129" w:lineRule="exact"/>
              <w:rPr>
                <w:sz w:val="20"/>
                <w:szCs w:val="20"/>
                <w:color w:val="auto"/>
              </w:rPr>
            </w:pPr>
            <w:r>
              <w:rPr>
                <w:rFonts w:ascii="Times New Roman" w:cs="Times New Roman" w:eastAsia="Times New Roman" w:hAnsi="Times New Roman"/>
                <w:sz w:val="13"/>
                <w:szCs w:val="13"/>
                <w:color w:val="auto"/>
              </w:rPr>
              <w:t>35,155</w:t>
            </w:r>
          </w:p>
        </w:tc>
        <w:tc>
          <w:tcPr>
            <w:tcW w:w="660" w:type="dxa"/>
            <w:vAlign w:val="bottom"/>
            <w:tcBorders>
              <w:bottom w:val="single" w:sz="8" w:color="auto"/>
            </w:tcBorders>
          </w:tcPr>
          <w:p>
            <w:pPr>
              <w:jc w:val="right"/>
              <w:ind w:right="497"/>
              <w:spacing w:after="0" w:line="129" w:lineRule="exact"/>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auto"/>
            </w:tcBorders>
          </w:tcPr>
          <w:p>
            <w:pPr>
              <w:jc w:val="right"/>
              <w:ind w:right="77"/>
              <w:spacing w:after="0" w:line="129" w:lineRule="exact"/>
              <w:rPr>
                <w:sz w:val="20"/>
                <w:szCs w:val="20"/>
                <w:color w:val="auto"/>
              </w:rPr>
            </w:pPr>
            <w:r>
              <w:rPr>
                <w:rFonts w:ascii="Times New Roman" w:cs="Times New Roman" w:eastAsia="Times New Roman" w:hAnsi="Times New Roman"/>
                <w:sz w:val="13"/>
                <w:szCs w:val="13"/>
                <w:color w:val="auto"/>
              </w:rPr>
              <w:t>47,990</w:t>
            </w:r>
          </w:p>
        </w:tc>
      </w:tr>
      <w:tr>
        <w:trPr>
          <w:trHeight w:val="20"/>
        </w:trPr>
        <w:tc>
          <w:tcPr>
            <w:tcW w:w="60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15"/>
        </w:trPr>
        <w:tc>
          <w:tcPr>
            <w:tcW w:w="6000" w:type="dxa"/>
            <w:vAlign w:val="bottom"/>
            <w:shd w:val="clear" w:color="auto" w:fill="CFF0FC"/>
          </w:tcPr>
          <w:p>
            <w:pPr>
              <w:ind w:left="20"/>
              <w:spacing w:after="0" w:line="116" w:lineRule="exact"/>
              <w:rPr>
                <w:sz w:val="20"/>
                <w:szCs w:val="20"/>
                <w:color w:val="auto"/>
              </w:rPr>
            </w:pPr>
            <w:r>
              <w:rPr>
                <w:rFonts w:ascii="Times New Roman" w:cs="Times New Roman" w:eastAsia="Times New Roman" w:hAnsi="Times New Roman"/>
                <w:sz w:val="13"/>
                <w:szCs w:val="13"/>
                <w:color w:val="auto"/>
              </w:rPr>
              <w:t>Supplemental information:</w:t>
            </w:r>
          </w:p>
        </w:tc>
        <w:tc>
          <w:tcPr>
            <w:tcW w:w="620" w:type="dxa"/>
            <w:vAlign w:val="bottom"/>
            <w:shd w:val="clear" w:color="auto" w:fill="CFF0FC"/>
          </w:tcPr>
          <w:p>
            <w:pPr>
              <w:spacing w:after="0"/>
              <w:rPr>
                <w:sz w:val="10"/>
                <w:szCs w:val="10"/>
                <w:color w:val="auto"/>
              </w:rPr>
            </w:pPr>
          </w:p>
        </w:tc>
        <w:tc>
          <w:tcPr>
            <w:tcW w:w="110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140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140" w:type="dxa"/>
            <w:vAlign w:val="bottom"/>
            <w:shd w:val="clear" w:color="auto" w:fill="CFF0FC"/>
          </w:tcPr>
          <w:p>
            <w:pPr>
              <w:spacing w:after="0"/>
              <w:rPr>
                <w:sz w:val="10"/>
                <w:szCs w:val="10"/>
                <w:color w:val="auto"/>
              </w:rPr>
            </w:pPr>
          </w:p>
        </w:tc>
      </w:tr>
      <w:tr>
        <w:trPr>
          <w:trHeight w:val="135"/>
        </w:trPr>
        <w:tc>
          <w:tcPr>
            <w:tcW w:w="6000" w:type="dxa"/>
            <w:vAlign w:val="bottom"/>
          </w:tcPr>
          <w:p>
            <w:pPr>
              <w:ind w:left="160"/>
              <w:spacing w:after="0" w:line="135" w:lineRule="exact"/>
              <w:rPr>
                <w:sz w:val="20"/>
                <w:szCs w:val="20"/>
                <w:color w:val="auto"/>
              </w:rPr>
            </w:pPr>
            <w:r>
              <w:rPr>
                <w:rFonts w:ascii="Times New Roman" w:cs="Times New Roman" w:eastAsia="Times New Roman" w:hAnsi="Times New Roman"/>
                <w:sz w:val="13"/>
                <w:szCs w:val="13"/>
                <w:color w:val="auto"/>
              </w:rPr>
              <w:t>Interest paid</w:t>
            </w:r>
          </w:p>
        </w:tc>
        <w:tc>
          <w:tcPr>
            <w:tcW w:w="620" w:type="dxa"/>
            <w:vAlign w:val="bottom"/>
          </w:tcPr>
          <w:p>
            <w:pPr>
              <w:jc w:val="right"/>
              <w:ind w:right="477"/>
              <w:spacing w:after="0" w:line="135"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110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b w:val="1"/>
                <w:bCs w:val="1"/>
                <w:color w:val="auto"/>
              </w:rPr>
              <w:t>4,481</w:t>
            </w:r>
          </w:p>
        </w:tc>
        <w:tc>
          <w:tcPr>
            <w:tcW w:w="320" w:type="dxa"/>
            <w:vAlign w:val="bottom"/>
          </w:tcPr>
          <w:p>
            <w:pPr>
              <w:jc w:val="right"/>
              <w:ind w:right="177"/>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1400" w:type="dxa"/>
            <w:vAlign w:val="bottom"/>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7,841</w:t>
            </w:r>
          </w:p>
        </w:tc>
        <w:tc>
          <w:tcPr>
            <w:tcW w:w="660" w:type="dxa"/>
            <w:vAlign w:val="bottom"/>
          </w:tcPr>
          <w:p>
            <w:pPr>
              <w:jc w:val="right"/>
              <w:ind w:right="49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14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2,742</w:t>
            </w:r>
          </w:p>
        </w:tc>
      </w:tr>
      <w:tr>
        <w:trPr>
          <w:trHeight w:val="135"/>
        </w:trPr>
        <w:tc>
          <w:tcPr>
            <w:tcW w:w="6000" w:type="dxa"/>
            <w:vAlign w:val="bottom"/>
            <w:shd w:val="clear" w:color="auto" w:fill="CFF0FC"/>
          </w:tcPr>
          <w:p>
            <w:pPr>
              <w:ind w:left="160"/>
              <w:spacing w:after="0" w:line="135" w:lineRule="exact"/>
              <w:rPr>
                <w:sz w:val="20"/>
                <w:szCs w:val="20"/>
                <w:color w:val="auto"/>
              </w:rPr>
            </w:pPr>
            <w:r>
              <w:rPr>
                <w:rFonts w:ascii="Times New Roman" w:cs="Times New Roman" w:eastAsia="Times New Roman" w:hAnsi="Times New Roman"/>
                <w:sz w:val="13"/>
                <w:szCs w:val="13"/>
                <w:color w:val="auto"/>
              </w:rPr>
              <w:t>Income taxes paid</w:t>
            </w:r>
          </w:p>
        </w:tc>
        <w:tc>
          <w:tcPr>
            <w:tcW w:w="620" w:type="dxa"/>
            <w:vAlign w:val="bottom"/>
            <w:shd w:val="clear" w:color="auto" w:fill="CFF0FC"/>
          </w:tcPr>
          <w:p>
            <w:pPr>
              <w:spacing w:after="0"/>
              <w:rPr>
                <w:sz w:val="11"/>
                <w:szCs w:val="11"/>
                <w:color w:val="auto"/>
              </w:rPr>
            </w:pPr>
          </w:p>
        </w:tc>
        <w:tc>
          <w:tcPr>
            <w:tcW w:w="110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b w:val="1"/>
                <w:bCs w:val="1"/>
                <w:color w:val="auto"/>
              </w:rPr>
              <w:t>3,506</w:t>
            </w:r>
          </w:p>
        </w:tc>
        <w:tc>
          <w:tcPr>
            <w:tcW w:w="320" w:type="dxa"/>
            <w:vAlign w:val="bottom"/>
            <w:shd w:val="clear" w:color="auto" w:fill="CFF0FC"/>
          </w:tcPr>
          <w:p>
            <w:pPr>
              <w:spacing w:after="0"/>
              <w:rPr>
                <w:sz w:val="11"/>
                <w:szCs w:val="11"/>
                <w:color w:val="auto"/>
              </w:rPr>
            </w:pPr>
          </w:p>
        </w:tc>
        <w:tc>
          <w:tcPr>
            <w:tcW w:w="1400" w:type="dxa"/>
            <w:vAlign w:val="bottom"/>
            <w:shd w:val="clear" w:color="auto" w:fill="CFF0FC"/>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5,888</w:t>
            </w:r>
          </w:p>
        </w:tc>
        <w:tc>
          <w:tcPr>
            <w:tcW w:w="660" w:type="dxa"/>
            <w:vAlign w:val="bottom"/>
            <w:shd w:val="clear" w:color="auto" w:fill="CFF0FC"/>
          </w:tcPr>
          <w:p>
            <w:pPr>
              <w:spacing w:after="0"/>
              <w:rPr>
                <w:sz w:val="11"/>
                <w:szCs w:val="11"/>
                <w:color w:val="auto"/>
              </w:rPr>
            </w:pPr>
          </w:p>
        </w:tc>
        <w:tc>
          <w:tcPr>
            <w:tcW w:w="114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50,562</w:t>
            </w:r>
          </w:p>
        </w:tc>
      </w:tr>
      <w:tr>
        <w:trPr>
          <w:trHeight w:val="135"/>
        </w:trPr>
        <w:tc>
          <w:tcPr>
            <w:tcW w:w="6000" w:type="dxa"/>
            <w:vAlign w:val="bottom"/>
          </w:tcPr>
          <w:p>
            <w:pPr>
              <w:ind w:left="160"/>
              <w:spacing w:after="0" w:line="135" w:lineRule="exact"/>
              <w:rPr>
                <w:sz w:val="20"/>
                <w:szCs w:val="20"/>
                <w:color w:val="auto"/>
              </w:rPr>
            </w:pPr>
            <w:r>
              <w:rPr>
                <w:rFonts w:ascii="Times New Roman" w:cs="Times New Roman" w:eastAsia="Times New Roman" w:hAnsi="Times New Roman"/>
                <w:sz w:val="13"/>
                <w:szCs w:val="13"/>
                <w:color w:val="auto"/>
              </w:rPr>
              <w:t>Cash paid for amounts included in measurement of operating lease liabilities</w:t>
            </w:r>
          </w:p>
        </w:tc>
        <w:tc>
          <w:tcPr>
            <w:tcW w:w="620" w:type="dxa"/>
            <w:vAlign w:val="bottom"/>
          </w:tcPr>
          <w:p>
            <w:pPr>
              <w:spacing w:after="0"/>
              <w:rPr>
                <w:sz w:val="11"/>
                <w:szCs w:val="11"/>
                <w:color w:val="auto"/>
              </w:rPr>
            </w:pPr>
          </w:p>
        </w:tc>
        <w:tc>
          <w:tcPr>
            <w:tcW w:w="110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b w:val="1"/>
                <w:bCs w:val="1"/>
                <w:color w:val="auto"/>
              </w:rPr>
              <w:t>165,668</w:t>
            </w:r>
          </w:p>
        </w:tc>
        <w:tc>
          <w:tcPr>
            <w:tcW w:w="320" w:type="dxa"/>
            <w:vAlign w:val="bottom"/>
          </w:tcPr>
          <w:p>
            <w:pPr>
              <w:spacing w:after="0"/>
              <w:rPr>
                <w:sz w:val="11"/>
                <w:szCs w:val="11"/>
                <w:color w:val="auto"/>
              </w:rPr>
            </w:pPr>
          </w:p>
        </w:tc>
        <w:tc>
          <w:tcPr>
            <w:tcW w:w="1400" w:type="dxa"/>
            <w:vAlign w:val="bottom"/>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187,129</w:t>
            </w:r>
          </w:p>
        </w:tc>
        <w:tc>
          <w:tcPr>
            <w:tcW w:w="660" w:type="dxa"/>
            <w:vAlign w:val="bottom"/>
          </w:tcPr>
          <w:p>
            <w:pPr>
              <w:spacing w:after="0"/>
              <w:rPr>
                <w:sz w:val="11"/>
                <w:szCs w:val="11"/>
                <w:color w:val="auto"/>
              </w:rPr>
            </w:pPr>
          </w:p>
        </w:tc>
        <w:tc>
          <w:tcPr>
            <w:tcW w:w="114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180,042</w:t>
            </w:r>
          </w:p>
        </w:tc>
      </w:tr>
      <w:tr>
        <w:trPr>
          <w:trHeight w:val="135"/>
        </w:trPr>
        <w:tc>
          <w:tcPr>
            <w:tcW w:w="6000" w:type="dxa"/>
            <w:vAlign w:val="bottom"/>
            <w:shd w:val="clear" w:color="auto" w:fill="CFF0FC"/>
          </w:tcPr>
          <w:p>
            <w:pPr>
              <w:ind w:left="160"/>
              <w:spacing w:after="0" w:line="135" w:lineRule="exact"/>
              <w:rPr>
                <w:sz w:val="20"/>
                <w:szCs w:val="20"/>
                <w:color w:val="auto"/>
              </w:rPr>
            </w:pPr>
            <w:r>
              <w:rPr>
                <w:rFonts w:ascii="Times New Roman" w:cs="Times New Roman" w:eastAsia="Times New Roman" w:hAnsi="Times New Roman"/>
                <w:sz w:val="13"/>
                <w:szCs w:val="13"/>
                <w:color w:val="auto"/>
              </w:rPr>
              <w:t>Operating leased assets obtained in exchange for new operating lease liabilities</w:t>
            </w:r>
          </w:p>
        </w:tc>
        <w:tc>
          <w:tcPr>
            <w:tcW w:w="620" w:type="dxa"/>
            <w:vAlign w:val="bottom"/>
            <w:shd w:val="clear" w:color="auto" w:fill="CFF0FC"/>
          </w:tcPr>
          <w:p>
            <w:pPr>
              <w:spacing w:after="0"/>
              <w:rPr>
                <w:sz w:val="11"/>
                <w:szCs w:val="11"/>
                <w:color w:val="auto"/>
              </w:rPr>
            </w:pPr>
          </w:p>
        </w:tc>
        <w:tc>
          <w:tcPr>
            <w:tcW w:w="110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b w:val="1"/>
                <w:bCs w:val="1"/>
                <w:color w:val="auto"/>
              </w:rPr>
              <w:t>156,487</w:t>
            </w:r>
          </w:p>
        </w:tc>
        <w:tc>
          <w:tcPr>
            <w:tcW w:w="320" w:type="dxa"/>
            <w:vAlign w:val="bottom"/>
            <w:shd w:val="clear" w:color="auto" w:fill="CFF0FC"/>
          </w:tcPr>
          <w:p>
            <w:pPr>
              <w:spacing w:after="0"/>
              <w:rPr>
                <w:sz w:val="11"/>
                <w:szCs w:val="11"/>
                <w:color w:val="auto"/>
              </w:rPr>
            </w:pPr>
          </w:p>
        </w:tc>
        <w:tc>
          <w:tcPr>
            <w:tcW w:w="1400" w:type="dxa"/>
            <w:vAlign w:val="bottom"/>
            <w:shd w:val="clear" w:color="auto" w:fill="CFF0FC"/>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128,017</w:t>
            </w:r>
          </w:p>
        </w:tc>
        <w:tc>
          <w:tcPr>
            <w:tcW w:w="660" w:type="dxa"/>
            <w:vAlign w:val="bottom"/>
            <w:shd w:val="clear" w:color="auto" w:fill="CFF0FC"/>
          </w:tcPr>
          <w:p>
            <w:pPr>
              <w:spacing w:after="0"/>
              <w:rPr>
                <w:sz w:val="11"/>
                <w:szCs w:val="11"/>
                <w:color w:val="auto"/>
              </w:rPr>
            </w:pPr>
          </w:p>
        </w:tc>
        <w:tc>
          <w:tcPr>
            <w:tcW w:w="114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93,068</w:t>
            </w: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0" w:name="page51"/>
    <w:bookmarkEnd w:id="50"/>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Genesco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Statements of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280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jc w:val="center"/>
              <w:ind w:right="148"/>
              <w:spacing w:after="0" w:line="137" w:lineRule="exact"/>
              <w:rPr>
                <w:sz w:val="20"/>
                <w:szCs w:val="20"/>
                <w:color w:val="auto"/>
              </w:rPr>
            </w:pPr>
            <w:r>
              <w:rPr>
                <w:rFonts w:ascii="Times New Roman" w:cs="Times New Roman" w:eastAsia="Times New Roman" w:hAnsi="Times New Roman"/>
                <w:sz w:val="14"/>
                <w:szCs w:val="14"/>
                <w:b w:val="1"/>
                <w:bCs w:val="1"/>
                <w:color w:val="auto"/>
              </w:rPr>
              <w:t>Non-</w:t>
            </w:r>
          </w:p>
        </w:tc>
        <w:tc>
          <w:tcPr>
            <w:tcW w:w="20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vMerge w:val="restart"/>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8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400" w:type="dxa"/>
            <w:vAlign w:val="bottom"/>
            <w:tcBorders>
              <w:top w:val="single" w:sz="8" w:color="auto"/>
            </w:tcBorders>
          </w:tcPr>
          <w:p>
            <w:pPr>
              <w:jc w:val="center"/>
              <w:ind w:right="308"/>
              <w:spacing w:after="0" w:line="137"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18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tcPr>
          <w:p>
            <w:pPr>
              <w:jc w:val="center"/>
              <w:ind w:right="148"/>
              <w:spacing w:after="0" w:line="149" w:lineRule="exact"/>
              <w:rPr>
                <w:sz w:val="20"/>
                <w:szCs w:val="20"/>
                <w:color w:val="auto"/>
              </w:rPr>
            </w:pPr>
            <w:r>
              <w:rPr>
                <w:rFonts w:ascii="Times New Roman" w:cs="Times New Roman" w:eastAsia="Times New Roman" w:hAnsi="Times New Roman"/>
                <w:sz w:val="14"/>
                <w:szCs w:val="14"/>
                <w:b w:val="1"/>
                <w:bCs w:val="1"/>
                <w:color w:val="auto"/>
              </w:rPr>
              <w:t>Redeemable</w:t>
            </w:r>
          </w:p>
        </w:tc>
        <w:tc>
          <w:tcPr>
            <w:tcW w:w="200" w:type="dxa"/>
            <w:vAlign w:val="bottom"/>
          </w:tcPr>
          <w:p>
            <w:pPr>
              <w:spacing w:after="0"/>
              <w:rPr>
                <w:sz w:val="12"/>
                <w:szCs w:val="12"/>
                <w:color w:val="auto"/>
              </w:rPr>
            </w:pPr>
          </w:p>
        </w:tc>
        <w:tc>
          <w:tcPr>
            <w:tcW w:w="980" w:type="dxa"/>
            <w:vAlign w:val="bottom"/>
            <w:vMerge w:val="restart"/>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6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20" w:type="dxa"/>
            <w:vAlign w:val="bottom"/>
          </w:tcPr>
          <w:p>
            <w:pPr>
              <w:spacing w:after="0"/>
              <w:rPr>
                <w:sz w:val="12"/>
                <w:szCs w:val="12"/>
                <w:color w:val="auto"/>
              </w:rPr>
            </w:pPr>
          </w:p>
        </w:tc>
        <w:tc>
          <w:tcPr>
            <w:tcW w:w="1400" w:type="dxa"/>
            <w:vAlign w:val="bottom"/>
          </w:tcPr>
          <w:p>
            <w:pPr>
              <w:jc w:val="center"/>
              <w:ind w:right="288"/>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180" w:type="dxa"/>
            <w:vAlign w:val="bottom"/>
            <w:vMerge w:val="restart"/>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960" w:type="dxa"/>
            <w:vAlign w:val="bottom"/>
            <w:vMerge w:val="restart"/>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2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tcPr>
          <w:p>
            <w:pPr>
              <w:jc w:val="center"/>
              <w:ind w:right="128"/>
              <w:spacing w:after="0" w:line="149" w:lineRule="exact"/>
              <w:rPr>
                <w:sz w:val="20"/>
                <w:szCs w:val="20"/>
                <w:color w:val="auto"/>
              </w:rPr>
            </w:pPr>
            <w:r>
              <w:rPr>
                <w:rFonts w:ascii="Times New Roman" w:cs="Times New Roman" w:eastAsia="Times New Roman" w:hAnsi="Times New Roman"/>
                <w:sz w:val="14"/>
                <w:szCs w:val="14"/>
                <w:b w:val="1"/>
                <w:bCs w:val="1"/>
                <w:color w:val="auto"/>
              </w:rPr>
              <w:t>Preferred</w:t>
            </w:r>
          </w:p>
        </w:tc>
        <w:tc>
          <w:tcPr>
            <w:tcW w:w="20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jc w:val="right"/>
              <w:ind w:right="328"/>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8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tcPr>
          <w:p>
            <w:pPr>
              <w:jc w:val="center"/>
              <w:ind w:right="288"/>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180" w:type="dxa"/>
            <w:vAlign w:val="bottom"/>
            <w:vMerge w:val="continue"/>
          </w:tcPr>
          <w:p>
            <w:pPr>
              <w:spacing w:after="0"/>
              <w:rPr>
                <w:sz w:val="12"/>
                <w:szCs w:val="12"/>
                <w:color w:val="auto"/>
              </w:rPr>
            </w:pPr>
          </w:p>
        </w:tc>
        <w:tc>
          <w:tcPr>
            <w:tcW w:w="9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8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center"/>
              <w:ind w:right="288"/>
              <w:spacing w:after="0"/>
              <w:rPr>
                <w:sz w:val="20"/>
                <w:szCs w:val="20"/>
                <w:color w:val="auto"/>
              </w:rPr>
            </w:pPr>
            <w:r>
              <w:rPr>
                <w:rFonts w:ascii="Times New Roman" w:cs="Times New Roman" w:eastAsia="Times New Roman" w:hAnsi="Times New Roman"/>
                <w:sz w:val="14"/>
                <w:szCs w:val="14"/>
                <w:b w:val="1"/>
                <w:bCs w:val="1"/>
                <w:color w:val="auto"/>
              </w:rPr>
              <w:t>Loss</w:t>
            </w:r>
          </w:p>
        </w:tc>
        <w:tc>
          <w:tcPr>
            <w:tcW w:w="1180" w:type="dxa"/>
            <w:vAlign w:val="bottom"/>
            <w:tcBorders>
              <w:bottom w:val="single" w:sz="8" w:color="auto"/>
            </w:tcBorders>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96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42"/>
        </w:trPr>
        <w:tc>
          <w:tcPr>
            <w:tcW w:w="2800" w:type="dxa"/>
            <w:vAlign w:val="bottom"/>
            <w:tcBorders>
              <w:bottom w:val="single" w:sz="8" w:color="auto"/>
            </w:tcBorders>
            <w:shd w:val="clear" w:color="auto" w:fill="CFF0FC"/>
          </w:tcPr>
          <w:p>
            <w:pPr>
              <w:ind w:left="20"/>
              <w:spacing w:after="0" w:line="142" w:lineRule="exact"/>
              <w:rPr>
                <w:sz w:val="20"/>
                <w:szCs w:val="20"/>
                <w:color w:val="auto"/>
              </w:rPr>
            </w:pPr>
            <w:r>
              <w:rPr>
                <w:rFonts w:ascii="Times New Roman" w:cs="Times New Roman" w:eastAsia="Times New Roman" w:hAnsi="Times New Roman"/>
                <w:sz w:val="14"/>
                <w:szCs w:val="14"/>
                <w:color w:val="auto"/>
              </w:rPr>
              <w:t>Balance January 29, 2022</w:t>
            </w:r>
          </w:p>
        </w:tc>
        <w:tc>
          <w:tcPr>
            <w:tcW w:w="20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shd w:val="clear" w:color="auto" w:fill="CFF0FC"/>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827</w:t>
            </w:r>
          </w:p>
        </w:tc>
        <w:tc>
          <w:tcPr>
            <w:tcW w:w="200" w:type="dxa"/>
            <w:vAlign w:val="bottom"/>
            <w:tcBorders>
              <w:bottom w:val="single" w:sz="8" w:color="auto"/>
            </w:tcBorders>
            <w:shd w:val="clear" w:color="auto" w:fill="CFF0FC"/>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shd w:val="clear" w:color="auto" w:fill="CFF0FC"/>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14,256</w:t>
            </w:r>
          </w:p>
        </w:tc>
        <w:tc>
          <w:tcPr>
            <w:tcW w:w="16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291,444</w:t>
            </w:r>
          </w:p>
        </w:tc>
        <w:tc>
          <w:tcPr>
            <w:tcW w:w="180" w:type="dxa"/>
            <w:vAlign w:val="bottom"/>
            <w:tcBorders>
              <w:bottom w:val="single" w:sz="8" w:color="auto"/>
            </w:tcBorders>
            <w:shd w:val="clear" w:color="auto" w:fill="CFF0FC"/>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shd w:val="clear" w:color="auto" w:fill="CFF0FC"/>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350,206</w:t>
            </w:r>
          </w:p>
        </w:tc>
        <w:tc>
          <w:tcPr>
            <w:tcW w:w="12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0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(36,408 ) $</w:t>
            </w:r>
          </w:p>
        </w:tc>
        <w:tc>
          <w:tcPr>
            <w:tcW w:w="1180" w:type="dxa"/>
            <w:vAlign w:val="bottom"/>
            <w:tcBorders>
              <w:bottom w:val="single" w:sz="8" w:color="auto"/>
            </w:tcBorders>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(17,857 ) $</w:t>
            </w:r>
          </w:p>
        </w:tc>
        <w:tc>
          <w:tcPr>
            <w:tcW w:w="960" w:type="dxa"/>
            <w:vAlign w:val="bottom"/>
            <w:tcBorders>
              <w:bottom w:val="single" w:sz="8" w:color="auto"/>
            </w:tcBorders>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602,468</w:t>
            </w:r>
          </w:p>
        </w:tc>
        <w:tc>
          <w:tcPr>
            <w:tcW w:w="0" w:type="dxa"/>
            <w:vAlign w:val="bottom"/>
          </w:tcPr>
          <w:p>
            <w:pPr>
              <w:spacing w:after="0"/>
              <w:rPr>
                <w:sz w:val="1"/>
                <w:szCs w:val="1"/>
                <w:color w:val="auto"/>
              </w:rPr>
            </w:pPr>
          </w:p>
        </w:tc>
      </w:tr>
      <w:tr>
        <w:trPr>
          <w:trHeight w:val="142"/>
        </w:trPr>
        <w:tc>
          <w:tcPr>
            <w:tcW w:w="280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color w:val="auto"/>
              </w:rPr>
              <w:t>Net earnings</w:t>
            </w:r>
          </w:p>
        </w:tc>
        <w:tc>
          <w:tcPr>
            <w:tcW w:w="200" w:type="dxa"/>
            <w:vAlign w:val="bottom"/>
          </w:tcPr>
          <w:p>
            <w:pPr>
              <w:spacing w:after="0"/>
              <w:rPr>
                <w:sz w:val="12"/>
                <w:szCs w:val="12"/>
                <w:color w:val="auto"/>
              </w:rPr>
            </w:pPr>
          </w:p>
        </w:tc>
        <w:tc>
          <w:tcPr>
            <w:tcW w:w="1080" w:type="dxa"/>
            <w:vAlign w:val="bottom"/>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980" w:type="dxa"/>
            <w:vAlign w:val="bottom"/>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020" w:type="dxa"/>
            <w:vAlign w:val="bottom"/>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960" w:type="dxa"/>
            <w:vAlign w:val="bottom"/>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71,915</w:t>
            </w:r>
          </w:p>
        </w:tc>
        <w:tc>
          <w:tcPr>
            <w:tcW w:w="120" w:type="dxa"/>
            <w:vAlign w:val="bottom"/>
          </w:tcPr>
          <w:p>
            <w:pPr>
              <w:spacing w:after="0"/>
              <w:rPr>
                <w:sz w:val="12"/>
                <w:szCs w:val="12"/>
                <w:color w:val="auto"/>
              </w:rPr>
            </w:pPr>
          </w:p>
        </w:tc>
        <w:tc>
          <w:tcPr>
            <w:tcW w:w="1400" w:type="dxa"/>
            <w:vAlign w:val="bottom"/>
          </w:tcPr>
          <w:p>
            <w:pPr>
              <w:jc w:val="right"/>
              <w:ind w:right="20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ind w:right="2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71,915</w:t>
            </w:r>
          </w:p>
        </w:tc>
        <w:tc>
          <w:tcPr>
            <w:tcW w:w="0" w:type="dxa"/>
            <w:vAlign w:val="bottom"/>
          </w:tcPr>
          <w:p>
            <w:pPr>
              <w:spacing w:after="0"/>
              <w:rPr>
                <w:sz w:val="1"/>
                <w:szCs w:val="1"/>
                <w:color w:val="auto"/>
              </w:rPr>
            </w:pPr>
          </w:p>
        </w:tc>
      </w:tr>
      <w:tr>
        <w:trPr>
          <w:trHeight w:val="148"/>
        </w:trPr>
        <w:tc>
          <w:tcPr>
            <w:tcW w:w="280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Other comprehensive loss</w:t>
            </w:r>
          </w:p>
        </w:tc>
        <w:tc>
          <w:tcPr>
            <w:tcW w:w="200" w:type="dxa"/>
            <w:vAlign w:val="bottom"/>
            <w:shd w:val="clear" w:color="auto" w:fill="CFF0FC"/>
          </w:tcPr>
          <w:p>
            <w:pPr>
              <w:spacing w:after="0"/>
              <w:rPr>
                <w:sz w:val="12"/>
                <w:szCs w:val="12"/>
                <w:color w:val="auto"/>
              </w:rPr>
            </w:pPr>
          </w:p>
        </w:tc>
        <w:tc>
          <w:tcPr>
            <w:tcW w:w="1080" w:type="dxa"/>
            <w:vAlign w:val="bottom"/>
            <w:shd w:val="clear" w:color="auto" w:fill="CFF0FC"/>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2"/>
                <w:szCs w:val="12"/>
                <w:color w:val="auto"/>
              </w:rPr>
            </w:pPr>
          </w:p>
        </w:tc>
        <w:tc>
          <w:tcPr>
            <w:tcW w:w="980" w:type="dxa"/>
            <w:vAlign w:val="bottom"/>
            <w:shd w:val="clear" w:color="auto" w:fill="CFF0FC"/>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2"/>
                <w:szCs w:val="12"/>
                <w:color w:val="auto"/>
              </w:rPr>
            </w:pPr>
          </w:p>
        </w:tc>
        <w:tc>
          <w:tcPr>
            <w:tcW w:w="102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2"/>
                <w:szCs w:val="12"/>
                <w:color w:val="auto"/>
              </w:rPr>
            </w:pPr>
          </w:p>
        </w:tc>
        <w:tc>
          <w:tcPr>
            <w:tcW w:w="960" w:type="dxa"/>
            <w:vAlign w:val="bottom"/>
            <w:shd w:val="clear" w:color="auto" w:fill="CFF0FC"/>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400" w:type="dxa"/>
            <w:vAlign w:val="bottom"/>
            <w:shd w:val="clear" w:color="auto" w:fill="CFF0FC"/>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(4,803 )</w:t>
            </w:r>
          </w:p>
        </w:tc>
        <w:tc>
          <w:tcPr>
            <w:tcW w:w="1180" w:type="dxa"/>
            <w:vAlign w:val="bottom"/>
            <w:shd w:val="clear" w:color="auto" w:fill="CFF0FC"/>
          </w:tcPr>
          <w:p>
            <w:pPr>
              <w:jc w:val="right"/>
              <w:ind w:right="2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(4,803 )</w:t>
            </w:r>
          </w:p>
        </w:tc>
        <w:tc>
          <w:tcPr>
            <w:tcW w:w="0" w:type="dxa"/>
            <w:vAlign w:val="bottom"/>
          </w:tcPr>
          <w:p>
            <w:pPr>
              <w:spacing w:after="0"/>
              <w:rPr>
                <w:sz w:val="1"/>
                <w:szCs w:val="1"/>
                <w:color w:val="auto"/>
              </w:rPr>
            </w:pPr>
          </w:p>
        </w:tc>
      </w:tr>
      <w:tr>
        <w:trPr>
          <w:trHeight w:val="148"/>
        </w:trPr>
        <w:tc>
          <w:tcPr>
            <w:tcW w:w="28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Share-based compensation expense</w:t>
            </w:r>
          </w:p>
        </w:tc>
        <w:tc>
          <w:tcPr>
            <w:tcW w:w="200" w:type="dxa"/>
            <w:vAlign w:val="bottom"/>
          </w:tcPr>
          <w:p>
            <w:pPr>
              <w:spacing w:after="0"/>
              <w:rPr>
                <w:sz w:val="12"/>
                <w:szCs w:val="12"/>
                <w:color w:val="auto"/>
              </w:rPr>
            </w:pPr>
          </w:p>
        </w:tc>
        <w:tc>
          <w:tcPr>
            <w:tcW w:w="108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98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02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14,017</w:t>
            </w:r>
          </w:p>
        </w:tc>
        <w:tc>
          <w:tcPr>
            <w:tcW w:w="180" w:type="dxa"/>
            <w:vAlign w:val="bottom"/>
          </w:tcPr>
          <w:p>
            <w:pPr>
              <w:spacing w:after="0"/>
              <w:rPr>
                <w:sz w:val="12"/>
                <w:szCs w:val="12"/>
                <w:color w:val="auto"/>
              </w:rPr>
            </w:pPr>
          </w:p>
        </w:tc>
        <w:tc>
          <w:tcPr>
            <w:tcW w:w="96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400" w:type="dxa"/>
            <w:vAlign w:val="bottom"/>
          </w:tcPr>
          <w:p>
            <w:pPr>
              <w:jc w:val="right"/>
              <w:ind w:right="20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ind w:right="2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14,017</w:t>
            </w:r>
          </w:p>
        </w:tc>
        <w:tc>
          <w:tcPr>
            <w:tcW w:w="0" w:type="dxa"/>
            <w:vAlign w:val="bottom"/>
          </w:tcPr>
          <w:p>
            <w:pPr>
              <w:spacing w:after="0"/>
              <w:rPr>
                <w:sz w:val="1"/>
                <w:szCs w:val="1"/>
                <w:color w:val="auto"/>
              </w:rPr>
            </w:pPr>
          </w:p>
        </w:tc>
      </w:tr>
      <w:tr>
        <w:trPr>
          <w:trHeight w:val="148"/>
        </w:trPr>
        <w:tc>
          <w:tcPr>
            <w:tcW w:w="280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Restricted stock issuance</w:t>
            </w:r>
          </w:p>
        </w:tc>
        <w:tc>
          <w:tcPr>
            <w:tcW w:w="200" w:type="dxa"/>
            <w:vAlign w:val="bottom"/>
            <w:shd w:val="clear" w:color="auto" w:fill="CFF0FC"/>
          </w:tcPr>
          <w:p>
            <w:pPr>
              <w:spacing w:after="0"/>
              <w:rPr>
                <w:sz w:val="12"/>
                <w:szCs w:val="12"/>
                <w:color w:val="auto"/>
              </w:rPr>
            </w:pPr>
          </w:p>
        </w:tc>
        <w:tc>
          <w:tcPr>
            <w:tcW w:w="1080" w:type="dxa"/>
            <w:vAlign w:val="bottom"/>
            <w:shd w:val="clear" w:color="auto" w:fill="CFF0FC"/>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2"/>
                <w:szCs w:val="12"/>
                <w:color w:val="auto"/>
              </w:rPr>
            </w:pPr>
          </w:p>
        </w:tc>
        <w:tc>
          <w:tcPr>
            <w:tcW w:w="980" w:type="dxa"/>
            <w:vAlign w:val="bottom"/>
            <w:shd w:val="clear" w:color="auto" w:fill="CFF0FC"/>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316</w:t>
            </w:r>
          </w:p>
        </w:tc>
        <w:tc>
          <w:tcPr>
            <w:tcW w:w="16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(316 )</w:t>
            </w:r>
          </w:p>
        </w:tc>
        <w:tc>
          <w:tcPr>
            <w:tcW w:w="180" w:type="dxa"/>
            <w:vAlign w:val="bottom"/>
            <w:shd w:val="clear" w:color="auto" w:fill="CFF0FC"/>
          </w:tcPr>
          <w:p>
            <w:pPr>
              <w:spacing w:after="0"/>
              <w:rPr>
                <w:sz w:val="12"/>
                <w:szCs w:val="12"/>
                <w:color w:val="auto"/>
              </w:rPr>
            </w:pPr>
          </w:p>
        </w:tc>
        <w:tc>
          <w:tcPr>
            <w:tcW w:w="960" w:type="dxa"/>
            <w:vAlign w:val="bottom"/>
            <w:shd w:val="clear" w:color="auto" w:fill="CFF0FC"/>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400" w:type="dxa"/>
            <w:vAlign w:val="bottom"/>
            <w:shd w:val="clear" w:color="auto" w:fill="CFF0FC"/>
          </w:tcPr>
          <w:p>
            <w:pPr>
              <w:jc w:val="right"/>
              <w:ind w:right="20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FF0FC"/>
          </w:tcPr>
          <w:p>
            <w:pPr>
              <w:jc w:val="right"/>
              <w:ind w:right="2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8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Restricted shares withheld for taxes</w:t>
            </w:r>
          </w:p>
        </w:tc>
        <w:tc>
          <w:tcPr>
            <w:tcW w:w="200" w:type="dxa"/>
            <w:vAlign w:val="bottom"/>
          </w:tcPr>
          <w:p>
            <w:pPr>
              <w:spacing w:after="0"/>
              <w:rPr>
                <w:sz w:val="12"/>
                <w:szCs w:val="12"/>
                <w:color w:val="auto"/>
              </w:rPr>
            </w:pPr>
          </w:p>
        </w:tc>
        <w:tc>
          <w:tcPr>
            <w:tcW w:w="108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(73 )</w:t>
            </w:r>
          </w:p>
        </w:tc>
        <w:tc>
          <w:tcPr>
            <w:tcW w:w="160" w:type="dxa"/>
            <w:vAlign w:val="bottom"/>
          </w:tcPr>
          <w:p>
            <w:pPr>
              <w:spacing w:after="0"/>
              <w:rPr>
                <w:sz w:val="12"/>
                <w:szCs w:val="12"/>
                <w:color w:val="auto"/>
              </w:rPr>
            </w:pPr>
          </w:p>
        </w:tc>
        <w:tc>
          <w:tcPr>
            <w:tcW w:w="102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73</w:t>
            </w:r>
          </w:p>
        </w:tc>
        <w:tc>
          <w:tcPr>
            <w:tcW w:w="18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(3,942 )</w:t>
            </w:r>
          </w:p>
        </w:tc>
        <w:tc>
          <w:tcPr>
            <w:tcW w:w="120" w:type="dxa"/>
            <w:vAlign w:val="bottom"/>
          </w:tcPr>
          <w:p>
            <w:pPr>
              <w:spacing w:after="0"/>
              <w:rPr>
                <w:sz w:val="12"/>
                <w:szCs w:val="12"/>
                <w:color w:val="auto"/>
              </w:rPr>
            </w:pPr>
          </w:p>
        </w:tc>
        <w:tc>
          <w:tcPr>
            <w:tcW w:w="1400" w:type="dxa"/>
            <w:vAlign w:val="bottom"/>
          </w:tcPr>
          <w:p>
            <w:pPr>
              <w:jc w:val="right"/>
              <w:ind w:right="20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ind w:right="2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(3,942 )</w:t>
            </w:r>
          </w:p>
        </w:tc>
        <w:tc>
          <w:tcPr>
            <w:tcW w:w="0" w:type="dxa"/>
            <w:vAlign w:val="bottom"/>
          </w:tcPr>
          <w:p>
            <w:pPr>
              <w:spacing w:after="0"/>
              <w:rPr>
                <w:sz w:val="1"/>
                <w:szCs w:val="1"/>
                <w:color w:val="auto"/>
              </w:rPr>
            </w:pPr>
          </w:p>
        </w:tc>
      </w:tr>
      <w:tr>
        <w:trPr>
          <w:trHeight w:val="149"/>
        </w:trPr>
        <w:tc>
          <w:tcPr>
            <w:tcW w:w="280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Shares repurchased</w:t>
            </w:r>
          </w:p>
        </w:tc>
        <w:tc>
          <w:tcPr>
            <w:tcW w:w="200" w:type="dxa"/>
            <w:vAlign w:val="bottom"/>
            <w:shd w:val="clear" w:color="auto" w:fill="CFF0FC"/>
          </w:tcPr>
          <w:p>
            <w:pPr>
              <w:spacing w:after="0"/>
              <w:rPr>
                <w:sz w:val="12"/>
                <w:szCs w:val="12"/>
                <w:color w:val="auto"/>
              </w:rPr>
            </w:pPr>
          </w:p>
        </w:tc>
        <w:tc>
          <w:tcPr>
            <w:tcW w:w="1080" w:type="dxa"/>
            <w:vAlign w:val="bottom"/>
            <w:shd w:val="clear" w:color="auto" w:fill="CFF0FC"/>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(1,380 )</w:t>
            </w:r>
          </w:p>
        </w:tc>
        <w:tc>
          <w:tcPr>
            <w:tcW w:w="160" w:type="dxa"/>
            <w:vAlign w:val="bottom"/>
            <w:shd w:val="clear" w:color="auto" w:fill="CFF0FC"/>
          </w:tcPr>
          <w:p>
            <w:pPr>
              <w:spacing w:after="0"/>
              <w:rPr>
                <w:sz w:val="12"/>
                <w:szCs w:val="12"/>
                <w:color w:val="auto"/>
              </w:rPr>
            </w:pPr>
          </w:p>
        </w:tc>
        <w:tc>
          <w:tcPr>
            <w:tcW w:w="102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(71,309 )</w:t>
            </w:r>
          </w:p>
        </w:tc>
        <w:tc>
          <w:tcPr>
            <w:tcW w:w="120" w:type="dxa"/>
            <w:vAlign w:val="bottom"/>
            <w:shd w:val="clear" w:color="auto" w:fill="CFF0FC"/>
          </w:tcPr>
          <w:p>
            <w:pPr>
              <w:spacing w:after="0"/>
              <w:rPr>
                <w:sz w:val="12"/>
                <w:szCs w:val="12"/>
                <w:color w:val="auto"/>
              </w:rPr>
            </w:pPr>
          </w:p>
        </w:tc>
        <w:tc>
          <w:tcPr>
            <w:tcW w:w="1400" w:type="dxa"/>
            <w:vAlign w:val="bottom"/>
            <w:shd w:val="clear" w:color="auto" w:fill="CFF0FC"/>
          </w:tcPr>
          <w:p>
            <w:pPr>
              <w:jc w:val="right"/>
              <w:ind w:right="20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FF0FC"/>
          </w:tcPr>
          <w:p>
            <w:pPr>
              <w:jc w:val="right"/>
              <w:ind w:right="2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(72,689 )</w:t>
            </w:r>
          </w:p>
        </w:tc>
        <w:tc>
          <w:tcPr>
            <w:tcW w:w="0" w:type="dxa"/>
            <w:vAlign w:val="bottom"/>
          </w:tcPr>
          <w:p>
            <w:pPr>
              <w:spacing w:after="0"/>
              <w:rPr>
                <w:sz w:val="1"/>
                <w:szCs w:val="1"/>
                <w:color w:val="auto"/>
              </w:rPr>
            </w:pPr>
          </w:p>
        </w:tc>
      </w:tr>
      <w:tr>
        <w:trPr>
          <w:trHeight w:val="148"/>
        </w:trPr>
        <w:tc>
          <w:tcPr>
            <w:tcW w:w="2800" w:type="dxa"/>
            <w:vAlign w:val="bottom"/>
            <w:tcBorders>
              <w:bottom w:val="single" w:sz="8" w:color="auto"/>
            </w:tcBorders>
          </w:tcPr>
          <w:p>
            <w:pPr>
              <w:ind w:left="20"/>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2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(12 )</w:t>
            </w:r>
          </w:p>
        </w:tc>
        <w:tc>
          <w:tcPr>
            <w:tcW w:w="2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(30 )</w:t>
            </w:r>
          </w:p>
        </w:tc>
        <w:tc>
          <w:tcPr>
            <w:tcW w:w="16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42</w:t>
            </w:r>
          </w:p>
        </w:tc>
        <w:tc>
          <w:tcPr>
            <w:tcW w:w="1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tcPr>
          <w:p>
            <w:pPr>
              <w:jc w:val="right"/>
              <w:ind w:right="20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tcPr>
          <w:p>
            <w:pPr>
              <w:jc w:val="right"/>
              <w:ind w:right="2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2800" w:type="dxa"/>
            <w:vAlign w:val="bottom"/>
            <w:tcBorders>
              <w:bottom w:val="single" w:sz="8" w:color="auto"/>
            </w:tcBorders>
            <w:shd w:val="clear" w:color="auto" w:fill="CFF0FC"/>
          </w:tcPr>
          <w:p>
            <w:pPr>
              <w:ind w:left="20"/>
              <w:spacing w:after="0" w:line="142" w:lineRule="exact"/>
              <w:rPr>
                <w:sz w:val="20"/>
                <w:szCs w:val="20"/>
                <w:color w:val="auto"/>
              </w:rPr>
            </w:pPr>
            <w:r>
              <w:rPr>
                <w:rFonts w:ascii="Times New Roman" w:cs="Times New Roman" w:eastAsia="Times New Roman" w:hAnsi="Times New Roman"/>
                <w:sz w:val="14"/>
                <w:szCs w:val="14"/>
                <w:color w:val="auto"/>
              </w:rPr>
              <w:t>Balance January 28, 2023</w:t>
            </w:r>
          </w:p>
        </w:tc>
        <w:tc>
          <w:tcPr>
            <w:tcW w:w="200" w:type="dxa"/>
            <w:vAlign w:val="bottom"/>
            <w:tcBorders>
              <w:bottom w:val="single" w:sz="8" w:color="auto"/>
            </w:tcBorders>
            <w:shd w:val="clear" w:color="auto" w:fill="CFF0FC"/>
          </w:tcPr>
          <w:p>
            <w:pPr>
              <w:spacing w:after="0"/>
              <w:rPr>
                <w:sz w:val="12"/>
                <w:szCs w:val="12"/>
                <w:color w:val="auto"/>
              </w:rPr>
            </w:pPr>
          </w:p>
        </w:tc>
        <w:tc>
          <w:tcPr>
            <w:tcW w:w="1080" w:type="dxa"/>
            <w:vAlign w:val="bottom"/>
            <w:tcBorders>
              <w:bottom w:val="single" w:sz="8" w:color="auto"/>
            </w:tcBorders>
            <w:shd w:val="clear" w:color="auto" w:fill="CFF0FC"/>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815</w:t>
            </w:r>
          </w:p>
        </w:tc>
        <w:tc>
          <w:tcPr>
            <w:tcW w:w="200" w:type="dxa"/>
            <w:vAlign w:val="bottom"/>
            <w:tcBorders>
              <w:bottom w:val="single" w:sz="8" w:color="auto"/>
            </w:tcBorders>
            <w:shd w:val="clear" w:color="auto" w:fill="CFF0FC"/>
          </w:tcPr>
          <w:p>
            <w:pPr>
              <w:spacing w:after="0"/>
              <w:rPr>
                <w:sz w:val="12"/>
                <w:szCs w:val="12"/>
                <w:color w:val="auto"/>
              </w:rPr>
            </w:pPr>
          </w:p>
        </w:tc>
        <w:tc>
          <w:tcPr>
            <w:tcW w:w="980" w:type="dxa"/>
            <w:vAlign w:val="bottom"/>
            <w:tcBorders>
              <w:bottom w:val="single" w:sz="8" w:color="auto"/>
            </w:tcBorders>
            <w:shd w:val="clear" w:color="auto" w:fill="CFF0FC"/>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13,089</w:t>
            </w:r>
          </w:p>
        </w:tc>
        <w:tc>
          <w:tcPr>
            <w:tcW w:w="160" w:type="dxa"/>
            <w:vAlign w:val="bottom"/>
            <w:tcBorders>
              <w:bottom w:val="single" w:sz="8" w:color="auto"/>
            </w:tcBorders>
            <w:shd w:val="clear" w:color="auto" w:fill="CFF0FC"/>
          </w:tcPr>
          <w:p>
            <w:pPr>
              <w:spacing w:after="0"/>
              <w:rPr>
                <w:sz w:val="12"/>
                <w:szCs w:val="12"/>
                <w:color w:val="auto"/>
              </w:rPr>
            </w:pPr>
          </w:p>
        </w:tc>
        <w:tc>
          <w:tcPr>
            <w:tcW w:w="1020" w:type="dxa"/>
            <w:vAlign w:val="bottom"/>
            <w:tcBorders>
              <w:bottom w:val="single" w:sz="8" w:color="auto"/>
            </w:tcBorders>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305,260</w:t>
            </w:r>
          </w:p>
        </w:tc>
        <w:tc>
          <w:tcPr>
            <w:tcW w:w="180" w:type="dxa"/>
            <w:vAlign w:val="bottom"/>
            <w:tcBorders>
              <w:bottom w:val="single" w:sz="8" w:color="auto"/>
            </w:tcBorders>
            <w:shd w:val="clear" w:color="auto" w:fill="CFF0FC"/>
          </w:tcPr>
          <w:p>
            <w:pPr>
              <w:spacing w:after="0"/>
              <w:rPr>
                <w:sz w:val="12"/>
                <w:szCs w:val="12"/>
                <w:color w:val="auto"/>
              </w:rPr>
            </w:pPr>
          </w:p>
        </w:tc>
        <w:tc>
          <w:tcPr>
            <w:tcW w:w="960" w:type="dxa"/>
            <w:vAlign w:val="bottom"/>
            <w:tcBorders>
              <w:bottom w:val="single" w:sz="8" w:color="auto"/>
            </w:tcBorders>
            <w:shd w:val="clear" w:color="auto" w:fill="CFF0FC"/>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346,870</w:t>
            </w:r>
          </w:p>
        </w:tc>
        <w:tc>
          <w:tcPr>
            <w:tcW w:w="120" w:type="dxa"/>
            <w:vAlign w:val="bottom"/>
            <w:tcBorders>
              <w:bottom w:val="single" w:sz="8" w:color="auto"/>
            </w:tcBorders>
            <w:shd w:val="clear" w:color="auto" w:fill="CFF0FC"/>
          </w:tcPr>
          <w:p>
            <w:pPr>
              <w:spacing w:after="0"/>
              <w:rPr>
                <w:sz w:val="12"/>
                <w:szCs w:val="12"/>
                <w:color w:val="auto"/>
              </w:rPr>
            </w:pPr>
          </w:p>
        </w:tc>
        <w:tc>
          <w:tcPr>
            <w:tcW w:w="1400" w:type="dxa"/>
            <w:vAlign w:val="bottom"/>
            <w:tcBorders>
              <w:bottom w:val="single" w:sz="8" w:color="auto"/>
            </w:tcBorders>
            <w:shd w:val="clear" w:color="auto" w:fill="CFF0FC"/>
          </w:tcPr>
          <w:p>
            <w:pPr>
              <w:jc w:val="right"/>
              <w:ind w:right="128"/>
              <w:spacing w:after="0" w:line="142" w:lineRule="exact"/>
              <w:rPr>
                <w:sz w:val="20"/>
                <w:szCs w:val="20"/>
                <w:color w:val="auto"/>
              </w:rPr>
            </w:pPr>
            <w:r>
              <w:rPr>
                <w:rFonts w:ascii="Times New Roman" w:cs="Times New Roman" w:eastAsia="Times New Roman" w:hAnsi="Times New Roman"/>
                <w:sz w:val="14"/>
                <w:szCs w:val="14"/>
                <w:color w:val="auto"/>
              </w:rPr>
              <w:t>(41,211 )</w:t>
            </w:r>
          </w:p>
        </w:tc>
        <w:tc>
          <w:tcPr>
            <w:tcW w:w="1180" w:type="dxa"/>
            <w:vAlign w:val="bottom"/>
            <w:tcBorders>
              <w:bottom w:val="single" w:sz="8" w:color="auto"/>
            </w:tcBorders>
            <w:shd w:val="clear" w:color="auto" w:fill="CFF0FC"/>
          </w:tcPr>
          <w:p>
            <w:pPr>
              <w:jc w:val="right"/>
              <w:ind w:right="168"/>
              <w:spacing w:after="0" w:line="142" w:lineRule="exact"/>
              <w:rPr>
                <w:sz w:val="20"/>
                <w:szCs w:val="20"/>
                <w:color w:val="auto"/>
              </w:rPr>
            </w:pPr>
            <w:r>
              <w:rPr>
                <w:rFonts w:ascii="Times New Roman" w:cs="Times New Roman" w:eastAsia="Times New Roman" w:hAnsi="Times New Roman"/>
                <w:sz w:val="14"/>
                <w:szCs w:val="14"/>
                <w:color w:val="auto"/>
              </w:rPr>
              <w:t>(17,857 )</w:t>
            </w:r>
          </w:p>
        </w:tc>
        <w:tc>
          <w:tcPr>
            <w:tcW w:w="960" w:type="dxa"/>
            <w:vAlign w:val="bottom"/>
            <w:tcBorders>
              <w:bottom w:val="single" w:sz="8" w:color="auto"/>
            </w:tcBorders>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606,966</w:t>
            </w:r>
          </w:p>
        </w:tc>
        <w:tc>
          <w:tcPr>
            <w:tcW w:w="0" w:type="dxa"/>
            <w:vAlign w:val="bottom"/>
          </w:tcPr>
          <w:p>
            <w:pPr>
              <w:spacing w:after="0"/>
              <w:rPr>
                <w:sz w:val="1"/>
                <w:szCs w:val="1"/>
                <w:color w:val="auto"/>
              </w:rPr>
            </w:pPr>
          </w:p>
        </w:tc>
      </w:tr>
      <w:tr>
        <w:trPr>
          <w:trHeight w:val="142"/>
        </w:trPr>
        <w:tc>
          <w:tcPr>
            <w:tcW w:w="280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color w:val="auto"/>
              </w:rPr>
              <w:t>Net loss</w:t>
            </w:r>
          </w:p>
        </w:tc>
        <w:tc>
          <w:tcPr>
            <w:tcW w:w="200" w:type="dxa"/>
            <w:vAlign w:val="bottom"/>
          </w:tcPr>
          <w:p>
            <w:pPr>
              <w:spacing w:after="0"/>
              <w:rPr>
                <w:sz w:val="12"/>
                <w:szCs w:val="12"/>
                <w:color w:val="auto"/>
              </w:rPr>
            </w:pPr>
          </w:p>
        </w:tc>
        <w:tc>
          <w:tcPr>
            <w:tcW w:w="1080" w:type="dxa"/>
            <w:vAlign w:val="bottom"/>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980" w:type="dxa"/>
            <w:vAlign w:val="bottom"/>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020" w:type="dxa"/>
            <w:vAlign w:val="bottom"/>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9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(16,827 )</w:t>
            </w:r>
          </w:p>
        </w:tc>
        <w:tc>
          <w:tcPr>
            <w:tcW w:w="120" w:type="dxa"/>
            <w:vAlign w:val="bottom"/>
          </w:tcPr>
          <w:p>
            <w:pPr>
              <w:spacing w:after="0"/>
              <w:rPr>
                <w:sz w:val="12"/>
                <w:szCs w:val="12"/>
                <w:color w:val="auto"/>
              </w:rPr>
            </w:pPr>
          </w:p>
        </w:tc>
        <w:tc>
          <w:tcPr>
            <w:tcW w:w="1400" w:type="dxa"/>
            <w:vAlign w:val="bottom"/>
          </w:tcPr>
          <w:p>
            <w:pPr>
              <w:jc w:val="right"/>
              <w:ind w:right="20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ind w:right="2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(16,827 )</w:t>
            </w:r>
          </w:p>
        </w:tc>
        <w:tc>
          <w:tcPr>
            <w:tcW w:w="0" w:type="dxa"/>
            <w:vAlign w:val="bottom"/>
          </w:tcPr>
          <w:p>
            <w:pPr>
              <w:spacing w:after="0"/>
              <w:rPr>
                <w:sz w:val="1"/>
                <w:szCs w:val="1"/>
                <w:color w:val="auto"/>
              </w:rPr>
            </w:pPr>
          </w:p>
        </w:tc>
      </w:tr>
      <w:tr>
        <w:trPr>
          <w:trHeight w:val="149"/>
        </w:trPr>
        <w:tc>
          <w:tcPr>
            <w:tcW w:w="280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Other comprehensive income</w:t>
            </w:r>
          </w:p>
        </w:tc>
        <w:tc>
          <w:tcPr>
            <w:tcW w:w="200" w:type="dxa"/>
            <w:vAlign w:val="bottom"/>
            <w:shd w:val="clear" w:color="auto" w:fill="CFF0FC"/>
          </w:tcPr>
          <w:p>
            <w:pPr>
              <w:spacing w:after="0"/>
              <w:rPr>
                <w:sz w:val="12"/>
                <w:szCs w:val="12"/>
                <w:color w:val="auto"/>
              </w:rPr>
            </w:pPr>
          </w:p>
        </w:tc>
        <w:tc>
          <w:tcPr>
            <w:tcW w:w="1080" w:type="dxa"/>
            <w:vAlign w:val="bottom"/>
            <w:shd w:val="clear" w:color="auto" w:fill="CFF0FC"/>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2"/>
                <w:szCs w:val="12"/>
                <w:color w:val="auto"/>
              </w:rPr>
            </w:pPr>
          </w:p>
        </w:tc>
        <w:tc>
          <w:tcPr>
            <w:tcW w:w="980" w:type="dxa"/>
            <w:vAlign w:val="bottom"/>
            <w:shd w:val="clear" w:color="auto" w:fill="CFF0FC"/>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2"/>
                <w:szCs w:val="12"/>
                <w:color w:val="auto"/>
              </w:rPr>
            </w:pPr>
          </w:p>
        </w:tc>
        <w:tc>
          <w:tcPr>
            <w:tcW w:w="102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2"/>
                <w:szCs w:val="12"/>
                <w:color w:val="auto"/>
              </w:rPr>
            </w:pPr>
          </w:p>
        </w:tc>
        <w:tc>
          <w:tcPr>
            <w:tcW w:w="960" w:type="dxa"/>
            <w:vAlign w:val="bottom"/>
            <w:shd w:val="clear" w:color="auto" w:fill="CFF0FC"/>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400" w:type="dxa"/>
            <w:vAlign w:val="bottom"/>
            <w:shd w:val="clear" w:color="auto" w:fill="CFF0FC"/>
          </w:tcPr>
          <w:p>
            <w:pPr>
              <w:jc w:val="right"/>
              <w:ind w:right="208"/>
              <w:spacing w:after="0" w:line="149" w:lineRule="exact"/>
              <w:rPr>
                <w:sz w:val="20"/>
                <w:szCs w:val="20"/>
                <w:color w:val="auto"/>
              </w:rPr>
            </w:pPr>
            <w:r>
              <w:rPr>
                <w:rFonts w:ascii="Times New Roman" w:cs="Times New Roman" w:eastAsia="Times New Roman" w:hAnsi="Times New Roman"/>
                <w:sz w:val="14"/>
                <w:szCs w:val="14"/>
                <w:color w:val="auto"/>
              </w:rPr>
              <w:t>1,587</w:t>
            </w:r>
          </w:p>
        </w:tc>
        <w:tc>
          <w:tcPr>
            <w:tcW w:w="1180" w:type="dxa"/>
            <w:vAlign w:val="bottom"/>
            <w:shd w:val="clear" w:color="auto" w:fill="CFF0FC"/>
          </w:tcPr>
          <w:p>
            <w:pPr>
              <w:jc w:val="right"/>
              <w:ind w:right="2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1,587</w:t>
            </w:r>
          </w:p>
        </w:tc>
        <w:tc>
          <w:tcPr>
            <w:tcW w:w="0" w:type="dxa"/>
            <w:vAlign w:val="bottom"/>
          </w:tcPr>
          <w:p>
            <w:pPr>
              <w:spacing w:after="0"/>
              <w:rPr>
                <w:sz w:val="1"/>
                <w:szCs w:val="1"/>
                <w:color w:val="auto"/>
              </w:rPr>
            </w:pPr>
          </w:p>
        </w:tc>
      </w:tr>
      <w:tr>
        <w:trPr>
          <w:trHeight w:val="148"/>
        </w:trPr>
        <w:tc>
          <w:tcPr>
            <w:tcW w:w="28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Share-based compensation expense</w:t>
            </w:r>
          </w:p>
        </w:tc>
        <w:tc>
          <w:tcPr>
            <w:tcW w:w="200" w:type="dxa"/>
            <w:vAlign w:val="bottom"/>
          </w:tcPr>
          <w:p>
            <w:pPr>
              <w:spacing w:after="0"/>
              <w:rPr>
                <w:sz w:val="12"/>
                <w:szCs w:val="12"/>
                <w:color w:val="auto"/>
              </w:rPr>
            </w:pPr>
          </w:p>
        </w:tc>
        <w:tc>
          <w:tcPr>
            <w:tcW w:w="108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98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02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14,014</w:t>
            </w:r>
          </w:p>
        </w:tc>
        <w:tc>
          <w:tcPr>
            <w:tcW w:w="180" w:type="dxa"/>
            <w:vAlign w:val="bottom"/>
          </w:tcPr>
          <w:p>
            <w:pPr>
              <w:spacing w:after="0"/>
              <w:rPr>
                <w:sz w:val="12"/>
                <w:szCs w:val="12"/>
                <w:color w:val="auto"/>
              </w:rPr>
            </w:pPr>
          </w:p>
        </w:tc>
        <w:tc>
          <w:tcPr>
            <w:tcW w:w="96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400" w:type="dxa"/>
            <w:vAlign w:val="bottom"/>
          </w:tcPr>
          <w:p>
            <w:pPr>
              <w:jc w:val="right"/>
              <w:ind w:right="20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ind w:right="2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14,014</w:t>
            </w:r>
          </w:p>
        </w:tc>
        <w:tc>
          <w:tcPr>
            <w:tcW w:w="0" w:type="dxa"/>
            <w:vAlign w:val="bottom"/>
          </w:tcPr>
          <w:p>
            <w:pPr>
              <w:spacing w:after="0"/>
              <w:rPr>
                <w:sz w:val="1"/>
                <w:szCs w:val="1"/>
                <w:color w:val="auto"/>
              </w:rPr>
            </w:pPr>
          </w:p>
        </w:tc>
      </w:tr>
      <w:tr>
        <w:trPr>
          <w:trHeight w:val="148"/>
        </w:trPr>
        <w:tc>
          <w:tcPr>
            <w:tcW w:w="280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Restricted stock issuance</w:t>
            </w:r>
          </w:p>
        </w:tc>
        <w:tc>
          <w:tcPr>
            <w:tcW w:w="200" w:type="dxa"/>
            <w:vAlign w:val="bottom"/>
            <w:shd w:val="clear" w:color="auto" w:fill="CFF0FC"/>
          </w:tcPr>
          <w:p>
            <w:pPr>
              <w:spacing w:after="0"/>
              <w:rPr>
                <w:sz w:val="12"/>
                <w:szCs w:val="12"/>
                <w:color w:val="auto"/>
              </w:rPr>
            </w:pPr>
          </w:p>
        </w:tc>
        <w:tc>
          <w:tcPr>
            <w:tcW w:w="1080" w:type="dxa"/>
            <w:vAlign w:val="bottom"/>
            <w:shd w:val="clear" w:color="auto" w:fill="CFF0FC"/>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2"/>
                <w:szCs w:val="12"/>
                <w:color w:val="auto"/>
              </w:rPr>
            </w:pPr>
          </w:p>
        </w:tc>
        <w:tc>
          <w:tcPr>
            <w:tcW w:w="980" w:type="dxa"/>
            <w:vAlign w:val="bottom"/>
            <w:shd w:val="clear" w:color="auto" w:fill="CFF0FC"/>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296</w:t>
            </w:r>
          </w:p>
        </w:tc>
        <w:tc>
          <w:tcPr>
            <w:tcW w:w="16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(296 )</w:t>
            </w:r>
          </w:p>
        </w:tc>
        <w:tc>
          <w:tcPr>
            <w:tcW w:w="180" w:type="dxa"/>
            <w:vAlign w:val="bottom"/>
            <w:shd w:val="clear" w:color="auto" w:fill="CFF0FC"/>
          </w:tcPr>
          <w:p>
            <w:pPr>
              <w:spacing w:after="0"/>
              <w:rPr>
                <w:sz w:val="12"/>
                <w:szCs w:val="12"/>
                <w:color w:val="auto"/>
              </w:rPr>
            </w:pPr>
          </w:p>
        </w:tc>
        <w:tc>
          <w:tcPr>
            <w:tcW w:w="960" w:type="dxa"/>
            <w:vAlign w:val="bottom"/>
            <w:shd w:val="clear" w:color="auto" w:fill="CFF0FC"/>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400" w:type="dxa"/>
            <w:vAlign w:val="bottom"/>
            <w:shd w:val="clear" w:color="auto" w:fill="CFF0FC"/>
          </w:tcPr>
          <w:p>
            <w:pPr>
              <w:jc w:val="right"/>
              <w:ind w:right="20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FF0FC"/>
          </w:tcPr>
          <w:p>
            <w:pPr>
              <w:jc w:val="right"/>
              <w:ind w:right="2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8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Restricted shares withheld for taxes</w:t>
            </w:r>
          </w:p>
        </w:tc>
        <w:tc>
          <w:tcPr>
            <w:tcW w:w="200" w:type="dxa"/>
            <w:vAlign w:val="bottom"/>
          </w:tcPr>
          <w:p>
            <w:pPr>
              <w:spacing w:after="0"/>
              <w:rPr>
                <w:sz w:val="12"/>
                <w:szCs w:val="12"/>
                <w:color w:val="auto"/>
              </w:rPr>
            </w:pPr>
          </w:p>
        </w:tc>
        <w:tc>
          <w:tcPr>
            <w:tcW w:w="108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(86 )</w:t>
            </w:r>
          </w:p>
        </w:tc>
        <w:tc>
          <w:tcPr>
            <w:tcW w:w="160" w:type="dxa"/>
            <w:vAlign w:val="bottom"/>
          </w:tcPr>
          <w:p>
            <w:pPr>
              <w:spacing w:after="0"/>
              <w:rPr>
                <w:sz w:val="12"/>
                <w:szCs w:val="12"/>
                <w:color w:val="auto"/>
              </w:rPr>
            </w:pPr>
          </w:p>
        </w:tc>
        <w:tc>
          <w:tcPr>
            <w:tcW w:w="102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86</w:t>
            </w:r>
          </w:p>
        </w:tc>
        <w:tc>
          <w:tcPr>
            <w:tcW w:w="18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(2,249 )</w:t>
            </w:r>
          </w:p>
        </w:tc>
        <w:tc>
          <w:tcPr>
            <w:tcW w:w="120" w:type="dxa"/>
            <w:vAlign w:val="bottom"/>
          </w:tcPr>
          <w:p>
            <w:pPr>
              <w:spacing w:after="0"/>
              <w:rPr>
                <w:sz w:val="12"/>
                <w:szCs w:val="12"/>
                <w:color w:val="auto"/>
              </w:rPr>
            </w:pPr>
          </w:p>
        </w:tc>
        <w:tc>
          <w:tcPr>
            <w:tcW w:w="1400" w:type="dxa"/>
            <w:vAlign w:val="bottom"/>
          </w:tcPr>
          <w:p>
            <w:pPr>
              <w:jc w:val="right"/>
              <w:ind w:right="20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ind w:right="2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(2,249 )</w:t>
            </w:r>
          </w:p>
        </w:tc>
        <w:tc>
          <w:tcPr>
            <w:tcW w:w="0" w:type="dxa"/>
            <w:vAlign w:val="bottom"/>
          </w:tcPr>
          <w:p>
            <w:pPr>
              <w:spacing w:after="0"/>
              <w:rPr>
                <w:sz w:val="1"/>
                <w:szCs w:val="1"/>
                <w:color w:val="auto"/>
              </w:rPr>
            </w:pPr>
          </w:p>
        </w:tc>
      </w:tr>
      <w:tr>
        <w:trPr>
          <w:trHeight w:val="148"/>
        </w:trPr>
        <w:tc>
          <w:tcPr>
            <w:tcW w:w="280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Shares repurchased</w:t>
            </w:r>
          </w:p>
        </w:tc>
        <w:tc>
          <w:tcPr>
            <w:tcW w:w="200" w:type="dxa"/>
            <w:vAlign w:val="bottom"/>
            <w:shd w:val="clear" w:color="auto" w:fill="CFF0FC"/>
          </w:tcPr>
          <w:p>
            <w:pPr>
              <w:spacing w:after="0"/>
              <w:rPr>
                <w:sz w:val="12"/>
                <w:szCs w:val="12"/>
                <w:color w:val="auto"/>
              </w:rPr>
            </w:pPr>
          </w:p>
        </w:tc>
        <w:tc>
          <w:tcPr>
            <w:tcW w:w="1080" w:type="dxa"/>
            <w:vAlign w:val="bottom"/>
            <w:shd w:val="clear" w:color="auto" w:fill="CFF0FC"/>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(1,261 )</w:t>
            </w:r>
          </w:p>
        </w:tc>
        <w:tc>
          <w:tcPr>
            <w:tcW w:w="160" w:type="dxa"/>
            <w:vAlign w:val="bottom"/>
            <w:shd w:val="clear" w:color="auto" w:fill="CFF0FC"/>
          </w:tcPr>
          <w:p>
            <w:pPr>
              <w:spacing w:after="0"/>
              <w:rPr>
                <w:sz w:val="12"/>
                <w:szCs w:val="12"/>
                <w:color w:val="auto"/>
              </w:rPr>
            </w:pPr>
          </w:p>
        </w:tc>
        <w:tc>
          <w:tcPr>
            <w:tcW w:w="102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(30,766 )</w:t>
            </w:r>
          </w:p>
        </w:tc>
        <w:tc>
          <w:tcPr>
            <w:tcW w:w="120" w:type="dxa"/>
            <w:vAlign w:val="bottom"/>
            <w:shd w:val="clear" w:color="auto" w:fill="CFF0FC"/>
          </w:tcPr>
          <w:p>
            <w:pPr>
              <w:spacing w:after="0"/>
              <w:rPr>
                <w:sz w:val="12"/>
                <w:szCs w:val="12"/>
                <w:color w:val="auto"/>
              </w:rPr>
            </w:pPr>
          </w:p>
        </w:tc>
        <w:tc>
          <w:tcPr>
            <w:tcW w:w="1400" w:type="dxa"/>
            <w:vAlign w:val="bottom"/>
            <w:shd w:val="clear" w:color="auto" w:fill="CFF0FC"/>
          </w:tcPr>
          <w:p>
            <w:pPr>
              <w:jc w:val="right"/>
              <w:ind w:right="20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FF0FC"/>
          </w:tcPr>
          <w:p>
            <w:pPr>
              <w:jc w:val="right"/>
              <w:ind w:right="2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(32,027 )</w:t>
            </w:r>
          </w:p>
        </w:tc>
        <w:tc>
          <w:tcPr>
            <w:tcW w:w="0" w:type="dxa"/>
            <w:vAlign w:val="bottom"/>
          </w:tcPr>
          <w:p>
            <w:pPr>
              <w:spacing w:after="0"/>
              <w:rPr>
                <w:sz w:val="1"/>
                <w:szCs w:val="1"/>
                <w:color w:val="auto"/>
              </w:rPr>
            </w:pPr>
          </w:p>
        </w:tc>
      </w:tr>
      <w:tr>
        <w:trPr>
          <w:trHeight w:val="126"/>
        </w:trPr>
        <w:tc>
          <w:tcPr>
            <w:tcW w:w="2800" w:type="dxa"/>
            <w:vAlign w:val="bottom"/>
          </w:tcPr>
          <w:p>
            <w:pPr>
              <w:ind w:left="20"/>
              <w:spacing w:after="0" w:line="126" w:lineRule="exact"/>
              <w:rPr>
                <w:sz w:val="20"/>
                <w:szCs w:val="20"/>
                <w:color w:val="auto"/>
              </w:rPr>
            </w:pPr>
            <w:r>
              <w:rPr>
                <w:rFonts w:ascii="Times New Roman" w:cs="Times New Roman" w:eastAsia="Times New Roman" w:hAnsi="Times New Roman"/>
                <w:sz w:val="14"/>
                <w:szCs w:val="14"/>
                <w:color w:val="auto"/>
              </w:rPr>
              <w:t>Excise taxes related to repurchases of common</w:t>
            </w:r>
          </w:p>
        </w:tc>
        <w:tc>
          <w:tcPr>
            <w:tcW w:w="200" w:type="dxa"/>
            <w:vAlign w:val="bottom"/>
          </w:tcPr>
          <w:p>
            <w:pPr>
              <w:spacing w:after="0"/>
              <w:rPr>
                <w:sz w:val="10"/>
                <w:szCs w:val="10"/>
                <w:color w:val="auto"/>
              </w:rPr>
            </w:pPr>
          </w:p>
        </w:tc>
        <w:tc>
          <w:tcPr>
            <w:tcW w:w="10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0"/>
                <w:szCs w:val="10"/>
                <w:color w:val="auto"/>
              </w:rPr>
            </w:pPr>
          </w:p>
        </w:tc>
        <w:tc>
          <w:tcPr>
            <w:tcW w:w="9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10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0"/>
                <w:szCs w:val="10"/>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(262 )</w:t>
            </w:r>
          </w:p>
        </w:tc>
        <w:tc>
          <w:tcPr>
            <w:tcW w:w="120" w:type="dxa"/>
            <w:vAlign w:val="bottom"/>
          </w:tcPr>
          <w:p>
            <w:pPr>
              <w:spacing w:after="0"/>
              <w:rPr>
                <w:sz w:val="10"/>
                <w:szCs w:val="10"/>
                <w:color w:val="auto"/>
              </w:rPr>
            </w:pPr>
          </w:p>
        </w:tc>
        <w:tc>
          <w:tcPr>
            <w:tcW w:w="140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(262 )</w:t>
            </w:r>
          </w:p>
        </w:tc>
        <w:tc>
          <w:tcPr>
            <w:tcW w:w="0" w:type="dxa"/>
            <w:vAlign w:val="bottom"/>
          </w:tcPr>
          <w:p>
            <w:pPr>
              <w:spacing w:after="0"/>
              <w:rPr>
                <w:sz w:val="1"/>
                <w:szCs w:val="1"/>
                <w:color w:val="auto"/>
              </w:rPr>
            </w:pPr>
          </w:p>
        </w:tc>
      </w:tr>
      <w:tr>
        <w:trPr>
          <w:trHeight w:val="171"/>
        </w:trPr>
        <w:tc>
          <w:tcPr>
            <w:tcW w:w="2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w:t>
            </w:r>
          </w:p>
        </w:tc>
        <w:tc>
          <w:tcPr>
            <w:tcW w:w="20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18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800" w:type="dxa"/>
            <w:vAlign w:val="bottom"/>
            <w:tcBorders>
              <w:bottom w:val="single" w:sz="8" w:color="auto"/>
            </w:tcBorders>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200" w:type="dxa"/>
            <w:vAlign w:val="bottom"/>
            <w:tcBorders>
              <w:bottom w:val="single" w:sz="8" w:color="auto"/>
            </w:tcBorders>
            <w:shd w:val="clear" w:color="auto" w:fill="CFF0FC"/>
          </w:tcPr>
          <w:p>
            <w:pPr>
              <w:spacing w:after="0"/>
              <w:rPr>
                <w:sz w:val="12"/>
                <w:szCs w:val="12"/>
                <w:color w:val="auto"/>
              </w:rPr>
            </w:pPr>
          </w:p>
        </w:tc>
        <w:tc>
          <w:tcPr>
            <w:tcW w:w="108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(2 )</w:t>
            </w:r>
          </w:p>
        </w:tc>
        <w:tc>
          <w:tcPr>
            <w:tcW w:w="200" w:type="dxa"/>
            <w:vAlign w:val="bottom"/>
            <w:tcBorders>
              <w:bottom w:val="single" w:sz="8" w:color="auto"/>
            </w:tcBorders>
            <w:shd w:val="clear" w:color="auto" w:fill="CFF0FC"/>
          </w:tcPr>
          <w:p>
            <w:pPr>
              <w:spacing w:after="0"/>
              <w:rPr>
                <w:sz w:val="12"/>
                <w:szCs w:val="12"/>
                <w:color w:val="auto"/>
              </w:rPr>
            </w:pPr>
          </w:p>
        </w:tc>
        <w:tc>
          <w:tcPr>
            <w:tcW w:w="98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(77 )</w:t>
            </w:r>
          </w:p>
        </w:tc>
        <w:tc>
          <w:tcPr>
            <w:tcW w:w="160" w:type="dxa"/>
            <w:vAlign w:val="bottom"/>
            <w:tcBorders>
              <w:bottom w:val="single" w:sz="8" w:color="auto"/>
            </w:tcBorders>
            <w:shd w:val="clear" w:color="auto" w:fill="CFF0FC"/>
          </w:tcPr>
          <w:p>
            <w:pPr>
              <w:spacing w:after="0"/>
              <w:rPr>
                <w:sz w:val="12"/>
                <w:szCs w:val="12"/>
                <w:color w:val="auto"/>
              </w:rPr>
            </w:pPr>
          </w:p>
        </w:tc>
        <w:tc>
          <w:tcPr>
            <w:tcW w:w="1020" w:type="dxa"/>
            <w:vAlign w:val="bottom"/>
            <w:tcBorders>
              <w:bottom w:val="single" w:sz="8" w:color="auto"/>
            </w:tcBorders>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79</w:t>
            </w:r>
          </w:p>
        </w:tc>
        <w:tc>
          <w:tcPr>
            <w:tcW w:w="180" w:type="dxa"/>
            <w:vAlign w:val="bottom"/>
            <w:tcBorders>
              <w:bottom w:val="single" w:sz="8" w:color="auto"/>
            </w:tcBorders>
            <w:shd w:val="clear" w:color="auto" w:fill="CFF0FC"/>
          </w:tcPr>
          <w:p>
            <w:pPr>
              <w:spacing w:after="0"/>
              <w:rPr>
                <w:sz w:val="12"/>
                <w:szCs w:val="12"/>
                <w:color w:val="auto"/>
              </w:rPr>
            </w:pPr>
          </w:p>
        </w:tc>
        <w:tc>
          <w:tcPr>
            <w:tcW w:w="960" w:type="dxa"/>
            <w:vAlign w:val="bottom"/>
            <w:tcBorders>
              <w:bottom w:val="single" w:sz="8" w:color="auto"/>
            </w:tcBorders>
            <w:shd w:val="clear" w:color="auto" w:fill="CFF0FC"/>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auto"/>
            </w:tcBorders>
            <w:shd w:val="clear" w:color="auto" w:fill="CFF0FC"/>
          </w:tcPr>
          <w:p>
            <w:pPr>
              <w:spacing w:after="0"/>
              <w:rPr>
                <w:sz w:val="12"/>
                <w:szCs w:val="12"/>
                <w:color w:val="auto"/>
              </w:rPr>
            </w:pPr>
          </w:p>
        </w:tc>
        <w:tc>
          <w:tcPr>
            <w:tcW w:w="1400" w:type="dxa"/>
            <w:vAlign w:val="bottom"/>
            <w:tcBorders>
              <w:bottom w:val="single" w:sz="8" w:color="auto"/>
            </w:tcBorders>
            <w:shd w:val="clear" w:color="auto" w:fill="CFF0FC"/>
          </w:tcPr>
          <w:p>
            <w:pPr>
              <w:jc w:val="right"/>
              <w:ind w:right="20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shd w:val="clear" w:color="auto" w:fill="CFF0FC"/>
          </w:tcPr>
          <w:p>
            <w:pPr>
              <w:jc w:val="right"/>
              <w:ind w:right="2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2800" w:type="dxa"/>
            <w:vAlign w:val="bottom"/>
            <w:tcBorders>
              <w:bottom w:val="single" w:sz="8" w:color="auto"/>
            </w:tcBorders>
          </w:tcPr>
          <w:p>
            <w:pPr>
              <w:ind w:left="20"/>
              <w:spacing w:after="0" w:line="142" w:lineRule="exact"/>
              <w:rPr>
                <w:sz w:val="20"/>
                <w:szCs w:val="20"/>
                <w:color w:val="auto"/>
              </w:rPr>
            </w:pPr>
            <w:r>
              <w:rPr>
                <w:rFonts w:ascii="Times New Roman" w:cs="Times New Roman" w:eastAsia="Times New Roman" w:hAnsi="Times New Roman"/>
                <w:sz w:val="14"/>
                <w:szCs w:val="14"/>
                <w:color w:val="auto"/>
              </w:rPr>
              <w:t>Balance February 3, 2024</w:t>
            </w:r>
          </w:p>
        </w:tc>
        <w:tc>
          <w:tcPr>
            <w:tcW w:w="2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813</w:t>
            </w:r>
          </w:p>
        </w:tc>
        <w:tc>
          <w:tcPr>
            <w:tcW w:w="2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11,961</w:t>
            </w:r>
          </w:p>
        </w:tc>
        <w:tc>
          <w:tcPr>
            <w:tcW w:w="16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319,143</w:t>
            </w:r>
          </w:p>
        </w:tc>
        <w:tc>
          <w:tcPr>
            <w:tcW w:w="1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296,766</w:t>
            </w:r>
          </w:p>
        </w:tc>
        <w:tc>
          <w:tcPr>
            <w:tcW w:w="12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tcPr>
          <w:p>
            <w:pPr>
              <w:jc w:val="right"/>
              <w:ind w:right="128"/>
              <w:spacing w:after="0" w:line="142" w:lineRule="exact"/>
              <w:rPr>
                <w:sz w:val="20"/>
                <w:szCs w:val="20"/>
                <w:color w:val="auto"/>
              </w:rPr>
            </w:pPr>
            <w:r>
              <w:rPr>
                <w:rFonts w:ascii="Times New Roman" w:cs="Times New Roman" w:eastAsia="Times New Roman" w:hAnsi="Times New Roman"/>
                <w:sz w:val="14"/>
                <w:szCs w:val="14"/>
                <w:color w:val="auto"/>
              </w:rPr>
              <w:t>(39,624 )</w:t>
            </w:r>
          </w:p>
        </w:tc>
        <w:tc>
          <w:tcPr>
            <w:tcW w:w="1180" w:type="dxa"/>
            <w:vAlign w:val="bottom"/>
            <w:tcBorders>
              <w:bottom w:val="single" w:sz="8" w:color="auto"/>
            </w:tcBorders>
          </w:tcPr>
          <w:p>
            <w:pPr>
              <w:jc w:val="right"/>
              <w:ind w:right="168"/>
              <w:spacing w:after="0" w:line="142" w:lineRule="exact"/>
              <w:rPr>
                <w:sz w:val="20"/>
                <w:szCs w:val="20"/>
                <w:color w:val="auto"/>
              </w:rPr>
            </w:pPr>
            <w:r>
              <w:rPr>
                <w:rFonts w:ascii="Times New Roman" w:cs="Times New Roman" w:eastAsia="Times New Roman" w:hAnsi="Times New Roman"/>
                <w:sz w:val="14"/>
                <w:szCs w:val="14"/>
                <w:color w:val="auto"/>
              </w:rPr>
              <w:t>(17,857 )</w:t>
            </w:r>
          </w:p>
        </w:tc>
        <w:tc>
          <w:tcPr>
            <w:tcW w:w="96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571,202</w:t>
            </w:r>
          </w:p>
        </w:tc>
        <w:tc>
          <w:tcPr>
            <w:tcW w:w="0" w:type="dxa"/>
            <w:vAlign w:val="bottom"/>
          </w:tcPr>
          <w:p>
            <w:pPr>
              <w:spacing w:after="0"/>
              <w:rPr>
                <w:sz w:val="1"/>
                <w:szCs w:val="1"/>
                <w:color w:val="auto"/>
              </w:rPr>
            </w:pPr>
          </w:p>
        </w:tc>
      </w:tr>
      <w:tr>
        <w:trPr>
          <w:trHeight w:val="142"/>
        </w:trPr>
        <w:tc>
          <w:tcPr>
            <w:tcW w:w="2800" w:type="dxa"/>
            <w:vAlign w:val="bottom"/>
            <w:shd w:val="clear" w:color="auto" w:fill="CFF0FC"/>
          </w:tcPr>
          <w:p>
            <w:pPr>
              <w:ind w:left="20"/>
              <w:spacing w:after="0" w:line="142" w:lineRule="exact"/>
              <w:rPr>
                <w:sz w:val="20"/>
                <w:szCs w:val="20"/>
                <w:color w:val="auto"/>
              </w:rPr>
            </w:pPr>
            <w:r>
              <w:rPr>
                <w:rFonts w:ascii="Times New Roman" w:cs="Times New Roman" w:eastAsia="Times New Roman" w:hAnsi="Times New Roman"/>
                <w:sz w:val="14"/>
                <w:szCs w:val="14"/>
                <w:color w:val="auto"/>
              </w:rPr>
              <w:t>Net loss</w:t>
            </w:r>
          </w:p>
        </w:tc>
        <w:tc>
          <w:tcPr>
            <w:tcW w:w="200" w:type="dxa"/>
            <w:vAlign w:val="bottom"/>
            <w:shd w:val="clear" w:color="auto" w:fill="CFF0FC"/>
          </w:tcPr>
          <w:p>
            <w:pPr>
              <w:spacing w:after="0"/>
              <w:rPr>
                <w:sz w:val="12"/>
                <w:szCs w:val="12"/>
                <w:color w:val="auto"/>
              </w:rPr>
            </w:pPr>
          </w:p>
        </w:tc>
        <w:tc>
          <w:tcPr>
            <w:tcW w:w="1080" w:type="dxa"/>
            <w:vAlign w:val="bottom"/>
            <w:shd w:val="clear" w:color="auto" w:fill="CFF0FC"/>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2"/>
                <w:szCs w:val="12"/>
                <w:color w:val="auto"/>
              </w:rPr>
            </w:pPr>
          </w:p>
        </w:tc>
        <w:tc>
          <w:tcPr>
            <w:tcW w:w="980" w:type="dxa"/>
            <w:vAlign w:val="bottom"/>
            <w:shd w:val="clear" w:color="auto" w:fill="CFF0FC"/>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2"/>
                <w:szCs w:val="12"/>
                <w:color w:val="auto"/>
              </w:rPr>
            </w:pPr>
          </w:p>
        </w:tc>
        <w:tc>
          <w:tcPr>
            <w:tcW w:w="1020" w:type="dxa"/>
            <w:vAlign w:val="bottom"/>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(18,890 )</w:t>
            </w:r>
          </w:p>
        </w:tc>
        <w:tc>
          <w:tcPr>
            <w:tcW w:w="120" w:type="dxa"/>
            <w:vAlign w:val="bottom"/>
            <w:shd w:val="clear" w:color="auto" w:fill="CFF0FC"/>
          </w:tcPr>
          <w:p>
            <w:pPr>
              <w:spacing w:after="0"/>
              <w:rPr>
                <w:sz w:val="12"/>
                <w:szCs w:val="12"/>
                <w:color w:val="auto"/>
              </w:rPr>
            </w:pPr>
          </w:p>
        </w:tc>
        <w:tc>
          <w:tcPr>
            <w:tcW w:w="1400" w:type="dxa"/>
            <w:vAlign w:val="bottom"/>
            <w:shd w:val="clear" w:color="auto" w:fill="CFF0FC"/>
          </w:tcPr>
          <w:p>
            <w:pPr>
              <w:jc w:val="right"/>
              <w:ind w:right="20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FF0FC"/>
          </w:tcPr>
          <w:p>
            <w:pPr>
              <w:jc w:val="right"/>
              <w:ind w:right="2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(18,890 )</w:t>
            </w:r>
          </w:p>
        </w:tc>
        <w:tc>
          <w:tcPr>
            <w:tcW w:w="0" w:type="dxa"/>
            <w:vAlign w:val="bottom"/>
          </w:tcPr>
          <w:p>
            <w:pPr>
              <w:spacing w:after="0"/>
              <w:rPr>
                <w:sz w:val="1"/>
                <w:szCs w:val="1"/>
                <w:color w:val="auto"/>
              </w:rPr>
            </w:pPr>
          </w:p>
        </w:tc>
      </w:tr>
      <w:tr>
        <w:trPr>
          <w:trHeight w:val="148"/>
        </w:trPr>
        <w:tc>
          <w:tcPr>
            <w:tcW w:w="28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Other comprehensive loss</w:t>
            </w:r>
          </w:p>
        </w:tc>
        <w:tc>
          <w:tcPr>
            <w:tcW w:w="200" w:type="dxa"/>
            <w:vAlign w:val="bottom"/>
          </w:tcPr>
          <w:p>
            <w:pPr>
              <w:spacing w:after="0"/>
              <w:rPr>
                <w:sz w:val="12"/>
                <w:szCs w:val="12"/>
                <w:color w:val="auto"/>
              </w:rPr>
            </w:pPr>
          </w:p>
        </w:tc>
        <w:tc>
          <w:tcPr>
            <w:tcW w:w="108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98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02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96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400" w:type="dxa"/>
            <w:vAlign w:val="bottom"/>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(5,800 )</w:t>
            </w:r>
          </w:p>
        </w:tc>
        <w:tc>
          <w:tcPr>
            <w:tcW w:w="1180" w:type="dxa"/>
            <w:vAlign w:val="bottom"/>
          </w:tcPr>
          <w:p>
            <w:pPr>
              <w:jc w:val="right"/>
              <w:ind w:right="2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(5,800 )</w:t>
            </w:r>
          </w:p>
        </w:tc>
        <w:tc>
          <w:tcPr>
            <w:tcW w:w="0" w:type="dxa"/>
            <w:vAlign w:val="bottom"/>
          </w:tcPr>
          <w:p>
            <w:pPr>
              <w:spacing w:after="0"/>
              <w:rPr>
                <w:sz w:val="1"/>
                <w:szCs w:val="1"/>
                <w:color w:val="auto"/>
              </w:rPr>
            </w:pPr>
          </w:p>
        </w:tc>
      </w:tr>
      <w:tr>
        <w:trPr>
          <w:trHeight w:val="148"/>
        </w:trPr>
        <w:tc>
          <w:tcPr>
            <w:tcW w:w="280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Share-based compensation expense</w:t>
            </w:r>
          </w:p>
        </w:tc>
        <w:tc>
          <w:tcPr>
            <w:tcW w:w="200" w:type="dxa"/>
            <w:vAlign w:val="bottom"/>
            <w:shd w:val="clear" w:color="auto" w:fill="CFF0FC"/>
          </w:tcPr>
          <w:p>
            <w:pPr>
              <w:spacing w:after="0"/>
              <w:rPr>
                <w:sz w:val="12"/>
                <w:szCs w:val="12"/>
                <w:color w:val="auto"/>
              </w:rPr>
            </w:pPr>
          </w:p>
        </w:tc>
        <w:tc>
          <w:tcPr>
            <w:tcW w:w="1080" w:type="dxa"/>
            <w:vAlign w:val="bottom"/>
            <w:shd w:val="clear" w:color="auto" w:fill="CFF0FC"/>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2"/>
                <w:szCs w:val="12"/>
                <w:color w:val="auto"/>
              </w:rPr>
            </w:pPr>
          </w:p>
        </w:tc>
        <w:tc>
          <w:tcPr>
            <w:tcW w:w="980" w:type="dxa"/>
            <w:vAlign w:val="bottom"/>
            <w:shd w:val="clear" w:color="auto" w:fill="CFF0FC"/>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2"/>
                <w:szCs w:val="12"/>
                <w:color w:val="auto"/>
              </w:rPr>
            </w:pPr>
          </w:p>
        </w:tc>
        <w:tc>
          <w:tcPr>
            <w:tcW w:w="102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12,866</w:t>
            </w:r>
          </w:p>
        </w:tc>
        <w:tc>
          <w:tcPr>
            <w:tcW w:w="180" w:type="dxa"/>
            <w:vAlign w:val="bottom"/>
            <w:shd w:val="clear" w:color="auto" w:fill="CFF0FC"/>
          </w:tcPr>
          <w:p>
            <w:pPr>
              <w:spacing w:after="0"/>
              <w:rPr>
                <w:sz w:val="12"/>
                <w:szCs w:val="12"/>
                <w:color w:val="auto"/>
              </w:rPr>
            </w:pPr>
          </w:p>
        </w:tc>
        <w:tc>
          <w:tcPr>
            <w:tcW w:w="960" w:type="dxa"/>
            <w:vAlign w:val="bottom"/>
            <w:shd w:val="clear" w:color="auto" w:fill="CFF0FC"/>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400" w:type="dxa"/>
            <w:vAlign w:val="bottom"/>
            <w:shd w:val="clear" w:color="auto" w:fill="CFF0FC"/>
          </w:tcPr>
          <w:p>
            <w:pPr>
              <w:jc w:val="right"/>
              <w:ind w:right="20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FF0FC"/>
          </w:tcPr>
          <w:p>
            <w:pPr>
              <w:jc w:val="right"/>
              <w:ind w:right="2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12,866</w:t>
            </w:r>
          </w:p>
        </w:tc>
        <w:tc>
          <w:tcPr>
            <w:tcW w:w="0" w:type="dxa"/>
            <w:vAlign w:val="bottom"/>
          </w:tcPr>
          <w:p>
            <w:pPr>
              <w:spacing w:after="0"/>
              <w:rPr>
                <w:sz w:val="1"/>
                <w:szCs w:val="1"/>
                <w:color w:val="auto"/>
              </w:rPr>
            </w:pPr>
          </w:p>
        </w:tc>
      </w:tr>
      <w:tr>
        <w:trPr>
          <w:trHeight w:val="149"/>
        </w:trPr>
        <w:tc>
          <w:tcPr>
            <w:tcW w:w="28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Restricted stock issuance</w:t>
            </w:r>
          </w:p>
        </w:tc>
        <w:tc>
          <w:tcPr>
            <w:tcW w:w="200" w:type="dxa"/>
            <w:vAlign w:val="bottom"/>
          </w:tcPr>
          <w:p>
            <w:pPr>
              <w:spacing w:after="0"/>
              <w:rPr>
                <w:sz w:val="12"/>
                <w:szCs w:val="12"/>
                <w:color w:val="auto"/>
              </w:rPr>
            </w:pPr>
          </w:p>
        </w:tc>
        <w:tc>
          <w:tcPr>
            <w:tcW w:w="108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98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338</w:t>
            </w:r>
          </w:p>
        </w:tc>
        <w:tc>
          <w:tcPr>
            <w:tcW w:w="16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(338 )</w:t>
            </w:r>
          </w:p>
        </w:tc>
        <w:tc>
          <w:tcPr>
            <w:tcW w:w="180" w:type="dxa"/>
            <w:vAlign w:val="bottom"/>
          </w:tcPr>
          <w:p>
            <w:pPr>
              <w:spacing w:after="0"/>
              <w:rPr>
                <w:sz w:val="12"/>
                <w:szCs w:val="12"/>
                <w:color w:val="auto"/>
              </w:rPr>
            </w:pPr>
          </w:p>
        </w:tc>
        <w:tc>
          <w:tcPr>
            <w:tcW w:w="96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400" w:type="dxa"/>
            <w:vAlign w:val="bottom"/>
          </w:tcPr>
          <w:p>
            <w:pPr>
              <w:jc w:val="right"/>
              <w:ind w:right="20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ind w:right="2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80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Restricted shares withheld for taxes</w:t>
            </w:r>
          </w:p>
        </w:tc>
        <w:tc>
          <w:tcPr>
            <w:tcW w:w="200" w:type="dxa"/>
            <w:vAlign w:val="bottom"/>
            <w:shd w:val="clear" w:color="auto" w:fill="CFF0FC"/>
          </w:tcPr>
          <w:p>
            <w:pPr>
              <w:spacing w:after="0"/>
              <w:rPr>
                <w:sz w:val="12"/>
                <w:szCs w:val="12"/>
                <w:color w:val="auto"/>
              </w:rPr>
            </w:pPr>
          </w:p>
        </w:tc>
        <w:tc>
          <w:tcPr>
            <w:tcW w:w="1080" w:type="dxa"/>
            <w:vAlign w:val="bottom"/>
            <w:shd w:val="clear" w:color="auto" w:fill="CFF0FC"/>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2"/>
                <w:szCs w:val="12"/>
                <w:color w:val="auto"/>
              </w:rPr>
            </w:pPr>
          </w:p>
        </w:tc>
        <w:tc>
          <w:tcPr>
            <w:tcW w:w="9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(90 )</w:t>
            </w:r>
          </w:p>
        </w:tc>
        <w:tc>
          <w:tcPr>
            <w:tcW w:w="160" w:type="dxa"/>
            <w:vAlign w:val="bottom"/>
            <w:shd w:val="clear" w:color="auto" w:fill="CFF0FC"/>
          </w:tcPr>
          <w:p>
            <w:pPr>
              <w:spacing w:after="0"/>
              <w:rPr>
                <w:sz w:val="12"/>
                <w:szCs w:val="12"/>
                <w:color w:val="auto"/>
              </w:rPr>
            </w:pPr>
          </w:p>
        </w:tc>
        <w:tc>
          <w:tcPr>
            <w:tcW w:w="102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90</w:t>
            </w:r>
          </w:p>
        </w:tc>
        <w:tc>
          <w:tcPr>
            <w:tcW w:w="180" w:type="dxa"/>
            <w:vAlign w:val="bottom"/>
            <w:shd w:val="clear" w:color="auto" w:fill="CFF0FC"/>
          </w:tcPr>
          <w:p>
            <w:pPr>
              <w:spacing w:after="0"/>
              <w:rPr>
                <w:sz w:val="12"/>
                <w:szCs w:val="12"/>
                <w:color w:val="auto"/>
              </w:rPr>
            </w:pPr>
          </w:p>
        </w:tc>
        <w:tc>
          <w:tcPr>
            <w:tcW w:w="9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(2,572 )</w:t>
            </w:r>
          </w:p>
        </w:tc>
        <w:tc>
          <w:tcPr>
            <w:tcW w:w="120" w:type="dxa"/>
            <w:vAlign w:val="bottom"/>
            <w:shd w:val="clear" w:color="auto" w:fill="CFF0FC"/>
          </w:tcPr>
          <w:p>
            <w:pPr>
              <w:spacing w:after="0"/>
              <w:rPr>
                <w:sz w:val="12"/>
                <w:szCs w:val="12"/>
                <w:color w:val="auto"/>
              </w:rPr>
            </w:pPr>
          </w:p>
        </w:tc>
        <w:tc>
          <w:tcPr>
            <w:tcW w:w="1400" w:type="dxa"/>
            <w:vAlign w:val="bottom"/>
            <w:shd w:val="clear" w:color="auto" w:fill="CFF0FC"/>
          </w:tcPr>
          <w:p>
            <w:pPr>
              <w:jc w:val="right"/>
              <w:ind w:right="20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FF0FC"/>
          </w:tcPr>
          <w:p>
            <w:pPr>
              <w:jc w:val="right"/>
              <w:ind w:right="2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(2,572 )</w:t>
            </w:r>
          </w:p>
        </w:tc>
        <w:tc>
          <w:tcPr>
            <w:tcW w:w="0" w:type="dxa"/>
            <w:vAlign w:val="bottom"/>
          </w:tcPr>
          <w:p>
            <w:pPr>
              <w:spacing w:after="0"/>
              <w:rPr>
                <w:sz w:val="1"/>
                <w:szCs w:val="1"/>
                <w:color w:val="auto"/>
              </w:rPr>
            </w:pPr>
          </w:p>
        </w:tc>
      </w:tr>
      <w:tr>
        <w:trPr>
          <w:trHeight w:val="148"/>
        </w:trPr>
        <w:tc>
          <w:tcPr>
            <w:tcW w:w="28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Shares repurchased</w:t>
            </w:r>
          </w:p>
        </w:tc>
        <w:tc>
          <w:tcPr>
            <w:tcW w:w="200" w:type="dxa"/>
            <w:vAlign w:val="bottom"/>
          </w:tcPr>
          <w:p>
            <w:pPr>
              <w:spacing w:after="0"/>
              <w:rPr>
                <w:sz w:val="12"/>
                <w:szCs w:val="12"/>
                <w:color w:val="auto"/>
              </w:rPr>
            </w:pPr>
          </w:p>
        </w:tc>
        <w:tc>
          <w:tcPr>
            <w:tcW w:w="108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(400 )</w:t>
            </w:r>
          </w:p>
        </w:tc>
        <w:tc>
          <w:tcPr>
            <w:tcW w:w="160" w:type="dxa"/>
            <w:vAlign w:val="bottom"/>
          </w:tcPr>
          <w:p>
            <w:pPr>
              <w:spacing w:after="0"/>
              <w:rPr>
                <w:sz w:val="12"/>
                <w:szCs w:val="12"/>
                <w:color w:val="auto"/>
              </w:rPr>
            </w:pPr>
          </w:p>
        </w:tc>
        <w:tc>
          <w:tcPr>
            <w:tcW w:w="102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(9,389 )</w:t>
            </w:r>
          </w:p>
        </w:tc>
        <w:tc>
          <w:tcPr>
            <w:tcW w:w="120" w:type="dxa"/>
            <w:vAlign w:val="bottom"/>
          </w:tcPr>
          <w:p>
            <w:pPr>
              <w:spacing w:after="0"/>
              <w:rPr>
                <w:sz w:val="12"/>
                <w:szCs w:val="12"/>
                <w:color w:val="auto"/>
              </w:rPr>
            </w:pPr>
          </w:p>
        </w:tc>
        <w:tc>
          <w:tcPr>
            <w:tcW w:w="1400" w:type="dxa"/>
            <w:vAlign w:val="bottom"/>
          </w:tcPr>
          <w:p>
            <w:pPr>
              <w:jc w:val="right"/>
              <w:ind w:right="20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ind w:right="2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(9,789 )</w:t>
            </w:r>
          </w:p>
        </w:tc>
        <w:tc>
          <w:tcPr>
            <w:tcW w:w="0" w:type="dxa"/>
            <w:vAlign w:val="bottom"/>
          </w:tcPr>
          <w:p>
            <w:pPr>
              <w:spacing w:after="0"/>
              <w:rPr>
                <w:sz w:val="1"/>
                <w:szCs w:val="1"/>
                <w:color w:val="auto"/>
              </w:rPr>
            </w:pPr>
          </w:p>
        </w:tc>
      </w:tr>
      <w:tr>
        <w:trPr>
          <w:trHeight w:val="126"/>
        </w:trPr>
        <w:tc>
          <w:tcPr>
            <w:tcW w:w="2800" w:type="dxa"/>
            <w:vAlign w:val="bottom"/>
            <w:shd w:val="clear" w:color="auto" w:fill="CFF0FC"/>
          </w:tcPr>
          <w:p>
            <w:pPr>
              <w:ind w:left="20"/>
              <w:spacing w:after="0" w:line="126" w:lineRule="exact"/>
              <w:rPr>
                <w:sz w:val="20"/>
                <w:szCs w:val="20"/>
                <w:color w:val="auto"/>
              </w:rPr>
            </w:pPr>
            <w:r>
              <w:rPr>
                <w:rFonts w:ascii="Times New Roman" w:cs="Times New Roman" w:eastAsia="Times New Roman" w:hAnsi="Times New Roman"/>
                <w:sz w:val="14"/>
                <w:szCs w:val="14"/>
                <w:color w:val="auto"/>
              </w:rPr>
              <w:t>Excise taxes related to repurchases of common</w:t>
            </w:r>
          </w:p>
        </w:tc>
        <w:tc>
          <w:tcPr>
            <w:tcW w:w="200" w:type="dxa"/>
            <w:vAlign w:val="bottom"/>
            <w:shd w:val="clear" w:color="auto" w:fill="CFF0FC"/>
          </w:tcPr>
          <w:p>
            <w:pPr>
              <w:spacing w:after="0"/>
              <w:rPr>
                <w:sz w:val="10"/>
                <w:szCs w:val="10"/>
                <w:color w:val="auto"/>
              </w:rPr>
            </w:pPr>
          </w:p>
        </w:tc>
        <w:tc>
          <w:tcPr>
            <w:tcW w:w="1080" w:type="dxa"/>
            <w:vAlign w:val="bottom"/>
            <w:vMerge w:val="restart"/>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0"/>
                <w:szCs w:val="10"/>
                <w:color w:val="auto"/>
              </w:rPr>
            </w:pPr>
          </w:p>
        </w:tc>
        <w:tc>
          <w:tcPr>
            <w:tcW w:w="980" w:type="dxa"/>
            <w:vAlign w:val="bottom"/>
            <w:vMerge w:val="restart"/>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0"/>
                <w:szCs w:val="10"/>
                <w:color w:val="auto"/>
              </w:rPr>
            </w:pPr>
          </w:p>
        </w:tc>
        <w:tc>
          <w:tcPr>
            <w:tcW w:w="102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0"/>
                <w:szCs w:val="10"/>
                <w:color w:val="auto"/>
              </w:rPr>
            </w:pPr>
          </w:p>
        </w:tc>
        <w:tc>
          <w:tcPr>
            <w:tcW w:w="9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(28 )</w:t>
            </w:r>
          </w:p>
        </w:tc>
        <w:tc>
          <w:tcPr>
            <w:tcW w:w="120" w:type="dxa"/>
            <w:vAlign w:val="bottom"/>
            <w:shd w:val="clear" w:color="auto" w:fill="CFF0FC"/>
          </w:tcPr>
          <w:p>
            <w:pPr>
              <w:spacing w:after="0"/>
              <w:rPr>
                <w:sz w:val="10"/>
                <w:szCs w:val="10"/>
                <w:color w:val="auto"/>
              </w:rPr>
            </w:pPr>
          </w:p>
        </w:tc>
        <w:tc>
          <w:tcPr>
            <w:tcW w:w="1400" w:type="dxa"/>
            <w:vAlign w:val="bottom"/>
            <w:vMerge w:val="restart"/>
            <w:shd w:val="clear" w:color="auto" w:fill="CFF0FC"/>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vMerge w:val="restart"/>
            <w:shd w:val="clear" w:color="auto" w:fill="CFF0FC"/>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(28 )</w:t>
            </w:r>
          </w:p>
        </w:tc>
        <w:tc>
          <w:tcPr>
            <w:tcW w:w="0" w:type="dxa"/>
            <w:vAlign w:val="bottom"/>
          </w:tcPr>
          <w:p>
            <w:pPr>
              <w:spacing w:after="0"/>
              <w:rPr>
                <w:sz w:val="1"/>
                <w:szCs w:val="1"/>
                <w:color w:val="auto"/>
              </w:rPr>
            </w:pPr>
          </w:p>
        </w:tc>
      </w:tr>
      <w:tr>
        <w:trPr>
          <w:trHeight w:val="171"/>
        </w:trPr>
        <w:tc>
          <w:tcPr>
            <w:tcW w:w="2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stock</w:t>
            </w:r>
          </w:p>
        </w:tc>
        <w:tc>
          <w:tcPr>
            <w:tcW w:w="200" w:type="dxa"/>
            <w:vAlign w:val="bottom"/>
            <w:shd w:val="clear" w:color="auto" w:fill="CFF0FC"/>
          </w:tcPr>
          <w:p>
            <w:pPr>
              <w:spacing w:after="0"/>
              <w:rPr>
                <w:sz w:val="14"/>
                <w:szCs w:val="14"/>
                <w:color w:val="auto"/>
              </w:rPr>
            </w:pPr>
          </w:p>
        </w:tc>
        <w:tc>
          <w:tcPr>
            <w:tcW w:w="1080" w:type="dxa"/>
            <w:vAlign w:val="bottom"/>
            <w:vMerge w:val="continue"/>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80" w:type="dxa"/>
            <w:vAlign w:val="bottom"/>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20" w:type="dxa"/>
            <w:vAlign w:val="bottom"/>
            <w:vMerge w:val="continue"/>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6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0" w:type="dxa"/>
            <w:vAlign w:val="bottom"/>
            <w:vMerge w:val="continue"/>
            <w:shd w:val="clear" w:color="auto" w:fill="CFF0FC"/>
          </w:tcPr>
          <w:p>
            <w:pPr>
              <w:spacing w:after="0"/>
              <w:rPr>
                <w:sz w:val="14"/>
                <w:szCs w:val="14"/>
                <w:color w:val="auto"/>
              </w:rPr>
            </w:pPr>
          </w:p>
        </w:tc>
        <w:tc>
          <w:tcPr>
            <w:tcW w:w="1180" w:type="dxa"/>
            <w:vAlign w:val="bottom"/>
            <w:vMerge w:val="continue"/>
            <w:shd w:val="clear" w:color="auto" w:fill="CFF0FC"/>
          </w:tcPr>
          <w:p>
            <w:pPr>
              <w:spacing w:after="0"/>
              <w:rPr>
                <w:sz w:val="14"/>
                <w:szCs w:val="14"/>
                <w:color w:val="auto"/>
              </w:rPr>
            </w:pPr>
          </w:p>
        </w:tc>
        <w:tc>
          <w:tcPr>
            <w:tcW w:w="960" w:type="dxa"/>
            <w:vAlign w:val="bottom"/>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800" w:type="dxa"/>
            <w:vAlign w:val="bottom"/>
            <w:tcBorders>
              <w:bottom w:val="single" w:sz="8" w:color="auto"/>
            </w:tcBorders>
          </w:tcPr>
          <w:p>
            <w:pPr>
              <w:ind w:left="20"/>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2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22</w:t>
            </w:r>
          </w:p>
        </w:tc>
        <w:tc>
          <w:tcPr>
            <w:tcW w:w="2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(36 )</w:t>
            </w:r>
          </w:p>
        </w:tc>
        <w:tc>
          <w:tcPr>
            <w:tcW w:w="16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(5 )</w:t>
            </w:r>
          </w:p>
        </w:tc>
        <w:tc>
          <w:tcPr>
            <w:tcW w:w="1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tcPr>
          <w:p>
            <w:pPr>
              <w:jc w:val="right"/>
              <w:ind w:right="20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tcPr>
          <w:p>
            <w:pPr>
              <w:jc w:val="right"/>
              <w:ind w:right="2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(19 )</w:t>
            </w:r>
          </w:p>
        </w:tc>
        <w:tc>
          <w:tcPr>
            <w:tcW w:w="0" w:type="dxa"/>
            <w:vAlign w:val="bottom"/>
          </w:tcPr>
          <w:p>
            <w:pPr>
              <w:spacing w:after="0"/>
              <w:rPr>
                <w:sz w:val="1"/>
                <w:szCs w:val="1"/>
                <w:color w:val="auto"/>
              </w:rPr>
            </w:pPr>
          </w:p>
        </w:tc>
      </w:tr>
      <w:tr>
        <w:trPr>
          <w:trHeight w:val="182"/>
        </w:trPr>
        <w:tc>
          <w:tcPr>
            <w:tcW w:w="2800" w:type="dxa"/>
            <w:vAlign w:val="bottom"/>
            <w:tcBorders>
              <w:bottom w:val="single" w:sz="8" w:color="auto"/>
            </w:tcBorders>
            <w:shd w:val="clear" w:color="auto" w:fill="CFF0FC"/>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Balance February 1, 2025</w:t>
            </w:r>
          </w:p>
        </w:tc>
        <w:tc>
          <w:tcPr>
            <w:tcW w:w="20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80" w:type="dxa"/>
            <w:vAlign w:val="bottom"/>
            <w:tcBorders>
              <w:bottom w:val="single" w:sz="8" w:color="auto"/>
            </w:tcBorders>
            <w:shd w:val="clear" w:color="auto" w:fill="CFF0FC"/>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rPr>
              <w:t>835</w:t>
            </w:r>
          </w:p>
        </w:tc>
        <w:tc>
          <w:tcPr>
            <w:tcW w:w="200" w:type="dxa"/>
            <w:vAlign w:val="bottom"/>
            <w:tcBorders>
              <w:bottom w:val="single" w:sz="8" w:color="auto"/>
            </w:tcBorders>
            <w:shd w:val="clear" w:color="auto" w:fill="CFF0FC"/>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tcBorders>
              <w:bottom w:val="single" w:sz="8" w:color="auto"/>
            </w:tcBorders>
            <w:shd w:val="clear" w:color="auto" w:fill="CFF0FC"/>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rPr>
              <w:t>11,773</w:t>
            </w:r>
          </w:p>
        </w:tc>
        <w:tc>
          <w:tcPr>
            <w:tcW w:w="16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20" w:type="dxa"/>
            <w:vAlign w:val="bottom"/>
            <w:tcBorders>
              <w:bottom w:val="single" w:sz="8" w:color="auto"/>
            </w:tcBorders>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331,756</w:t>
            </w:r>
          </w:p>
        </w:tc>
        <w:tc>
          <w:tcPr>
            <w:tcW w:w="180" w:type="dxa"/>
            <w:vAlign w:val="bottom"/>
            <w:tcBorders>
              <w:bottom w:val="single" w:sz="8" w:color="auto"/>
            </w:tcBorders>
            <w:shd w:val="clear" w:color="auto" w:fill="CFF0FC"/>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tcBorders>
              <w:bottom w:val="single" w:sz="8" w:color="auto"/>
            </w:tcBorders>
            <w:shd w:val="clear" w:color="auto" w:fill="CFF0FC"/>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rPr>
              <w:t>265,887</w:t>
            </w:r>
          </w:p>
        </w:tc>
        <w:tc>
          <w:tcPr>
            <w:tcW w:w="12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40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(45,424 ) $</w:t>
            </w:r>
          </w:p>
        </w:tc>
        <w:tc>
          <w:tcPr>
            <w:tcW w:w="1180" w:type="dxa"/>
            <w:vAlign w:val="bottom"/>
            <w:tcBorders>
              <w:bottom w:val="single" w:sz="8" w:color="auto"/>
            </w:tcBorders>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(17,857 ) $</w:t>
            </w:r>
          </w:p>
        </w:tc>
        <w:tc>
          <w:tcPr>
            <w:tcW w:w="960" w:type="dxa"/>
            <w:vAlign w:val="bottom"/>
            <w:tcBorders>
              <w:bottom w:val="single" w:sz="8" w:color="auto"/>
            </w:tcBorders>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546,970</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1" w:name="page52"/>
    <w:bookmarkEnd w:id="51"/>
    <w:p>
      <w:pPr>
        <w:jc w:val="center"/>
        <w:spacing w:after="0"/>
        <w:rPr>
          <w:sz w:val="20"/>
          <w:szCs w:val="20"/>
          <w:color w:val="auto"/>
        </w:rPr>
      </w:pPr>
      <w:r>
        <w:rPr>
          <w:rFonts w:ascii="Times New Roman" w:cs="Times New Roman" w:eastAsia="Times New Roman" w:hAnsi="Times New Roman"/>
          <w:sz w:val="18"/>
          <w:szCs w:val="18"/>
          <w:b w:val="1"/>
          <w:bCs w:val="1"/>
          <w:color w:val="auto"/>
        </w:rPr>
        <w:t>Genesco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Summary of Significant Accounting Policies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Nature of Operations</w:t>
      </w:r>
    </w:p>
    <w:p>
      <w:pPr>
        <w:spacing w:after="0" w:line="189"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Genesco Inc. and its subsidiaries business includes the sourcing and design, marketing and distribution of footwear, apparel and accessories through retail stores in the U.S., Puerto Rico and Canada primarily under the Journeys</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Journeys Kidz</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Little Burgundy</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and Johnston &amp; Murphy</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banners and under the Schuh banner in the U.K. and the ROI; through catalogs and e-commerce websites including the following: journeys.com, journeyskidz.com, journeys.ca, schuh.co.uk, schuh.ie, schuh.eu, littleburgundyshoes.com, johnstonmurphy.com, nashvilleshoewarehouse.com and dockersshoes.com and at wholesale, primarily under our Johnston &amp; Murphy brand, the licensed Dockers</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brand, the licensed Levi's</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brand, the licensed G.H. Bass</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brand and other brands that we license for footwear. At February 1, 2025, we operated 1,278 retail stores in the U.S., Puerto Rico, Canada, the U.K. and the ROI.</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Fiscal 2025, we operated four reportable business segments (not including corporate): (i) Journeys Group, comprised of the Journeys, Journeys Kidz and Little Burgundy retail footwear chains and e-commerce operations; (ii) Schuh Group, comprised of the Schuh retail footwear chain and e-commerce operations; (iii) Johnston &amp; Murphy Group, comprised of Johnston &amp; Murphy retail operations, e-commerce operations and wholesale distribution of products under the Johnston &amp; Murphy brand; and (iv) Genesco Brands Group, comprised of the licensed Dockers, Levi's, and G.H. Bass brands, as well as other brands we license for footwear.</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subsidiaries are consolidated in our Consolidated Financial Statements. All significant intercompany transactions and accounts have been eliminated.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Fiscal Year</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fiscal year ends on the Saturday closest to January 31. This reporting schedule is followed by many national retail companies and typically results in a 52-week fiscal year, but occasionally will contain an additional week resulting in a 53-week fiscal year. The periods presented in these financial statements each consisted of 52 weeks, except for Fiscal 2024, which consisted of 53 weeks. Fiscal 2025 ended on February 1, 2025, Fiscal 2024 ended on February 3, 2024 and Fiscal 2023 ended on January 28, 2023.</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generally accepted accounting principles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foreign subsidiaries held cash of approximately $13.9 million and $23.2 million as of February 1, 2025 and February 3, 2024, respectively, which is included in cash and cash equivalents on the Consolidated Balance Sheets. Based upon evaluation of our worldwide operations and specific plans to remit foreign earnings back to the U.S., we can no longer assert that earnings from certain foreign operations will be indefinitely reinvested and have recorded U.S. taxes in accordance with applicable U.S.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52" w:name="page53"/>
    <w:bookmarkEnd w:id="52"/>
    <w:p>
      <w:pPr>
        <w:jc w:val="center"/>
        <w:spacing w:after="0"/>
        <w:rPr>
          <w:sz w:val="20"/>
          <w:szCs w:val="20"/>
          <w:color w:val="auto"/>
        </w:rPr>
      </w:pPr>
      <w:r>
        <w:rPr>
          <w:rFonts w:ascii="Times New Roman" w:cs="Times New Roman" w:eastAsia="Times New Roman" w:hAnsi="Times New Roman"/>
          <w:sz w:val="18"/>
          <w:szCs w:val="18"/>
          <w:b w:val="1"/>
          <w:bCs w:val="1"/>
          <w:color w:val="auto"/>
        </w:rPr>
        <w:t>Genesco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Summary of Significant Accounting Policies, Continued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tax rules and regulations.</w:t>
      </w:r>
    </w:p>
    <w:p>
      <w:pPr>
        <w:spacing w:after="0" w:line="1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There were $7.5 million of cash equivalents at February 1, 2025 and no cash equivalents at February 3, 2024. Cash equivalents include highly-liquid financial instruments, which we define as those having an original maturity of three months or less. Our $7.5 million of cash equivalents at February 1, 2025 were invested in institutional money market funds which invest exclusively in highly rated, short-term securities that are issued, guaranteed or collateralized by the U.S. government or by U.S. government agencies and instrumentalities. The majority of payments due from banks for customer credit cards are classified as cash, as they generally settle within 24 to 48 hours.</w:t>
      </w:r>
    </w:p>
    <w:p>
      <w:pPr>
        <w:spacing w:after="0" w:line="14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At February 1, 2025 and February 3, 2024, outstanding checks drawn on zero-balance accounts at certain banks exceeded book cash balances at those banks by approximately $3.2 million and $3.3 million, respectively. These amounts are included in accounts payable in our Consolidated Balance Sheets.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 and Allowances on Accounts Receivable</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wholesale businesses sell primarily to independent retailers and department stores across the United States. Receivables arising from these sales are not collateralized. Customer credit risk is affected by conditions or occurrences within the economy and the retail industry as well as by customer specific factors. In the wholesale businesses, one customer accounted for 27%, one customer accounted for 19%, one customer accounted for 11% and one customer accounted for 10% of our total trade receivables balance, while no other customer accounted for more than 7% of our total trade receivables balance as of February 1, 2025.</w:t>
      </w:r>
    </w:p>
    <w:p>
      <w:pPr>
        <w:spacing w:after="0" w:line="1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establish an allowance for doubtful accounts based upon factors surrounding the credit risk of specific customers, historical trends and other information, as well as customer specific factors. We also establish allowances for sales returns, customer deductions and co-op advertising based on specific circumstances, historical trends and projected probable outcomes.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Inventory Valuation</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our footwear wholesale operations and our Schuh Group segment, cost for inventory that we own is determined using the first-in, first-out ("FIFO") method. Net realizable value is determined using a system of analysis which evaluates inventory at the stock number level based on factors such as inventory turn, average selling price, inventory level, and selling prices reflected in future orders for footwear wholesale. We provide a valuation allowance when the inventory has not been marked down to net realizable value based on current selling prices or when the inventory is not turning and is not expected to turn at satisfactory levels.</w:t>
      </w:r>
    </w:p>
    <w:p>
      <w:pPr>
        <w:spacing w:after="0" w:line="1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our retail operations, other than the Schuh Group segment, we employ the retail inventory method, applying average cost-to-retail ratios to the retail value of inventories. Under the retail inventory method, valuing inventory at the lower of cost or market is achieved as markdowns are taken or accrued as a reduction of the retail value of inventories.</w:t>
      </w:r>
    </w:p>
    <w:p>
      <w:pPr>
        <w:spacing w:after="0" w:line="14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Inherent in the retail inventory method are subjective judgments and estimates about the recoverability of the inventory and its market value, including merchandise mark-on, markups, markdowns and shrinkage. These judgments and estimates, coupled with the fact that the retail inventory method is an averaging process, could produce a range of cost figures. To reduce the risk of inaccuracy and to ensure consistent presentation, we employ the retail inventory method in multiple subclasses of inventory with similar gross margins. We analyze markdown requirements at the stock number level based on factors such as inventory</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53" w:name="page54"/>
    <w:bookmarkEnd w:id="53"/>
    <w:p>
      <w:pPr>
        <w:jc w:val="center"/>
        <w:spacing w:after="0"/>
        <w:rPr>
          <w:sz w:val="20"/>
          <w:szCs w:val="20"/>
          <w:color w:val="auto"/>
        </w:rPr>
      </w:pPr>
      <w:r>
        <w:rPr>
          <w:rFonts w:ascii="Times New Roman" w:cs="Times New Roman" w:eastAsia="Times New Roman" w:hAnsi="Times New Roman"/>
          <w:sz w:val="18"/>
          <w:szCs w:val="18"/>
          <w:b w:val="1"/>
          <w:bCs w:val="1"/>
          <w:color w:val="auto"/>
        </w:rPr>
        <w:t>Genesco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Summary of Significant Accounting Policies, Continued</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turn, average selling price and inventory age and we accrue markdowns as necessary. These additional markdown accruals reflect all of the above factors as well as current agreements to return products to vendors and vendor agreements to provide markdown support. In addition to markdown allowances, we maintain reserves for shrinkage and damaged goods based on historical rates.</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Inherent in the analysis of both wholesale and retail inventory valuation are subjective judgments about current market conditions, fashion trends and overall economic conditions as well as expectations surrounding future sales. Failure to make appropriate conclusions regarding these factors may result in an overstatement or understatement of inventory value.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Property and equipment are recorded at cost and depreciated or amortized over the estimated useful life of related assets. We capitalize certain costs incurred in connection with developing or obtaining internal-use software. Capitalized software costs are included in property and equipment, net on the Consolidated Balance Sheets and are generally amortized over five years. Depreciation and amortization expense are computed principally by the straight-line method over the following estimated useful lives: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Buildings and building equipment</w:t>
            </w:r>
          </w:p>
        </w:tc>
        <w:tc>
          <w:tcPr>
            <w:tcW w:w="4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20-45 years</w:t>
            </w:r>
          </w:p>
        </w:tc>
      </w:tr>
      <w:tr>
        <w:trPr>
          <w:trHeight w:val="243"/>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Computer hardware, software and equipment</w:t>
            </w:r>
          </w:p>
        </w:tc>
        <w:tc>
          <w:tcPr>
            <w:tcW w:w="4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 years</w:t>
            </w:r>
          </w:p>
        </w:tc>
      </w:tr>
      <w:tr>
        <w:trPr>
          <w:trHeight w:val="243"/>
        </w:trPr>
        <w:tc>
          <w:tcPr>
            <w:tcW w:w="6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4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 years</w:t>
            </w: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Depreciation expense related to property and equipment was approximately $51.9 million, $48.9 million and $42.3 million for Fiscal 2025, 2024 and 2023, respectively.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recognize lease assets and corresponding lease liabilities for all operating leases on the Consolidated Balance Sheets as described under ASC 842. We evaluate renewal options and break options at lease inception and on an ongoing basis and include renewal options and break options that we are reasonably certain to exercise in our expected lease terms for calculations of the right-of-use assets and liabilities. Approximately 4% of our leases contain renewal options. To determine the present value of lease payments not yet paid, we estimate incremental borrowing rates corresponding to the reasonably certain lease term. As most of our leases do not provide a determinable implicit rate, we estimate our collateralized incremental borrowing rate based upon a synthetic credit rating and yield curve analysis at the lease commencement or modification date in determining the present value of lease payments. For lease payments in foreign currencies, the incremental borrowing rate is adjusted to be reflective of the risk associated with the respective currency. Operating lease assets represent our right to use an underlying asset and are based upon the operating lease liabilities adjusted for prepayments or accrued lease payments, initial direct costs, lease incentives, and impairment, if any, of operating lease assets. We test right-of-use assets for impairment in the same manner as long-lived assets.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lease costs are included within selling and administrative expenses on the Consolidated Statements of Operations.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54" w:name="page55"/>
    <w:bookmarkEnd w:id="54"/>
    <w:p>
      <w:pPr>
        <w:jc w:val="center"/>
        <w:spacing w:after="0"/>
        <w:rPr>
          <w:sz w:val="20"/>
          <w:szCs w:val="20"/>
          <w:color w:val="auto"/>
        </w:rPr>
      </w:pPr>
      <w:r>
        <w:rPr>
          <w:rFonts w:ascii="Times New Roman" w:cs="Times New Roman" w:eastAsia="Times New Roman" w:hAnsi="Times New Roman"/>
          <w:sz w:val="18"/>
          <w:szCs w:val="18"/>
          <w:b w:val="1"/>
          <w:bCs w:val="1"/>
          <w:color w:val="auto"/>
        </w:rPr>
        <w:t>Genesco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Summary of Significant Accounting Policies, Continued</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 Retirement Obligations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An asset retirement obligation represents a legal obligation associated with the retirement of a tangible long-lived asset that is incurred upon the acquisition, construction, development, or normal operation of that long-lived asset. Our asset retirement obligations are primarily associated with leasehold improvements that we are contractually obligated to remove at the end of a lease to comply with the lease agreement. We recognize asset retirement obligations at the inception of a lease with such conditions if a reasonable estimate of fair value can be made. Asset retirement obligations are recorded in other long-term liabilities in our Consolidated Balance Sheets and are subsequently adjusted for changes in estimated asset retirement obligations. The associated estimated asset retirement costs are capitalized as part of the carrying amount of the long-lived asset and depreciated over its useful life.</w:t>
      </w:r>
    </w:p>
    <w:p>
      <w:pPr>
        <w:spacing w:after="0" w:line="14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Consolidated Balance Sheets include asset retirement obligations related to leases of $10.9 million and $11.0 million as of February 1, 2025 and February 3, 2024, respectively.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periodically assess the recoverability of our long-lived assets, other than goodwill, and evaluate such assets for impairment whenever events or changes in circumstances indicate that the carrying amount of an asset may not be recoverable. Asset impairment is determined to exist if an asset's fair value is less than the carrying amount. Fair value of our long-lived assets is determined by estimated future cash flows, undiscounted and without interest charges, and comparable market rents. Inherent in the analysis of impairment are subjective judgments about future cash flows. Failure to make appropriate conclusions regarding these judgments may result in an overstatement or understatement of the value of long-lived assets.</w:t>
      </w:r>
    </w:p>
    <w:p>
      <w:pPr>
        <w:spacing w:after="0" w:line="14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annually assess our goodwill and indefinite lived trade names for impairment and on an interim basis if indicators of impairment are present. Our annual assessment date of goodwill and indefinite lived trade names is the first day of the fourth quarter.</w:t>
      </w:r>
    </w:p>
    <w:p>
      <w:pPr>
        <w:spacing w:after="0" w:line="13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accordance with ASC 350, we have the option first to assess qualitative factors to determine whether events and circumstances indicate that it is more likely than not that goodwill is impaired. If, after such assessment, we conclude that the asset is not impaired, no further action is required. However, if we conclude otherwise, we are required to determine the fair value of the asset using a quantitative impairment test. The quantitative impairment test for goodwill compares the fair value of each reporting unit with the carrying value of the reporting unit with which the goodwill is associated. If the fair value of the reporting unit is less than the carrying value of the reporting unit, an impairment charge would be recorded for the amount, if any, in which the carrying value exceeds the reporting unit's fair value. We estimate fair value using the best information available, and compute the fair value derived by a combination of the market and income approach. The market approach is based on observed market data of comparable companies to determine fair value. The income approach utilizes a projection of a reporting unit’s estimated operating results and cash flows that are discounted using a weighted-average cost of capital that reflects current market conditions. A key assumption in our fair value estimate is the weighted average cost of capital utilized for discounting our cash flow projections in our income approach. The projection uses our best estimates of economic and market conditions over the projected period including growth rates in sales, costs, estimates of future expected changes in operating margins and cash expenditures. Other significant estimates and assumptions include terminal value growth rates, future estimates of capital expenditures and changes in future working capital requirements.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55" w:name="page56"/>
    <w:bookmarkEnd w:id="55"/>
    <w:p>
      <w:pPr>
        <w:jc w:val="center"/>
        <w:spacing w:after="0"/>
        <w:rPr>
          <w:sz w:val="20"/>
          <w:szCs w:val="20"/>
          <w:color w:val="auto"/>
        </w:rPr>
      </w:pPr>
      <w:r>
        <w:rPr>
          <w:rFonts w:ascii="Times New Roman" w:cs="Times New Roman" w:eastAsia="Times New Roman" w:hAnsi="Times New Roman"/>
          <w:sz w:val="18"/>
          <w:szCs w:val="18"/>
          <w:b w:val="1"/>
          <w:bCs w:val="1"/>
          <w:color w:val="auto"/>
        </w:rPr>
        <w:t>Genesco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Summary of Significant Accounting Policies, Continued</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Fair Value Measurements and Disclosures Topic of the Codification defines fair value, establishes a framework for measuring fair value in accordance with generally accepted accounting principles and expands disclosures about fair value measurements. This Topic defines fair value as the exchange price that would be received for an asset or paid to transfer a liability (an exit price) in the principal or most advantageous market for the asset or liability in an orderly transaction between market participants on the measurement date. It also establishes a fair value hierarchy which requires an entity to maximize the use of observable inputs and minimize the use of unobservable inputs when measuring fair value. The standard describes three levels of inputs that may be used to measure fair value: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Level 1 </w:t>
      </w:r>
      <w:r>
        <w:rPr>
          <w:rFonts w:ascii="Times New Roman" w:cs="Times New Roman" w:eastAsia="Times New Roman" w:hAnsi="Times New Roman"/>
          <w:sz w:val="18"/>
          <w:szCs w:val="18"/>
          <w:color w:val="auto"/>
        </w:rPr>
        <w:t>- Quoted prices in active markets for identical assets or liabilities.</w:t>
      </w:r>
    </w:p>
    <w:p>
      <w:pPr>
        <w:spacing w:after="0" w:line="19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Level 2 </w:t>
      </w:r>
      <w:r>
        <w:rPr>
          <w:rFonts w:ascii="Times New Roman" w:cs="Times New Roman" w:eastAsia="Times New Roman" w:hAnsi="Times New Roman"/>
          <w:sz w:val="18"/>
          <w:szCs w:val="18"/>
          <w:color w:val="auto"/>
        </w:rPr>
        <w:t>- Observable inputs other than Level 1 prices such as quoted prices for similar assets or liabilities; quoted prices in markets that are not active;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inputs that are observable or can be corroborated by observable market data for substantially the full term of the assets or liabilities.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 Unobservable inputs that are supported by little or no market activity and that are significant to the fair value of the assets or liabilities.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financial asset or liability’s classification within the hierarchy is determined based on the lowest level input that is significant to the fair value measurement.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Revenue is recognized upon satisfaction of all contractual performance obligations and transfer of control to the customer. Revenue is measured as the amount of consideration we expect to be entitled to in exchange for corresponding goods. The majority of our sales are single performance obligation arrangements for retail sale transactions for which the transaction price is equivalent to the stated price of the product, net of any stated discounts applicable at a point in time. Each sales transaction results in an implicit contract with the customer to deliver a product at the point of sale. Revenue from retail sales is recognized at the point of sale, is net of estimated returns, and excludes sales and value added taxes. Revenue from catalog and internet sales is recognized at estimated time of delivery to the customer, is net of estimated returns, and excludes sales and value added taxes. Wholesale revenue is recorded net of estimated returns and allowances for markdowns, damages and miscellaneous claims when the related goods have been shipped and legal title has passed to the customer. Actual amounts of markdowns have not differed materially from estimates. Shipping and handling costs charged to customers are included in net sales. We exclude sales and value added tax collected on behalf of third parties from transaction price.</w:t>
      </w:r>
    </w:p>
    <w:p>
      <w:pPr>
        <w:spacing w:after="0" w:line="14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provision for estimated returns is provided through a reduction of sales and cost of goods sold in the period that the related sales are recorded. Estimated returns are based on historical returns and claims. Actual returns and claims in any future period may differ from historical experience. Revenue from gift cards is deferred and recognized upon the redemption of the cards. These cards have no expiration date. Income from unredeemed cards is recognized on the Consolidated Statements of Operations within net sales in proportion to the pattern of rights exercised by the customer in future periods. We perform an evaluation of historical redemption patterns from the date of original issuance to estimate future period redemption activity.</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56" w:name="page57"/>
    <w:bookmarkEnd w:id="56"/>
    <w:p>
      <w:pPr>
        <w:jc w:val="center"/>
        <w:spacing w:after="0"/>
        <w:rPr>
          <w:sz w:val="20"/>
          <w:szCs w:val="20"/>
          <w:color w:val="auto"/>
        </w:rPr>
      </w:pPr>
      <w:r>
        <w:rPr>
          <w:rFonts w:ascii="Times New Roman" w:cs="Times New Roman" w:eastAsia="Times New Roman" w:hAnsi="Times New Roman"/>
          <w:sz w:val="18"/>
          <w:szCs w:val="18"/>
          <w:b w:val="1"/>
          <w:bCs w:val="1"/>
          <w:color w:val="auto"/>
        </w:rPr>
        <w:t>Genesco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Summary of Significant Accounting Policies, Continued</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Consolidated Balance Sheets include an accrued liability for gift cards of $5.0 million and $5.6 million as of February 1, 2025 and February 3, 2024, respectively. Gift card breakage recognized as revenue was $1.2 million, $1.1 million and $1.0 million for Fiscal 2025, 2024 and 2023, respectively. During Fiscal 2025, we recognized $3.9 million of gift card redemptions and gift card breakage revenue that were included in the gift card liability as of February 3, 2024.</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Sales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our retail operations, the cost of sales includes actual product cost, the cost of transportation to our warehouses from suppliers, the cost of transportation from our warehouses to the stores and the cost of transportation from our warehouses to the customer. Additionally, the cost of our distribution facilities allocated to our retail operations is included in cost of sales.</w:t>
      </w:r>
    </w:p>
    <w:p>
      <w:pPr>
        <w:spacing w:after="0" w:line="149" w:lineRule="exact"/>
        <w:rPr>
          <w:sz w:val="20"/>
          <w:szCs w:val="20"/>
          <w:color w:val="auto"/>
        </w:rPr>
      </w:pPr>
    </w:p>
    <w:p>
      <w:pPr>
        <w:ind w:right="100"/>
        <w:spacing w:after="0" w:line="453" w:lineRule="auto"/>
        <w:rPr>
          <w:sz w:val="20"/>
          <w:szCs w:val="20"/>
          <w:color w:val="auto"/>
        </w:rPr>
      </w:pPr>
      <w:r>
        <w:rPr>
          <w:rFonts w:ascii="Times New Roman" w:cs="Times New Roman" w:eastAsia="Times New Roman" w:hAnsi="Times New Roman"/>
          <w:sz w:val="18"/>
          <w:szCs w:val="18"/>
          <w:color w:val="auto"/>
        </w:rPr>
        <w:t xml:space="preserve">For our wholesale operations, the cost of sales includes the actual product cost and the cost of transportation to the Company’s warehouses from suppliers. </w:t>
      </w:r>
      <w:r>
        <w:rPr>
          <w:rFonts w:ascii="Times New Roman" w:cs="Times New Roman" w:eastAsia="Times New Roman" w:hAnsi="Times New Roman"/>
          <w:sz w:val="18"/>
          <w:szCs w:val="18"/>
          <w:b w:val="1"/>
          <w:bCs w:val="1"/>
          <w:i w:val="1"/>
          <w:iCs w:val="1"/>
          <w:color w:val="auto"/>
        </w:rPr>
        <w:t>Selling and Administrative Expenses</w:t>
      </w:r>
    </w:p>
    <w:p>
      <w:pPr>
        <w:spacing w:after="0" w:line="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Selling and administrative expenses include all operating costs excluding (i) those related to the transportation of products from the supplier to the warehouse, (ii) for our retail operations, those related to the transportation of products from the warehouse to the store and from the warehouse to the customer and (iii) costs of our distribution facilities which are allocated to our retail operations. Wholesale costs of distribution are included in selling and administrative expenses on our Consolidated Statements of Operations in the amounts of $11.1 million, $12.1 million and $12.4 million for Fiscal 2025, 2024 and 2023, respectively.</w:t>
      </w:r>
    </w:p>
    <w:p>
      <w:pPr>
        <w:spacing w:after="0" w:line="1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record buying, merchandising and occupancy costs in selling and administrative expense. Because we do not include these costs in cost of sales, our gross margin may not be comparable to other retailers that include these costs in the calculation of gross margin. Retail occupancy costs recorded in selling and administrative expense were $298.2 million, $309.8 million and $307.5 million for Fiscal 2025, 2024 and 2023, respectively.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Shipping and Handling Costs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Shipping and handling costs related to inventory purchased from suppliers are included in the cost of inventory and are charged to cost of sales in the period that the inventory is sold. All other shipping and handling costs are charged to cost of sales in the period incurred except for wholesale costs of distribution and shipping costs for product shipped from stores, which are included in selling and administrative expenses in our Consolidated Statements of Operations.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Advertising Costs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Advertising costs are predominantly expensed as incurred. Advertising costs were $132.8 million, $124.7 million and $118.5 million for Fiscal 2025, 2024 and 2023, respectively.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Consideration to Resellers</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our wholesale businesses, we do not have any written buy-down programs with retailers, but we have provided certain retailers with markdown allowances for obsolete and slow-moving products that are in the retailer’s inventory. We estimate these allowances and provide for them as reductions to revenues at the time revenues are recorded. Markdowns are negotiated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57" w:name="page58"/>
    <w:bookmarkEnd w:id="57"/>
    <w:p>
      <w:pPr>
        <w:jc w:val="center"/>
        <w:spacing w:after="0"/>
        <w:rPr>
          <w:sz w:val="20"/>
          <w:szCs w:val="20"/>
          <w:color w:val="auto"/>
        </w:rPr>
      </w:pPr>
      <w:r>
        <w:rPr>
          <w:rFonts w:ascii="Times New Roman" w:cs="Times New Roman" w:eastAsia="Times New Roman" w:hAnsi="Times New Roman"/>
          <w:sz w:val="18"/>
          <w:szCs w:val="18"/>
          <w:b w:val="1"/>
          <w:bCs w:val="1"/>
          <w:color w:val="auto"/>
        </w:rPr>
        <w:t>Genesco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1</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Summary of Significant Accounting Policies, Continued</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with retailers and changes are made to the estimates as agreements are reached. Actual amounts for markdowns have not differed materially from estimates.</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Cooperative Advertising</w:t>
      </w:r>
    </w:p>
    <w:p>
      <w:pPr>
        <w:spacing w:after="0" w:line="20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Cooperative advertising funds are made available to some of our wholesale footwear customers. In order for retailers to receive reimbursement under such programs, the retailer must meet specified advertising guidelines and provide appropriate documentation of expenses to be reimbursed. Our cooperative advertising agreements require that wholesale customers present documentation or other evidence of specific advertisements or display materials used for our products by submitting the actual print advertisements presented in catalogs, newspaper inserts or other advertising circulars, or by permitting physical inspection of displays. Additionally, our cooperative advertising agreements require that the amount of reimbursement requested for such advertising or materials be supported by invoices or other evidence of the actual costs incurred by the retailer.</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Vendor Allowances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From time to time, we negotiate allowances from our vendors for markdowns taken or expected to be taken. These markdowns are typically negotiated on specific merchandise and for specific amounts. These specific allowances are recognized as a reduction in cost of sales in the period in which the markdowns are taken. Markdown allowances not attached to specific inventory on hand or already sold are applied to concurrent or future purchases from each respective vendor.</w:t>
      </w:r>
    </w:p>
    <w:p>
      <w:pPr>
        <w:spacing w:after="0" w:line="15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receive support from some of our vendors in the form of reimbursements for cooperative advertising and catalog costs for the launch and promotion of certain products. The reimbursements are agreed upon with vendors and represent specific, incremental, identifiable costs incurred by us to sell the vendor’s specific products. Such costs and the related reimbursements are accumulated and monitored on an individual vendor basis, pursuant to the respective cooperative advertising agreements with vendors. Such cooperative advertising reimbursements are recorded as a reduction of selling and administrative expenses in the same period in which the associated expense is incurred. If the amount of cash consideration received exceeds the costs being reimbursed, such excess amount would be recorded as a reduction of cost of sales.</w:t>
      </w:r>
    </w:p>
    <w:p>
      <w:pPr>
        <w:spacing w:after="0" w:line="14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Vendor reimbursements of cooperative advertising costs recognized as a reduction of selling and administrative expenses were $9.0 million, $13.1 million and $16.3 million for Fiscal 2025, 2024 and 2023, respectively. During Fiscal 2025, 2024 and 2023, our vendor reimbursements of cooperative advertising received were not in excess of the costs incurred.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w:t>
      </w:r>
    </w:p>
    <w:p>
      <w:pPr>
        <w:spacing w:after="0" w:line="20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a share-based compensation plan, the Genesco Inc. Second Amended and Restated 2020 Equity Incentive Plan (the "2020 Plan"), which originally became effective June 25, 2020, was amended and restated on June 22, 2023 and further amended and restated on June 25, 2024. Under the 2020 Plan, we may grant non-qualified stock options, restricted stock awards ("RSAs"), restricted stock units ("RSUs") and performance-based share units ("PSUs") and other stock-based awards to our key employees, non-employee directors and consultants. Outstanding PSUs are subject to performance conditions that include either total Company performance metrics or business unit performance metrics along with a requirement that a recipient's service with the Company continue through the end of the performance period. The fair value of RSAs, RSUs and PSUs is determined based on the closing price of our common stock on the date of grant. Forfeitures for these awards are recognized as they occur. Compensation expense for RSAs, RSUs and PSUs, net of forfeitures, is recognized on a straight-line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58" w:name="page59"/>
    <w:bookmarkEnd w:id="58"/>
    <w:p>
      <w:pPr>
        <w:jc w:val="center"/>
        <w:spacing w:after="0"/>
        <w:rPr>
          <w:sz w:val="20"/>
          <w:szCs w:val="20"/>
          <w:color w:val="auto"/>
        </w:rPr>
      </w:pPr>
      <w:r>
        <w:rPr>
          <w:rFonts w:ascii="Times New Roman" w:cs="Times New Roman" w:eastAsia="Times New Roman" w:hAnsi="Times New Roman"/>
          <w:sz w:val="18"/>
          <w:szCs w:val="18"/>
          <w:b w:val="1"/>
          <w:bCs w:val="1"/>
          <w:color w:val="auto"/>
        </w:rPr>
        <w:t>Genesco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1</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Summary of Significant Accounting Policies, Continued</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basis over the requisite service period. For PSUs, at the end of each reporting period, compensation expense is updated for our expected performance level against the performance goals, which involves judgment as to the achievement of certain performance metrics.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Translation</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functional currency of our foreign operations is the applicable local currency. The translation of the applicable foreign currency into U.S. dollars is performed for balance sheet accounts using current exchange rates in effect at the balance sheet date. Income and expense accounts are translated at monthly average exchange rates. The unearned gains and losses resulting from such translation are included as a separate component of accumulated other comprehensive loss within shareholders' equity. Gains and losses from certain foreign currency transactions were not material for Fiscal 2025, 2024 and 2023.</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New Accounting Pronouncements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New Accounting Pronouncements Adopted</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November 2023, the FASB issued ASU 2023-07, "Segment Reporting (Topic 280) - Improvements to Reportable Segment Disclosures." The amendment in this ASU is intended to improve reportable segment disclosure requirements primarily through enhanced disclosures about significant segment expenses. The amendments in this ASU are effective for fiscal years beginning after December 15, 2023, and interim periods within fiscal years beginning after December 15, 2024, and should be applied on a retrospective basis to all periods presented. We adopted ASU 2023-07 for the year ended February 1, 2025, and applied it retrospectively to all prior periods presented. The adoption did not have a material impact on our Consolidated Financial Statements, but it did require increased disclosures within the notes to our Consolidated Financial Statements. See Note 16, "Business Segment Information" for additional information.</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New Accounting Pronouncements Not Yet Adopted</w:t>
      </w:r>
    </w:p>
    <w:p>
      <w:pPr>
        <w:spacing w:after="0" w:line="20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 Improvements to Income Tax Disclosures.” The ASU requires that an entity disclose specific categories in the effective tax rate reconciliation as well as provide additional information for reconciling items that meet a quantitative threshold. Further, the ASU requires certain disclosures of state versus federal income tax expense and taxes paid. The amendments in this ASU are required to be adopted for fiscal years beginning after December 15, 2024. Early adoption is permitted for annual financial statements that have not yet been issued. The amendments should be applied on a prospective basis although retrospective application is permitted. We are currently evaluating the impact of adoption of this ASU but do not expect it to have a material impact on our Consolidated Financial Statements, but it will require increased income tax disclosures within the notes to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59" w:name="page60"/>
    <w:bookmarkEnd w:id="59"/>
    <w:p>
      <w:pPr>
        <w:jc w:val="center"/>
        <w:spacing w:after="0"/>
        <w:rPr>
          <w:sz w:val="20"/>
          <w:szCs w:val="20"/>
          <w:color w:val="auto"/>
        </w:rPr>
      </w:pPr>
      <w:r>
        <w:rPr>
          <w:rFonts w:ascii="Times New Roman" w:cs="Times New Roman" w:eastAsia="Times New Roman" w:hAnsi="Times New Roman"/>
          <w:sz w:val="18"/>
          <w:szCs w:val="18"/>
          <w:b w:val="1"/>
          <w:bCs w:val="1"/>
          <w:color w:val="auto"/>
        </w:rPr>
        <w:t>Genesco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New Accounting Pronouncements, Continued</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November 2024, the FASB issued ASU 2024-03, “Income Statement - Reporting Comprehensive Income - Expense Disaggregation Disclosures (Subtopic 220-40): Disaggregation of Income Statement Expenses.” The ASU is intended to improve the disclosures about a public business entity’s expenses and address requests from investors for more detailed information about the types of expenses in commonly presented expense captions. The ASU is required to be adopted for fiscal years beginning after December 15, 2026 and interim reporting periods beginning after December 15, 2027. Early adoption is permitted. The amendments should be applied on either a prospective basis to financial statements issued for reporting periods after the effective date of the update, or on a retrospective basis to any or all prior periods presented in the financial statements. We are currently evaluating the impact of adoption on our financial disclosures but do not expect this ASU to have a material impact on our Consolidated Financial Statements.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Goodwill and Other Intangible Assets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 in the carrying amount of goodwill for Journeys Group was as follows: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6120" w:type="dxa"/>
            <w:vAlign w:val="bottom"/>
            <w:tcBorders>
              <w:top w:val="single" w:sz="8" w:color="auto"/>
            </w:tcBorders>
          </w:tcPr>
          <w:p>
            <w:pPr>
              <w:spacing w:after="0"/>
              <w:rPr>
                <w:sz w:val="18"/>
                <w:szCs w:val="18"/>
                <w:color w:val="auto"/>
              </w:rPr>
            </w:pPr>
          </w:p>
        </w:tc>
        <w:tc>
          <w:tcPr>
            <w:tcW w:w="376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Total</w:t>
            </w:r>
          </w:p>
        </w:tc>
      </w:tr>
      <w:tr>
        <w:trPr>
          <w:trHeight w:val="234"/>
        </w:trPr>
        <w:tc>
          <w:tcPr>
            <w:tcW w:w="6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37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Goodwill</w:t>
            </w:r>
          </w:p>
        </w:tc>
      </w:tr>
      <w:tr>
        <w:trPr>
          <w:trHeight w:val="210"/>
        </w:trPr>
        <w:tc>
          <w:tcPr>
            <w:tcW w:w="6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February 3, 2024</w:t>
            </w:r>
          </w:p>
        </w:tc>
        <w:tc>
          <w:tcPr>
            <w:tcW w:w="3760" w:type="dxa"/>
            <w:vAlign w:val="bottom"/>
            <w:shd w:val="clear" w:color="auto" w:fill="CFF0FC"/>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9,565</w:t>
            </w:r>
          </w:p>
        </w:tc>
      </w:tr>
      <w:tr>
        <w:trPr>
          <w:trHeight w:val="216"/>
        </w:trPr>
        <w:tc>
          <w:tcPr>
            <w:tcW w:w="6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Effect of foreign currency exchange rates</w:t>
            </w:r>
          </w:p>
        </w:tc>
        <w:tc>
          <w:tcPr>
            <w:tcW w:w="37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(702 )</w:t>
            </w:r>
          </w:p>
        </w:tc>
      </w:tr>
      <w:tr>
        <w:trPr>
          <w:trHeight w:val="210"/>
        </w:trPr>
        <w:tc>
          <w:tcPr>
            <w:tcW w:w="612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February 1, 2025</w:t>
            </w:r>
          </w:p>
        </w:tc>
        <w:tc>
          <w:tcPr>
            <w:tcW w:w="3760" w:type="dxa"/>
            <w:vAlign w:val="bottom"/>
            <w:tcBorders>
              <w:bottom w:val="single" w:sz="8" w:color="auto"/>
            </w:tcBorders>
            <w:shd w:val="clear" w:color="auto" w:fill="CFF0FC"/>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8,863</w:t>
            </w:r>
          </w:p>
        </w:tc>
      </w:tr>
    </w:tbl>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Goodwill Valuation (Genesco Brands Group)</w:t>
      </w:r>
    </w:p>
    <w:p>
      <w:pPr>
        <w:spacing w:after="0" w:line="200" w:lineRule="exact"/>
        <w:rPr>
          <w:sz w:val="20"/>
          <w:szCs w:val="20"/>
          <w:color w:val="auto"/>
        </w:rPr>
      </w:pPr>
    </w:p>
    <w:p>
      <w:pPr>
        <w:spacing w:after="0" w:line="20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required under ASC 350, "Intangibles - Goodwill and Other," we annually assess our goodwill and indefinite lived trade names for impairment and on an interim basis if indicators of impairment are present. Our annual assessment date of goodwill and indefinite lived trade names is the first day of the fourth quarter. In accordance with ASC 350, when indicators of impairment are present on an interim basis, we must assess whether it is “more likely than not” (i.e., a greater than 50% chance) that an impairment has occurred.</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Due to a dispute during the second quarter of Fiscal 2024 with a Genesco Brands Group licensor regarding renewal of their current license in the normal course which was resolved in Fiscal 2025, and based on the requirements of ASC 350, we identified indicators of impairment in the second quarter of Fiscal 2024 and determined that it was "more likely than not" that an impairment had occurred and performed a full valuation of our Togast reporting unit. Consistent with our Fiscal 2023 annual assessment, our analyses included preparing an income approach and a market approach model. The fair value estimates under the income approach are sensitive to significant assumptions required to develop prospective financial information related to growth rates in sales, costs, and estimates of future expected changes in operating margins. Other significant assumptions relate to estimating the weighted average cost of capital utilized for discounting cash flow estimates and terminal period growth rates. These significant assumptions are affected by expectations about future market or economic conditions. The market approach model considers valuations of comparable companies as an input in the determination of the value of the reporting unit.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60" w:name="page61"/>
    <w:bookmarkEnd w:id="60"/>
    <w:p>
      <w:pPr>
        <w:jc w:val="center"/>
        <w:spacing w:after="0"/>
        <w:rPr>
          <w:sz w:val="20"/>
          <w:szCs w:val="20"/>
          <w:color w:val="auto"/>
        </w:rPr>
      </w:pPr>
      <w:r>
        <w:rPr>
          <w:rFonts w:ascii="Times New Roman" w:cs="Times New Roman" w:eastAsia="Times New Roman" w:hAnsi="Times New Roman"/>
          <w:sz w:val="18"/>
          <w:szCs w:val="18"/>
          <w:b w:val="1"/>
          <w:bCs w:val="1"/>
          <w:color w:val="auto"/>
        </w:rPr>
        <w:t>Genesco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Goodwill and Other Intangible Assets, Continued</w:t>
      </w:r>
    </w:p>
    <w:p>
      <w:pPr>
        <w:spacing w:after="0" w:line="200" w:lineRule="exact"/>
        <w:rPr>
          <w:sz w:val="20"/>
          <w:szCs w:val="20"/>
          <w:color w:val="auto"/>
        </w:rPr>
      </w:pPr>
    </w:p>
    <w:p>
      <w:pPr>
        <w:spacing w:after="0" w:line="20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Based upon the results of these analyses, we concluded the goodwill attributed to Togast was fully impaired. As a result, we recorded a non-cash impairment charge of $28.5 million in the second quarter of Fiscal 2024.</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Other intangibles by major classes were as follows:</w:t>
            </w: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432"/>
        </w:trPr>
        <w:tc>
          <w:tcPr>
            <w:tcW w:w="40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3"/>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Trademarks</w:t>
            </w:r>
            <w:r>
              <w:rPr>
                <w:rFonts w:ascii="Times New Roman" w:cs="Times New Roman" w:eastAsia="Times New Roman" w:hAnsi="Times New Roman"/>
                <w:sz w:val="24"/>
                <w:szCs w:val="24"/>
                <w:b w:val="1"/>
                <w:bCs w:val="1"/>
                <w:color w:val="auto"/>
                <w:vertAlign w:val="superscript"/>
              </w:rPr>
              <w:t>(1)</w:t>
            </w:r>
          </w:p>
        </w:tc>
        <w:tc>
          <w:tcPr>
            <w:tcW w:w="20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3"/>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98"/>
              </w:rPr>
              <w:t>Customer Lists</w:t>
            </w:r>
            <w:r>
              <w:rPr>
                <w:rFonts w:ascii="Times New Roman" w:cs="Times New Roman" w:eastAsia="Times New Roman" w:hAnsi="Times New Roman"/>
                <w:sz w:val="24"/>
                <w:szCs w:val="24"/>
                <w:b w:val="1"/>
                <w:bCs w:val="1"/>
                <w:color w:val="auto"/>
                <w:w w:val="98"/>
                <w:vertAlign w:val="superscript"/>
              </w:rPr>
              <w:t>(2)</w:t>
            </w:r>
          </w:p>
        </w:tc>
        <w:tc>
          <w:tcPr>
            <w:tcW w:w="2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Other</w:t>
            </w:r>
            <w:r>
              <w:rPr>
                <w:rFonts w:ascii="Times New Roman" w:cs="Times New Roman" w:eastAsia="Times New Roman" w:hAnsi="Times New Roman"/>
                <w:sz w:val="24"/>
                <w:szCs w:val="24"/>
                <w:b w:val="1"/>
                <w:bCs w:val="1"/>
                <w:color w:val="auto"/>
                <w:vertAlign w:val="superscript"/>
              </w:rPr>
              <w:t>(3)</w:t>
            </w:r>
          </w:p>
        </w:tc>
        <w:tc>
          <w:tcPr>
            <w:tcW w:w="6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Total</w:t>
            </w:r>
          </w:p>
        </w:tc>
        <w:tc>
          <w:tcPr>
            <w:tcW w:w="680" w:type="dxa"/>
            <w:vAlign w:val="bottom"/>
            <w:tcBorders>
              <w:bottom w:val="single" w:sz="8" w:color="auto"/>
            </w:tcBorders>
          </w:tcPr>
          <w:p>
            <w:pPr>
              <w:spacing w:after="0"/>
              <w:rPr>
                <w:sz w:val="24"/>
                <w:szCs w:val="24"/>
                <w:color w:val="auto"/>
              </w:rPr>
            </w:pPr>
          </w:p>
        </w:tc>
      </w:tr>
      <w:tr>
        <w:trPr>
          <w:trHeight w:val="187"/>
        </w:trPr>
        <w:tc>
          <w:tcPr>
            <w:tcW w:w="4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auto"/>
              </w:rPr>
              <w:t>Feb. 1,</w:t>
            </w:r>
          </w:p>
        </w:tc>
        <w:tc>
          <w:tcPr>
            <w:tcW w:w="260" w:type="dxa"/>
            <w:vAlign w:val="bottom"/>
          </w:tcPr>
          <w:p>
            <w:pPr>
              <w:spacing w:after="0"/>
              <w:rPr>
                <w:sz w:val="16"/>
                <w:szCs w:val="16"/>
                <w:color w:val="auto"/>
              </w:rPr>
            </w:pPr>
          </w:p>
        </w:tc>
        <w:tc>
          <w:tcPr>
            <w:tcW w:w="64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color w:val="auto"/>
              </w:rPr>
              <w:t>Feb 3,</w:t>
            </w:r>
          </w:p>
        </w:tc>
        <w:tc>
          <w:tcPr>
            <w:tcW w:w="200" w:type="dxa"/>
            <w:vAlign w:val="bottom"/>
          </w:tcPr>
          <w:p>
            <w:pPr>
              <w:spacing w:after="0"/>
              <w:rPr>
                <w:sz w:val="16"/>
                <w:szCs w:val="16"/>
                <w:color w:val="auto"/>
              </w:rPr>
            </w:pPr>
          </w:p>
        </w:tc>
        <w:tc>
          <w:tcPr>
            <w:tcW w:w="780" w:type="dxa"/>
            <w:vAlign w:val="bottom"/>
          </w:tcPr>
          <w:p>
            <w:pPr>
              <w:jc w:val="right"/>
              <w:ind w:right="30"/>
              <w:spacing w:after="0" w:line="188" w:lineRule="exact"/>
              <w:rPr>
                <w:sz w:val="20"/>
                <w:szCs w:val="20"/>
                <w:color w:val="auto"/>
              </w:rPr>
            </w:pPr>
            <w:r>
              <w:rPr>
                <w:rFonts w:ascii="Times New Roman" w:cs="Times New Roman" w:eastAsia="Times New Roman" w:hAnsi="Times New Roman"/>
                <w:sz w:val="18"/>
                <w:szCs w:val="18"/>
                <w:b w:val="1"/>
                <w:bCs w:val="1"/>
                <w:color w:val="auto"/>
              </w:rPr>
              <w:t>Feb. 1,</w:t>
            </w:r>
          </w:p>
        </w:tc>
        <w:tc>
          <w:tcPr>
            <w:tcW w:w="200" w:type="dxa"/>
            <w:vAlign w:val="bottom"/>
          </w:tcPr>
          <w:p>
            <w:pPr>
              <w:spacing w:after="0"/>
              <w:rPr>
                <w:sz w:val="16"/>
                <w:szCs w:val="16"/>
                <w:color w:val="auto"/>
              </w:rPr>
            </w:pPr>
          </w:p>
        </w:tc>
        <w:tc>
          <w:tcPr>
            <w:tcW w:w="680" w:type="dxa"/>
            <w:vAlign w:val="bottom"/>
          </w:tcPr>
          <w:p>
            <w:pPr>
              <w:jc w:val="right"/>
              <w:ind w:right="10"/>
              <w:spacing w:after="0" w:line="188" w:lineRule="exact"/>
              <w:rPr>
                <w:sz w:val="20"/>
                <w:szCs w:val="20"/>
                <w:color w:val="auto"/>
              </w:rPr>
            </w:pPr>
            <w:r>
              <w:rPr>
                <w:rFonts w:ascii="Times New Roman" w:cs="Times New Roman" w:eastAsia="Times New Roman" w:hAnsi="Times New Roman"/>
                <w:sz w:val="18"/>
                <w:szCs w:val="18"/>
                <w:color w:val="auto"/>
              </w:rPr>
              <w:t>Feb 3,</w:t>
            </w:r>
          </w:p>
        </w:tc>
        <w:tc>
          <w:tcPr>
            <w:tcW w:w="220" w:type="dxa"/>
            <w:vAlign w:val="bottom"/>
          </w:tcPr>
          <w:p>
            <w:pPr>
              <w:spacing w:after="0"/>
              <w:rPr>
                <w:sz w:val="16"/>
                <w:szCs w:val="16"/>
                <w:color w:val="auto"/>
              </w:rPr>
            </w:pPr>
          </w:p>
        </w:tc>
        <w:tc>
          <w:tcPr>
            <w:tcW w:w="720" w:type="dxa"/>
            <w:vAlign w:val="bottom"/>
          </w:tcPr>
          <w:p>
            <w:pPr>
              <w:jc w:val="right"/>
              <w:ind w:right="30"/>
              <w:spacing w:after="0" w:line="188" w:lineRule="exact"/>
              <w:rPr>
                <w:sz w:val="20"/>
                <w:szCs w:val="20"/>
                <w:color w:val="auto"/>
              </w:rPr>
            </w:pPr>
            <w:r>
              <w:rPr>
                <w:rFonts w:ascii="Times New Roman" w:cs="Times New Roman" w:eastAsia="Times New Roman" w:hAnsi="Times New Roman"/>
                <w:sz w:val="18"/>
                <w:szCs w:val="18"/>
                <w:b w:val="1"/>
                <w:bCs w:val="1"/>
                <w:color w:val="auto"/>
              </w:rPr>
              <w:t>Feb. 1,</w:t>
            </w:r>
          </w:p>
        </w:tc>
        <w:tc>
          <w:tcPr>
            <w:tcW w:w="280" w:type="dxa"/>
            <w:vAlign w:val="bottom"/>
          </w:tcPr>
          <w:p>
            <w:pPr>
              <w:spacing w:after="0"/>
              <w:rPr>
                <w:sz w:val="16"/>
                <w:szCs w:val="16"/>
                <w:color w:val="auto"/>
              </w:rPr>
            </w:pPr>
          </w:p>
        </w:tc>
        <w:tc>
          <w:tcPr>
            <w:tcW w:w="600" w:type="dxa"/>
            <w:vAlign w:val="bottom"/>
          </w:tcPr>
          <w:p>
            <w:pPr>
              <w:jc w:val="right"/>
              <w:ind w:right="10"/>
              <w:spacing w:after="0" w:line="188" w:lineRule="exact"/>
              <w:rPr>
                <w:sz w:val="20"/>
                <w:szCs w:val="20"/>
                <w:color w:val="auto"/>
              </w:rPr>
            </w:pPr>
            <w:r>
              <w:rPr>
                <w:rFonts w:ascii="Times New Roman" w:cs="Times New Roman" w:eastAsia="Times New Roman" w:hAnsi="Times New Roman"/>
                <w:sz w:val="18"/>
                <w:szCs w:val="18"/>
                <w:color w:val="auto"/>
              </w:rPr>
              <w:t>Feb 3,</w:t>
            </w:r>
          </w:p>
        </w:tc>
        <w:tc>
          <w:tcPr>
            <w:tcW w:w="200" w:type="dxa"/>
            <w:vAlign w:val="bottom"/>
          </w:tcPr>
          <w:p>
            <w:pPr>
              <w:spacing w:after="0"/>
              <w:rPr>
                <w:sz w:val="16"/>
                <w:szCs w:val="16"/>
                <w:color w:val="auto"/>
              </w:rPr>
            </w:pPr>
          </w:p>
        </w:tc>
        <w:tc>
          <w:tcPr>
            <w:tcW w:w="700" w:type="dxa"/>
            <w:vAlign w:val="bottom"/>
          </w:tcPr>
          <w:p>
            <w:pPr>
              <w:jc w:val="right"/>
              <w:ind w:right="30"/>
              <w:spacing w:after="0" w:line="188" w:lineRule="exact"/>
              <w:rPr>
                <w:sz w:val="20"/>
                <w:szCs w:val="20"/>
                <w:color w:val="auto"/>
              </w:rPr>
            </w:pPr>
            <w:r>
              <w:rPr>
                <w:rFonts w:ascii="Times New Roman" w:cs="Times New Roman" w:eastAsia="Times New Roman" w:hAnsi="Times New Roman"/>
                <w:sz w:val="18"/>
                <w:szCs w:val="18"/>
                <w:b w:val="1"/>
                <w:bCs w:val="1"/>
                <w:color w:val="auto"/>
              </w:rPr>
              <w:t>Feb. 1,</w:t>
            </w:r>
          </w:p>
        </w:tc>
        <w:tc>
          <w:tcPr>
            <w:tcW w:w="220" w:type="dxa"/>
            <w:vAlign w:val="bottom"/>
          </w:tcPr>
          <w:p>
            <w:pPr>
              <w:spacing w:after="0"/>
              <w:rPr>
                <w:sz w:val="16"/>
                <w:szCs w:val="16"/>
                <w:color w:val="auto"/>
              </w:rPr>
            </w:pPr>
          </w:p>
        </w:tc>
        <w:tc>
          <w:tcPr>
            <w:tcW w:w="680" w:type="dxa"/>
            <w:vAlign w:val="bottom"/>
          </w:tcPr>
          <w:p>
            <w:pPr>
              <w:jc w:val="right"/>
              <w:ind w:right="30"/>
              <w:spacing w:after="0" w:line="188" w:lineRule="exact"/>
              <w:rPr>
                <w:sz w:val="20"/>
                <w:szCs w:val="20"/>
                <w:color w:val="auto"/>
              </w:rPr>
            </w:pPr>
            <w:r>
              <w:rPr>
                <w:rFonts w:ascii="Times New Roman" w:cs="Times New Roman" w:eastAsia="Times New Roman" w:hAnsi="Times New Roman"/>
                <w:sz w:val="18"/>
                <w:szCs w:val="18"/>
                <w:color w:val="auto"/>
              </w:rPr>
              <w:t>Feb 3,</w:t>
            </w:r>
          </w:p>
        </w:tc>
      </w:tr>
      <w:tr>
        <w:trPr>
          <w:trHeight w:val="238"/>
        </w:trPr>
        <w:tc>
          <w:tcPr>
            <w:tcW w:w="4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1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2024</w:t>
            </w:r>
          </w:p>
        </w:tc>
        <w:tc>
          <w:tcPr>
            <w:tcW w:w="2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2024</w:t>
            </w:r>
          </w:p>
        </w:tc>
      </w:tr>
      <w:tr>
        <w:trPr>
          <w:trHeight w:val="209"/>
        </w:trPr>
        <w:tc>
          <w:tcPr>
            <w:tcW w:w="4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Gross other intangibles</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23,839</w:t>
            </w:r>
          </w:p>
        </w:tc>
        <w:tc>
          <w:tcPr>
            <w:tcW w:w="2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24,464</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6,471</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6,501</w:t>
            </w:r>
          </w:p>
        </w:tc>
        <w:tc>
          <w:tcPr>
            <w:tcW w:w="2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400</w:t>
            </w:r>
          </w:p>
        </w:tc>
        <w:tc>
          <w:tcPr>
            <w:tcW w:w="2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400</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30,710</w:t>
            </w:r>
          </w:p>
        </w:tc>
        <w:tc>
          <w:tcPr>
            <w:tcW w:w="2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31,365</w:t>
            </w:r>
          </w:p>
        </w:tc>
      </w:tr>
      <w:tr>
        <w:trPr>
          <w:trHeight w:val="216"/>
        </w:trPr>
        <w:tc>
          <w:tcPr>
            <w:tcW w:w="4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Accumulated amortization</w:t>
            </w: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(4,251 )</w:t>
            </w: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(3,715 )</w:t>
            </w: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(400 )</w:t>
            </w:r>
          </w:p>
        </w:tc>
        <w:tc>
          <w:tcPr>
            <w:tcW w:w="2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(400 )</w:t>
            </w: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(4,651 )</w:t>
            </w:r>
          </w:p>
        </w:tc>
        <w:tc>
          <w:tcPr>
            <w:tcW w:w="2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(4,115 )</w:t>
            </w:r>
          </w:p>
        </w:tc>
      </w:tr>
      <w:tr>
        <w:trPr>
          <w:trHeight w:val="249"/>
        </w:trPr>
        <w:tc>
          <w:tcPr>
            <w:tcW w:w="404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Other Intangibles, net</w:t>
            </w: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23,839</w:t>
            </w:r>
          </w:p>
        </w:tc>
        <w:tc>
          <w:tcPr>
            <w:tcW w:w="26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24,464</w:t>
            </w:r>
          </w:p>
        </w:tc>
        <w:tc>
          <w:tcPr>
            <w:tcW w:w="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2,220</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2,786</w:t>
            </w:r>
          </w:p>
        </w:tc>
        <w:tc>
          <w:tcPr>
            <w:tcW w:w="22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26,059</w:t>
            </w:r>
          </w:p>
        </w:tc>
        <w:tc>
          <w:tcPr>
            <w:tcW w:w="22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27,250</w:t>
            </w:r>
          </w:p>
        </w:tc>
      </w:tr>
    </w:tbl>
    <w:p>
      <w:pPr>
        <w:spacing w:after="0" w:line="160" w:lineRule="exact"/>
        <w:rPr>
          <w:sz w:val="20"/>
          <w:szCs w:val="20"/>
          <w:color w:val="auto"/>
        </w:rPr>
      </w:pPr>
    </w:p>
    <w:p>
      <w:pPr>
        <w:ind w:left="380" w:hanging="372"/>
        <w:spacing w:after="0"/>
        <w:tabs>
          <w:tab w:leader="none" w:pos="380" w:val="left"/>
        </w:tabs>
        <w:numPr>
          <w:ilvl w:val="0"/>
          <w:numId w:val="1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Includes a $20.9 million trademark at February 1, 2025 related to Schuh Group and $2.9 million related to Journeys Group.</w:t>
      </w:r>
    </w:p>
    <w:p>
      <w:pPr>
        <w:spacing w:after="0" w:line="10" w:lineRule="exact"/>
        <w:rPr>
          <w:rFonts w:ascii="Times New Roman" w:cs="Times New Roman" w:eastAsia="Times New Roman" w:hAnsi="Times New Roman"/>
          <w:sz w:val="22"/>
          <w:szCs w:val="22"/>
          <w:color w:val="auto"/>
          <w:vertAlign w:val="superscript"/>
        </w:rPr>
      </w:pPr>
    </w:p>
    <w:p>
      <w:pPr>
        <w:ind w:left="380" w:hanging="372"/>
        <w:spacing w:after="0" w:line="182" w:lineRule="auto"/>
        <w:tabs>
          <w:tab w:leader="none" w:pos="380" w:val="left"/>
        </w:tabs>
        <w:numPr>
          <w:ilvl w:val="0"/>
          <w:numId w:val="1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Includes $5.1 million for the Togast acquisition.</w:t>
      </w:r>
    </w:p>
    <w:p>
      <w:pPr>
        <w:spacing w:after="0" w:line="10" w:lineRule="exact"/>
        <w:rPr>
          <w:rFonts w:ascii="Times New Roman" w:cs="Times New Roman" w:eastAsia="Times New Roman" w:hAnsi="Times New Roman"/>
          <w:sz w:val="22"/>
          <w:szCs w:val="22"/>
          <w:color w:val="auto"/>
          <w:vertAlign w:val="superscript"/>
        </w:rPr>
      </w:pPr>
    </w:p>
    <w:p>
      <w:pPr>
        <w:ind w:left="380" w:hanging="372"/>
        <w:spacing w:after="0" w:line="182" w:lineRule="auto"/>
        <w:tabs>
          <w:tab w:leader="none" w:pos="380" w:val="left"/>
        </w:tabs>
        <w:numPr>
          <w:ilvl w:val="0"/>
          <w:numId w:val="1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6"/>
          <w:szCs w:val="16"/>
          <w:color w:val="auto"/>
        </w:rPr>
        <w:t>Backlog for Togast.</w:t>
      </w:r>
    </w:p>
    <w:p>
      <w:pPr>
        <w:spacing w:after="0" w:line="17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amortization of intangibles was $0.6 million for each of Fiscal 2025, Fiscal 2024 and Fiscal 2023. Currently, amortization of intangibles is expected to be $0.6 million for each of the next three years, $0.5 million in four years and no intangible amortization expected after Fiscal 2029.</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Asset Impairments and Other Charges</w:t>
      </w:r>
    </w:p>
    <w:p>
      <w:pPr>
        <w:spacing w:after="0" w:line="20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Asset impairment charges are reflected as a reduction of the net carrying value of property and equipment and operating lease right of use assets, in asset impairment and other, net in the accompanying Consolidated Statements of Operations.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recorded a pretax charge to earnings of $3.2 million in Fiscal 2025, including $1.8 million for severance and $1.4 million for asset impairments.</w:t>
      </w:r>
    </w:p>
    <w:p>
      <w:pPr>
        <w:spacing w:after="0" w:line="18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recorded a pretax charge to earnings of $1.8 million in Fiscal 2024, including $1.1 million for severance and $1.0 million for asset impairments, partially offset by a $0.3 million insurance gain.</w:t>
      </w:r>
    </w:p>
    <w:p>
      <w:pPr>
        <w:spacing w:after="0" w:line="135"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We recorded a pretax charge to earnings of $0.9 million in Fiscal 2023, including $1.6 million for asset impairments, partially offset by $0.7 million gain on the termination of our pension plan.</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5</w:t>
            </w:r>
          </w:p>
        </w:tc>
        <w:tc>
          <w:tcPr>
            <w:tcW w:w="328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351"/>
        </w:trPr>
        <w:tc>
          <w:tcPr>
            <w:tcW w:w="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8"/>
              </w:rPr>
              <w:t>Inventories</w:t>
            </w:r>
          </w:p>
        </w:tc>
        <w:tc>
          <w:tcPr>
            <w:tcW w:w="282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452"/>
        </w:trPr>
        <w:tc>
          <w:tcPr>
            <w:tcW w:w="37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328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February 1, 2025</w:t>
            </w:r>
          </w:p>
        </w:tc>
        <w:tc>
          <w:tcPr>
            <w:tcW w:w="64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February 3, 2024</w:t>
            </w:r>
          </w:p>
        </w:tc>
      </w:tr>
      <w:tr>
        <w:trPr>
          <w:trHeight w:val="210"/>
        </w:trPr>
        <w:tc>
          <w:tcPr>
            <w:tcW w:w="37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Wholesale finished goods</w:t>
            </w:r>
          </w:p>
        </w:tc>
        <w:tc>
          <w:tcPr>
            <w:tcW w:w="3280" w:type="dxa"/>
            <w:vAlign w:val="bottom"/>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186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82,784</w:t>
            </w:r>
          </w:p>
        </w:tc>
        <w:tc>
          <w:tcPr>
            <w:tcW w:w="640" w:type="dxa"/>
            <w:vAlign w:val="bottom"/>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57,678</w:t>
            </w:r>
          </w:p>
        </w:tc>
      </w:tr>
      <w:tr>
        <w:trPr>
          <w:trHeight w:val="216"/>
        </w:trPr>
        <w:tc>
          <w:tcPr>
            <w:tcW w:w="37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Retail merchandise</w:t>
            </w:r>
          </w:p>
        </w:tc>
        <w:tc>
          <w:tcPr>
            <w:tcW w:w="328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342,440</w:t>
            </w:r>
          </w:p>
        </w:tc>
        <w:tc>
          <w:tcPr>
            <w:tcW w:w="64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321,289</w:t>
            </w:r>
          </w:p>
        </w:tc>
      </w:tr>
      <w:tr>
        <w:trPr>
          <w:trHeight w:val="250"/>
        </w:trPr>
        <w:tc>
          <w:tcPr>
            <w:tcW w:w="3700" w:type="dxa"/>
            <w:vAlign w:val="bottom"/>
            <w:tcBorders>
              <w:bottom w:val="single" w:sz="8" w:color="auto"/>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Inventories</w:t>
            </w:r>
          </w:p>
        </w:tc>
        <w:tc>
          <w:tcPr>
            <w:tcW w:w="3280" w:type="dxa"/>
            <w:vAlign w:val="bottom"/>
            <w:tcBorders>
              <w:bottom w:val="single" w:sz="8" w:color="auto"/>
            </w:tcBorders>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186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425,224</w:t>
            </w:r>
          </w:p>
        </w:tc>
        <w:tc>
          <w:tcPr>
            <w:tcW w:w="640" w:type="dxa"/>
            <w:vAlign w:val="bottom"/>
            <w:tcBorders>
              <w:bottom w:val="single" w:sz="8" w:color="auto"/>
            </w:tcBorders>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378,967</w:t>
            </w:r>
          </w:p>
        </w:tc>
      </w:tr>
      <w:tr>
        <w:trPr>
          <w:trHeight w:val="628"/>
        </w:trPr>
        <w:tc>
          <w:tcPr>
            <w:tcW w:w="88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3280" w:type="dxa"/>
            <w:vAlign w:val="bottom"/>
          </w:tcPr>
          <w:p>
            <w:pPr>
              <w:jc w:val="right"/>
              <w:ind w:right="1170"/>
              <w:spacing w:after="0"/>
              <w:rPr>
                <w:sz w:val="20"/>
                <w:szCs w:val="20"/>
                <w:color w:val="auto"/>
              </w:rPr>
            </w:pPr>
            <w:r>
              <w:rPr>
                <w:rFonts w:ascii="Times New Roman" w:cs="Times New Roman" w:eastAsia="Times New Roman" w:hAnsi="Times New Roman"/>
                <w:sz w:val="18"/>
                <w:szCs w:val="18"/>
                <w:color w:val="auto"/>
              </w:rPr>
              <w:t>61</w:t>
            </w:r>
          </w:p>
        </w:tc>
        <w:tc>
          <w:tcPr>
            <w:tcW w:w="18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763"/>
        </w:trPr>
        <w:tc>
          <w:tcPr>
            <w:tcW w:w="880" w:type="dxa"/>
            <w:vAlign w:val="bottom"/>
            <w:tcBorders>
              <w:bottom w:val="single" w:sz="8" w:color="9A9A9A"/>
            </w:tcBorders>
          </w:tcPr>
          <w:p>
            <w:pPr>
              <w:spacing w:after="0"/>
              <w:rPr>
                <w:sz w:val="24"/>
                <w:szCs w:val="24"/>
                <w:color w:val="auto"/>
              </w:rPr>
            </w:pPr>
          </w:p>
        </w:tc>
        <w:tc>
          <w:tcPr>
            <w:tcW w:w="2820" w:type="dxa"/>
            <w:vAlign w:val="bottom"/>
            <w:tcBorders>
              <w:bottom w:val="single" w:sz="8" w:color="9A9A9A"/>
            </w:tcBorders>
          </w:tcPr>
          <w:p>
            <w:pPr>
              <w:spacing w:after="0"/>
              <w:rPr>
                <w:sz w:val="24"/>
                <w:szCs w:val="24"/>
                <w:color w:val="auto"/>
              </w:rPr>
            </w:pPr>
          </w:p>
        </w:tc>
        <w:tc>
          <w:tcPr>
            <w:tcW w:w="3280" w:type="dxa"/>
            <w:vAlign w:val="bottom"/>
            <w:tcBorders>
              <w:bottom w:val="single" w:sz="8" w:color="9A9A9A"/>
            </w:tcBorders>
          </w:tcPr>
          <w:p>
            <w:pPr>
              <w:spacing w:after="0"/>
              <w:rPr>
                <w:sz w:val="24"/>
                <w:szCs w:val="24"/>
                <w:color w:val="auto"/>
              </w:rPr>
            </w:pPr>
          </w:p>
        </w:tc>
        <w:tc>
          <w:tcPr>
            <w:tcW w:w="186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61" w:name="page62"/>
    <w:bookmarkEnd w:id="61"/>
    <w:p>
      <w:pPr>
        <w:jc w:val="center"/>
        <w:spacing w:after="0"/>
        <w:rPr>
          <w:sz w:val="20"/>
          <w:szCs w:val="20"/>
          <w:color w:val="auto"/>
        </w:rPr>
      </w:pPr>
      <w:r>
        <w:rPr>
          <w:rFonts w:ascii="Times New Roman" w:cs="Times New Roman" w:eastAsia="Times New Roman" w:hAnsi="Times New Roman"/>
          <w:sz w:val="18"/>
          <w:szCs w:val="18"/>
          <w:b w:val="1"/>
          <w:bCs w:val="1"/>
          <w:color w:val="auto"/>
        </w:rPr>
        <w:t>Genesco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Property and Equipment and Other Current Accrued Liabilities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238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February 1, 2025</w:t>
            </w:r>
          </w:p>
        </w:tc>
        <w:tc>
          <w:tcPr>
            <w:tcW w:w="40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February 3, 2024</w:t>
            </w:r>
          </w:p>
        </w:tc>
      </w:tr>
      <w:tr>
        <w:trPr>
          <w:trHeight w:val="210"/>
        </w:trPr>
        <w:tc>
          <w:tcPr>
            <w:tcW w:w="5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238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6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7,050</w:t>
            </w:r>
          </w:p>
        </w:tc>
        <w:tc>
          <w:tcPr>
            <w:tcW w:w="40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7,092</w:t>
            </w:r>
          </w:p>
        </w:tc>
      </w:tr>
      <w:tr>
        <w:trPr>
          <w:trHeight w:val="216"/>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Buildings and building equipment</w:t>
            </w:r>
          </w:p>
        </w:tc>
        <w:tc>
          <w:tcPr>
            <w:tcW w:w="2380" w:type="dxa"/>
            <w:vAlign w:val="bottom"/>
          </w:tcPr>
          <w:p>
            <w:pPr>
              <w:spacing w:after="0"/>
              <w:rPr>
                <w:sz w:val="18"/>
                <w:szCs w:val="18"/>
                <w:color w:val="auto"/>
              </w:rPr>
            </w:pPr>
          </w:p>
        </w:tc>
        <w:tc>
          <w:tcPr>
            <w:tcW w:w="16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74,390</w:t>
            </w:r>
          </w:p>
        </w:tc>
        <w:tc>
          <w:tcPr>
            <w:tcW w:w="400" w:type="dxa"/>
            <w:vAlign w:val="bottom"/>
          </w:tcPr>
          <w:p>
            <w:pPr>
              <w:spacing w:after="0"/>
              <w:rPr>
                <w:sz w:val="18"/>
                <w:szCs w:val="18"/>
                <w:color w:val="auto"/>
              </w:rPr>
            </w:pPr>
          </w:p>
        </w:tc>
        <w:tc>
          <w:tcPr>
            <w:tcW w:w="1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75,775</w:t>
            </w:r>
          </w:p>
        </w:tc>
      </w:tr>
      <w:tr>
        <w:trPr>
          <w:trHeight w:val="216"/>
        </w:trPr>
        <w:tc>
          <w:tcPr>
            <w:tcW w:w="5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Computer hardware and equipment</w:t>
            </w:r>
          </w:p>
        </w:tc>
        <w:tc>
          <w:tcPr>
            <w:tcW w:w="2380" w:type="dxa"/>
            <w:vAlign w:val="bottom"/>
            <w:shd w:val="clear" w:color="auto" w:fill="CFF0FC"/>
          </w:tcPr>
          <w:p>
            <w:pPr>
              <w:spacing w:after="0"/>
              <w:rPr>
                <w:sz w:val="18"/>
                <w:szCs w:val="18"/>
                <w:color w:val="auto"/>
              </w:rPr>
            </w:pPr>
          </w:p>
        </w:tc>
        <w:tc>
          <w:tcPr>
            <w:tcW w:w="16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102,694</w:t>
            </w:r>
          </w:p>
        </w:tc>
        <w:tc>
          <w:tcPr>
            <w:tcW w:w="400" w:type="dxa"/>
            <w:vAlign w:val="bottom"/>
            <w:shd w:val="clear" w:color="auto" w:fill="CFF0FC"/>
          </w:tcPr>
          <w:p>
            <w:pPr>
              <w:spacing w:after="0"/>
              <w:rPr>
                <w:sz w:val="18"/>
                <w:szCs w:val="18"/>
                <w:color w:val="auto"/>
              </w:rPr>
            </w:pPr>
          </w:p>
        </w:tc>
        <w:tc>
          <w:tcPr>
            <w:tcW w:w="16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103,834</w:t>
            </w:r>
          </w:p>
        </w:tc>
      </w:tr>
      <w:tr>
        <w:trPr>
          <w:trHeight w:val="216"/>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Computer software</w:t>
            </w:r>
          </w:p>
        </w:tc>
        <w:tc>
          <w:tcPr>
            <w:tcW w:w="2380" w:type="dxa"/>
            <w:vAlign w:val="bottom"/>
          </w:tcPr>
          <w:p>
            <w:pPr>
              <w:spacing w:after="0"/>
              <w:rPr>
                <w:sz w:val="18"/>
                <w:szCs w:val="18"/>
                <w:color w:val="auto"/>
              </w:rPr>
            </w:pPr>
          </w:p>
        </w:tc>
        <w:tc>
          <w:tcPr>
            <w:tcW w:w="16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107,141</w:t>
            </w:r>
          </w:p>
        </w:tc>
        <w:tc>
          <w:tcPr>
            <w:tcW w:w="400" w:type="dxa"/>
            <w:vAlign w:val="bottom"/>
          </w:tcPr>
          <w:p>
            <w:pPr>
              <w:spacing w:after="0"/>
              <w:rPr>
                <w:sz w:val="18"/>
                <w:szCs w:val="18"/>
                <w:color w:val="auto"/>
              </w:rPr>
            </w:pPr>
          </w:p>
        </w:tc>
        <w:tc>
          <w:tcPr>
            <w:tcW w:w="1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100,691</w:t>
            </w:r>
          </w:p>
        </w:tc>
      </w:tr>
      <w:tr>
        <w:trPr>
          <w:trHeight w:val="216"/>
        </w:trPr>
        <w:tc>
          <w:tcPr>
            <w:tcW w:w="5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2380" w:type="dxa"/>
            <w:vAlign w:val="bottom"/>
            <w:shd w:val="clear" w:color="auto" w:fill="CFF0FC"/>
          </w:tcPr>
          <w:p>
            <w:pPr>
              <w:spacing w:after="0"/>
              <w:rPr>
                <w:sz w:val="18"/>
                <w:szCs w:val="18"/>
                <w:color w:val="auto"/>
              </w:rPr>
            </w:pPr>
          </w:p>
        </w:tc>
        <w:tc>
          <w:tcPr>
            <w:tcW w:w="16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128,388</w:t>
            </w:r>
          </w:p>
        </w:tc>
        <w:tc>
          <w:tcPr>
            <w:tcW w:w="400" w:type="dxa"/>
            <w:vAlign w:val="bottom"/>
            <w:shd w:val="clear" w:color="auto" w:fill="CFF0FC"/>
          </w:tcPr>
          <w:p>
            <w:pPr>
              <w:spacing w:after="0"/>
              <w:rPr>
                <w:sz w:val="18"/>
                <w:szCs w:val="18"/>
                <w:color w:val="auto"/>
              </w:rPr>
            </w:pPr>
          </w:p>
        </w:tc>
        <w:tc>
          <w:tcPr>
            <w:tcW w:w="16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129,509</w:t>
            </w:r>
          </w:p>
        </w:tc>
      </w:tr>
      <w:tr>
        <w:trPr>
          <w:trHeight w:val="216"/>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2380" w:type="dxa"/>
            <w:vAlign w:val="bottom"/>
          </w:tcPr>
          <w:p>
            <w:pPr>
              <w:spacing w:after="0"/>
              <w:rPr>
                <w:sz w:val="18"/>
                <w:szCs w:val="18"/>
                <w:color w:val="auto"/>
              </w:rPr>
            </w:pPr>
          </w:p>
        </w:tc>
        <w:tc>
          <w:tcPr>
            <w:tcW w:w="16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10,362</w:t>
            </w:r>
          </w:p>
        </w:tc>
        <w:tc>
          <w:tcPr>
            <w:tcW w:w="400" w:type="dxa"/>
            <w:vAlign w:val="bottom"/>
          </w:tcPr>
          <w:p>
            <w:pPr>
              <w:spacing w:after="0"/>
              <w:rPr>
                <w:sz w:val="18"/>
                <w:szCs w:val="18"/>
                <w:color w:val="auto"/>
              </w:rPr>
            </w:pPr>
          </w:p>
        </w:tc>
        <w:tc>
          <w:tcPr>
            <w:tcW w:w="1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4,613</w:t>
            </w:r>
          </w:p>
        </w:tc>
      </w:tr>
      <w:tr>
        <w:trPr>
          <w:trHeight w:val="216"/>
        </w:trPr>
        <w:tc>
          <w:tcPr>
            <w:tcW w:w="516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Improvements to leased property</w:t>
            </w:r>
          </w:p>
        </w:tc>
        <w:tc>
          <w:tcPr>
            <w:tcW w:w="2380" w:type="dxa"/>
            <w:vAlign w:val="bottom"/>
            <w:tcBorders>
              <w:bottom w:val="single" w:sz="8" w:color="auto"/>
            </w:tcBorders>
            <w:shd w:val="clear" w:color="auto" w:fill="CFF0FC"/>
          </w:tcPr>
          <w:p>
            <w:pPr>
              <w:spacing w:after="0"/>
              <w:rPr>
                <w:sz w:val="18"/>
                <w:szCs w:val="18"/>
                <w:color w:val="auto"/>
              </w:rPr>
            </w:pPr>
          </w:p>
        </w:tc>
        <w:tc>
          <w:tcPr>
            <w:tcW w:w="166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345,370</w:t>
            </w:r>
          </w:p>
        </w:tc>
        <w:tc>
          <w:tcPr>
            <w:tcW w:w="400" w:type="dxa"/>
            <w:vAlign w:val="bottom"/>
            <w:tcBorders>
              <w:bottom w:val="single" w:sz="8" w:color="auto"/>
            </w:tcBorders>
            <w:shd w:val="clear" w:color="auto" w:fill="CFF0FC"/>
          </w:tcPr>
          <w:p>
            <w:pPr>
              <w:spacing w:after="0"/>
              <w:rPr>
                <w:sz w:val="18"/>
                <w:szCs w:val="18"/>
                <w:color w:val="auto"/>
              </w:rPr>
            </w:pPr>
          </w:p>
        </w:tc>
        <w:tc>
          <w:tcPr>
            <w:tcW w:w="16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346,827</w:t>
            </w:r>
          </w:p>
        </w:tc>
      </w:tr>
      <w:tr>
        <w:trPr>
          <w:trHeight w:val="209"/>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at cost</w:t>
            </w:r>
          </w:p>
        </w:tc>
        <w:tc>
          <w:tcPr>
            <w:tcW w:w="2380" w:type="dxa"/>
            <w:vAlign w:val="bottom"/>
          </w:tcPr>
          <w:p>
            <w:pPr>
              <w:spacing w:after="0"/>
              <w:rPr>
                <w:sz w:val="18"/>
                <w:szCs w:val="18"/>
                <w:color w:val="auto"/>
              </w:rPr>
            </w:pPr>
          </w:p>
        </w:tc>
        <w:tc>
          <w:tcPr>
            <w:tcW w:w="16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775,395</w:t>
            </w:r>
          </w:p>
        </w:tc>
        <w:tc>
          <w:tcPr>
            <w:tcW w:w="400" w:type="dxa"/>
            <w:vAlign w:val="bottom"/>
          </w:tcPr>
          <w:p>
            <w:pPr>
              <w:spacing w:after="0"/>
              <w:rPr>
                <w:sz w:val="18"/>
                <w:szCs w:val="18"/>
                <w:color w:val="auto"/>
              </w:rPr>
            </w:pPr>
          </w:p>
        </w:tc>
        <w:tc>
          <w:tcPr>
            <w:tcW w:w="1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768,341</w:t>
            </w:r>
          </w:p>
        </w:tc>
      </w:tr>
      <w:tr>
        <w:trPr>
          <w:trHeight w:val="216"/>
        </w:trPr>
        <w:tc>
          <w:tcPr>
            <w:tcW w:w="516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Accumulated depreciation</w:t>
            </w:r>
          </w:p>
        </w:tc>
        <w:tc>
          <w:tcPr>
            <w:tcW w:w="2380" w:type="dxa"/>
            <w:vAlign w:val="bottom"/>
            <w:tcBorders>
              <w:bottom w:val="single" w:sz="8" w:color="auto"/>
            </w:tcBorders>
            <w:shd w:val="clear" w:color="auto" w:fill="CFF0FC"/>
          </w:tcPr>
          <w:p>
            <w:pPr>
              <w:spacing w:after="0"/>
              <w:rPr>
                <w:sz w:val="18"/>
                <w:szCs w:val="18"/>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(547,373 )</w:t>
            </w:r>
          </w:p>
        </w:tc>
        <w:tc>
          <w:tcPr>
            <w:tcW w:w="400" w:type="dxa"/>
            <w:vAlign w:val="bottom"/>
            <w:tcBorders>
              <w:bottom w:val="single" w:sz="8" w:color="auto"/>
            </w:tcBorders>
            <w:shd w:val="clear" w:color="auto" w:fill="CFF0FC"/>
          </w:tcPr>
          <w:p>
            <w:pPr>
              <w:spacing w:after="0"/>
              <w:rPr>
                <w:sz w:val="18"/>
                <w:szCs w:val="18"/>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(528,075 )</w:t>
            </w:r>
          </w:p>
        </w:tc>
      </w:tr>
      <w:tr>
        <w:trPr>
          <w:trHeight w:val="210"/>
        </w:trPr>
        <w:tc>
          <w:tcPr>
            <w:tcW w:w="5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Property and Equipment, net</w:t>
            </w:r>
          </w:p>
        </w:tc>
        <w:tc>
          <w:tcPr>
            <w:tcW w:w="23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6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228,022</w:t>
            </w: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240,266</w:t>
            </w:r>
          </w:p>
        </w:tc>
      </w:tr>
      <w:tr>
        <w:trPr>
          <w:trHeight w:val="20"/>
        </w:trPr>
        <w:tc>
          <w:tcPr>
            <w:tcW w:w="5160" w:type="dxa"/>
            <w:vAlign w:val="bottom"/>
            <w:tcBorders>
              <w:bottom w:val="single" w:sz="8" w:color="auto"/>
            </w:tcBorders>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r>
        <w:trPr>
          <w:trHeight w:val="588"/>
        </w:trPr>
        <w:tc>
          <w:tcPr>
            <w:tcW w:w="5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238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February 1, 2025</w:t>
            </w:r>
          </w:p>
        </w:tc>
        <w:tc>
          <w:tcPr>
            <w:tcW w:w="40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February 3, 2024</w:t>
            </w:r>
          </w:p>
        </w:tc>
      </w:tr>
      <w:tr>
        <w:trPr>
          <w:trHeight w:val="209"/>
        </w:trPr>
        <w:tc>
          <w:tcPr>
            <w:tcW w:w="5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employee compensation</w:t>
            </w:r>
          </w:p>
        </w:tc>
        <w:tc>
          <w:tcPr>
            <w:tcW w:w="238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6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28,081</w:t>
            </w:r>
          </w:p>
        </w:tc>
        <w:tc>
          <w:tcPr>
            <w:tcW w:w="40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19,906</w:t>
            </w:r>
          </w:p>
        </w:tc>
      </w:tr>
      <w:tr>
        <w:trPr>
          <w:trHeight w:val="216"/>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other taxes</w:t>
            </w:r>
          </w:p>
        </w:tc>
        <w:tc>
          <w:tcPr>
            <w:tcW w:w="2380" w:type="dxa"/>
            <w:vAlign w:val="bottom"/>
          </w:tcPr>
          <w:p>
            <w:pPr>
              <w:spacing w:after="0"/>
              <w:rPr>
                <w:sz w:val="18"/>
                <w:szCs w:val="18"/>
                <w:color w:val="auto"/>
              </w:rPr>
            </w:pPr>
          </w:p>
        </w:tc>
        <w:tc>
          <w:tcPr>
            <w:tcW w:w="16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10,061</w:t>
            </w:r>
          </w:p>
        </w:tc>
        <w:tc>
          <w:tcPr>
            <w:tcW w:w="400" w:type="dxa"/>
            <w:vAlign w:val="bottom"/>
          </w:tcPr>
          <w:p>
            <w:pPr>
              <w:spacing w:after="0"/>
              <w:rPr>
                <w:sz w:val="18"/>
                <w:szCs w:val="18"/>
                <w:color w:val="auto"/>
              </w:rPr>
            </w:pPr>
          </w:p>
        </w:tc>
        <w:tc>
          <w:tcPr>
            <w:tcW w:w="1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9,050</w:t>
            </w:r>
          </w:p>
        </w:tc>
      </w:tr>
      <w:tr>
        <w:trPr>
          <w:trHeight w:val="216"/>
        </w:trPr>
        <w:tc>
          <w:tcPr>
            <w:tcW w:w="5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income taxes</w:t>
            </w:r>
          </w:p>
        </w:tc>
        <w:tc>
          <w:tcPr>
            <w:tcW w:w="2380" w:type="dxa"/>
            <w:vAlign w:val="bottom"/>
            <w:shd w:val="clear" w:color="auto" w:fill="CFF0FC"/>
          </w:tcPr>
          <w:p>
            <w:pPr>
              <w:spacing w:after="0"/>
              <w:rPr>
                <w:sz w:val="18"/>
                <w:szCs w:val="18"/>
                <w:color w:val="auto"/>
              </w:rPr>
            </w:pPr>
          </w:p>
        </w:tc>
        <w:tc>
          <w:tcPr>
            <w:tcW w:w="166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1,287</w:t>
            </w:r>
          </w:p>
        </w:tc>
        <w:tc>
          <w:tcPr>
            <w:tcW w:w="400" w:type="dxa"/>
            <w:vAlign w:val="bottom"/>
            <w:shd w:val="clear" w:color="auto" w:fill="CFF0FC"/>
          </w:tcPr>
          <w:p>
            <w:pPr>
              <w:spacing w:after="0"/>
              <w:rPr>
                <w:sz w:val="18"/>
                <w:szCs w:val="18"/>
                <w:color w:val="auto"/>
              </w:rPr>
            </w:pPr>
          </w:p>
        </w:tc>
        <w:tc>
          <w:tcPr>
            <w:tcW w:w="16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1,242</w:t>
            </w:r>
          </w:p>
        </w:tc>
      </w:tr>
      <w:tr>
        <w:trPr>
          <w:trHeight w:val="216"/>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discontinued operations</w:t>
            </w:r>
          </w:p>
        </w:tc>
        <w:tc>
          <w:tcPr>
            <w:tcW w:w="2380" w:type="dxa"/>
            <w:vAlign w:val="bottom"/>
          </w:tcPr>
          <w:p>
            <w:pPr>
              <w:spacing w:after="0"/>
              <w:rPr>
                <w:sz w:val="18"/>
                <w:szCs w:val="18"/>
                <w:color w:val="auto"/>
              </w:rPr>
            </w:pPr>
          </w:p>
        </w:tc>
        <w:tc>
          <w:tcPr>
            <w:tcW w:w="16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595</w:t>
            </w:r>
          </w:p>
        </w:tc>
        <w:tc>
          <w:tcPr>
            <w:tcW w:w="400" w:type="dxa"/>
            <w:vAlign w:val="bottom"/>
          </w:tcPr>
          <w:p>
            <w:pPr>
              <w:spacing w:after="0"/>
              <w:rPr>
                <w:sz w:val="18"/>
                <w:szCs w:val="18"/>
                <w:color w:val="auto"/>
              </w:rPr>
            </w:pPr>
          </w:p>
        </w:tc>
        <w:tc>
          <w:tcPr>
            <w:tcW w:w="1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549</w:t>
            </w:r>
          </w:p>
        </w:tc>
      </w:tr>
      <w:tr>
        <w:trPr>
          <w:trHeight w:val="216"/>
        </w:trPr>
        <w:tc>
          <w:tcPr>
            <w:tcW w:w="516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2380" w:type="dxa"/>
            <w:vAlign w:val="bottom"/>
            <w:tcBorders>
              <w:bottom w:val="single" w:sz="8" w:color="auto"/>
            </w:tcBorders>
            <w:shd w:val="clear" w:color="auto" w:fill="CFF0FC"/>
          </w:tcPr>
          <w:p>
            <w:pPr>
              <w:spacing w:after="0"/>
              <w:rPr>
                <w:sz w:val="18"/>
                <w:szCs w:val="18"/>
                <w:color w:val="auto"/>
              </w:rPr>
            </w:pPr>
          </w:p>
        </w:tc>
        <w:tc>
          <w:tcPr>
            <w:tcW w:w="166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47,671</w:t>
            </w:r>
          </w:p>
        </w:tc>
        <w:tc>
          <w:tcPr>
            <w:tcW w:w="400" w:type="dxa"/>
            <w:vAlign w:val="bottom"/>
            <w:tcBorders>
              <w:bottom w:val="single" w:sz="8" w:color="auto"/>
            </w:tcBorders>
            <w:shd w:val="clear" w:color="auto" w:fill="CFF0FC"/>
          </w:tcPr>
          <w:p>
            <w:pPr>
              <w:spacing w:after="0"/>
              <w:rPr>
                <w:sz w:val="18"/>
                <w:szCs w:val="18"/>
                <w:color w:val="auto"/>
              </w:rPr>
            </w:pPr>
          </w:p>
        </w:tc>
        <w:tc>
          <w:tcPr>
            <w:tcW w:w="16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44,980</w:t>
            </w:r>
          </w:p>
        </w:tc>
      </w:tr>
      <w:tr>
        <w:trPr>
          <w:trHeight w:val="210"/>
        </w:trPr>
        <w:tc>
          <w:tcPr>
            <w:tcW w:w="5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Other Current Accrued Liabilities</w:t>
            </w:r>
          </w:p>
        </w:tc>
        <w:tc>
          <w:tcPr>
            <w:tcW w:w="23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6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87,695</w:t>
            </w: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75,727</w:t>
            </w:r>
          </w:p>
        </w:tc>
      </w:tr>
      <w:tr>
        <w:trPr>
          <w:trHeight w:val="20"/>
        </w:trPr>
        <w:tc>
          <w:tcPr>
            <w:tcW w:w="5160" w:type="dxa"/>
            <w:vAlign w:val="bottom"/>
            <w:tcBorders>
              <w:bottom w:val="single" w:sz="8" w:color="auto"/>
            </w:tcBorders>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Fair Value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carrying amounts and fair values of our financial instruments at February 1, 2025 and February 3, 2024 are: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220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February 1, 2025</w:t>
            </w:r>
          </w:p>
        </w:tc>
        <w:tc>
          <w:tcPr>
            <w:tcW w:w="108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February 3, 2024</w:t>
            </w:r>
          </w:p>
        </w:tc>
        <w:tc>
          <w:tcPr>
            <w:tcW w:w="700" w:type="dxa"/>
            <w:vAlign w:val="bottom"/>
            <w:tcBorders>
              <w:bottom w:val="single" w:sz="8" w:color="auto"/>
            </w:tcBorders>
          </w:tcPr>
          <w:p>
            <w:pPr>
              <w:spacing w:after="0"/>
              <w:rPr>
                <w:sz w:val="20"/>
                <w:szCs w:val="20"/>
                <w:color w:val="auto"/>
              </w:rPr>
            </w:pPr>
          </w:p>
        </w:tc>
      </w:tr>
      <w:tr>
        <w:trPr>
          <w:trHeight w:val="187"/>
        </w:trPr>
        <w:tc>
          <w:tcPr>
            <w:tcW w:w="386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1740" w:type="dxa"/>
            <w:vAlign w:val="bottom"/>
          </w:tcPr>
          <w:p>
            <w:pPr>
              <w:jc w:val="right"/>
              <w:ind w:right="770"/>
              <w:spacing w:after="0" w:line="188" w:lineRule="exact"/>
              <w:rPr>
                <w:sz w:val="20"/>
                <w:szCs w:val="20"/>
                <w:color w:val="auto"/>
              </w:rPr>
            </w:pPr>
            <w:r>
              <w:rPr>
                <w:rFonts w:ascii="Times New Roman" w:cs="Times New Roman" w:eastAsia="Times New Roman" w:hAnsi="Times New Roman"/>
                <w:sz w:val="18"/>
                <w:szCs w:val="18"/>
                <w:b w:val="1"/>
                <w:bCs w:val="1"/>
                <w:color w:val="auto"/>
              </w:rPr>
              <w:t>Carrying</w:t>
            </w:r>
          </w:p>
        </w:tc>
        <w:tc>
          <w:tcPr>
            <w:tcW w:w="1080" w:type="dxa"/>
            <w:vAlign w:val="bottom"/>
          </w:tcPr>
          <w:p>
            <w:pPr>
              <w:jc w:val="right"/>
              <w:ind w:right="470"/>
              <w:spacing w:after="0" w:line="188" w:lineRule="exact"/>
              <w:rPr>
                <w:sz w:val="20"/>
                <w:szCs w:val="20"/>
                <w:color w:val="auto"/>
              </w:rPr>
            </w:pPr>
            <w:r>
              <w:rPr>
                <w:rFonts w:ascii="Times New Roman" w:cs="Times New Roman" w:eastAsia="Times New Roman" w:hAnsi="Times New Roman"/>
                <w:sz w:val="18"/>
                <w:szCs w:val="18"/>
                <w:b w:val="1"/>
                <w:bCs w:val="1"/>
                <w:color w:val="auto"/>
              </w:rPr>
              <w:t>Fair</w:t>
            </w:r>
          </w:p>
        </w:tc>
        <w:tc>
          <w:tcPr>
            <w:tcW w:w="960" w:type="dxa"/>
            <w:vAlign w:val="bottom"/>
          </w:tcPr>
          <w:p>
            <w:pPr>
              <w:jc w:val="right"/>
              <w:ind w:right="30"/>
              <w:spacing w:after="0" w:line="188" w:lineRule="exact"/>
              <w:rPr>
                <w:sz w:val="20"/>
                <w:szCs w:val="20"/>
                <w:color w:val="auto"/>
              </w:rPr>
            </w:pPr>
            <w:r>
              <w:rPr>
                <w:rFonts w:ascii="Times New Roman" w:cs="Times New Roman" w:eastAsia="Times New Roman" w:hAnsi="Times New Roman"/>
                <w:sz w:val="18"/>
                <w:szCs w:val="18"/>
                <w:color w:val="auto"/>
              </w:rPr>
              <w:t>Carrying</w:t>
            </w:r>
          </w:p>
        </w:tc>
        <w:tc>
          <w:tcPr>
            <w:tcW w:w="700" w:type="dxa"/>
            <w:vAlign w:val="bottom"/>
          </w:tcPr>
          <w:p>
            <w:pPr>
              <w:spacing w:after="0"/>
              <w:rPr>
                <w:sz w:val="16"/>
                <w:szCs w:val="16"/>
                <w:color w:val="auto"/>
              </w:rPr>
            </w:pPr>
          </w:p>
        </w:tc>
        <w:tc>
          <w:tcPr>
            <w:tcW w:w="700" w:type="dxa"/>
            <w:vAlign w:val="bottom"/>
          </w:tcPr>
          <w:p>
            <w:pPr>
              <w:jc w:val="right"/>
              <w:ind w:right="50"/>
              <w:spacing w:after="0" w:line="188" w:lineRule="exact"/>
              <w:rPr>
                <w:sz w:val="20"/>
                <w:szCs w:val="20"/>
                <w:color w:val="auto"/>
              </w:rPr>
            </w:pPr>
            <w:r>
              <w:rPr>
                <w:rFonts w:ascii="Times New Roman" w:cs="Times New Roman" w:eastAsia="Times New Roman" w:hAnsi="Times New Roman"/>
                <w:sz w:val="18"/>
                <w:szCs w:val="18"/>
                <w:color w:val="auto"/>
              </w:rPr>
              <w:t>Fair</w:t>
            </w:r>
          </w:p>
        </w:tc>
      </w:tr>
      <w:tr>
        <w:trPr>
          <w:trHeight w:val="238"/>
        </w:trPr>
        <w:tc>
          <w:tcPr>
            <w:tcW w:w="386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9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Amount</w:t>
            </w:r>
          </w:p>
        </w:tc>
        <w:tc>
          <w:tcPr>
            <w:tcW w:w="7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Value</w:t>
            </w:r>
          </w:p>
        </w:tc>
      </w:tr>
      <w:tr>
        <w:trPr>
          <w:trHeight w:val="250"/>
        </w:trPr>
        <w:tc>
          <w:tcPr>
            <w:tcW w:w="386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U.S. revolver borrowings</w:t>
            </w:r>
          </w:p>
        </w:tc>
        <w:tc>
          <w:tcPr>
            <w:tcW w:w="220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740" w:type="dxa"/>
            <w:vAlign w:val="bottom"/>
            <w:tcBorders>
              <w:bottom w:val="single" w:sz="8" w:color="auto"/>
            </w:tcBorders>
            <w:shd w:val="clear" w:color="auto" w:fill="CFF0FC"/>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   $</w:t>
            </w:r>
          </w:p>
        </w:tc>
        <w:tc>
          <w:tcPr>
            <w:tcW w:w="108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34,682</w:t>
            </w:r>
          </w:p>
        </w:tc>
        <w:tc>
          <w:tcPr>
            <w:tcW w:w="700" w:type="dxa"/>
            <w:vAlign w:val="bottom"/>
            <w:tcBorders>
              <w:bottom w:val="single" w:sz="8" w:color="auto"/>
            </w:tcBorders>
            <w:shd w:val="clear" w:color="auto" w:fill="CFF0FC"/>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34,638</w:t>
            </w:r>
          </w:p>
        </w:tc>
      </w:tr>
    </w:tbl>
    <w:p>
      <w:pPr>
        <w:spacing w:after="0" w:line="1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Debt fair values were determined using a discount cash flow analysis based on current market interest rates for similar types of financial instruments and would be classified in Level 2 within the fair value hierarchy.</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Carrying amounts reported on our Consolidated Balance Sheets for cash, receivables and accounts payable approximate fair value due to the short-term maturity of these instruments.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February 1, 2025, we have $9.9 million of long-lived assets held and used which were measured using Level 3 inputs within the fair value hierarchy.</w:t>
      </w:r>
    </w:p>
    <w:p>
      <w:pPr>
        <w:spacing w:after="0" w:line="198"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As of February 1, 2025, we have $6.7 million of investments held and used which were measured using Level 1 inputs within the fair value hierarchy.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62" w:name="page63"/>
    <w:bookmarkEnd w:id="62"/>
    <w:p>
      <w:pPr>
        <w:jc w:val="center"/>
        <w:spacing w:after="0"/>
        <w:rPr>
          <w:sz w:val="20"/>
          <w:szCs w:val="20"/>
          <w:color w:val="auto"/>
        </w:rPr>
      </w:pPr>
      <w:r>
        <w:rPr>
          <w:rFonts w:ascii="Times New Roman" w:cs="Times New Roman" w:eastAsia="Times New Roman" w:hAnsi="Times New Roman"/>
          <w:sz w:val="18"/>
          <w:szCs w:val="18"/>
          <w:b w:val="1"/>
          <w:bCs w:val="1"/>
          <w:color w:val="auto"/>
        </w:rPr>
        <w:t>Genesco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Long-Term Debt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Facility</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On January 28, 2022, we entered into the Third Amendment to our Credit Facility </w:t>
      </w:r>
      <w:r>
        <w:rPr>
          <w:rFonts w:ascii="Times New Roman" w:cs="Times New Roman" w:eastAsia="Times New Roman" w:hAnsi="Times New Roman"/>
          <w:sz w:val="18"/>
          <w:szCs w:val="18"/>
          <w:color w:val="222222"/>
        </w:rPr>
        <w:t>dated as of January 31, 2018 between us, certain of our subsidiaries,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22222"/>
        </w:rPr>
        <w:t xml:space="preserve">lenders party thereto and Bank of America, N.A. as agent, to, </w:t>
      </w:r>
      <w:r>
        <w:rPr>
          <w:rFonts w:ascii="Times New Roman" w:cs="Times New Roman" w:eastAsia="Times New Roman" w:hAnsi="Times New Roman"/>
          <w:sz w:val="18"/>
          <w:szCs w:val="18"/>
          <w:color w:val="000000"/>
        </w:rPr>
        <w:t>among other things, (i) extend the maturity date to January 28, 2027, (ii) remove the first in-last out term loan that was in an amount equal to $17.5 million and (iii) add certain in-transit inventory to the borrowing base, subject to customary eligibility requirements. In addition, the Third Amendment makes conforming changes to replace LIBOR with the Secured Overnight Financing Rate ("SOFR"), the Sterling Overnight Index Average ("SONIA") and EURIBOR. The Total Commitments (as defined in the Credit Agreement) for the revolving loans remains at $332.5 million.</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Credit Facility continues to be secured by certain assets of the Company and certain subsidiaries of the Company, including accounts receivable, inventory, payment intangibles and deposit accounts. Equity interests, certain equipment, intellectual property and most leasehold interests are specifically excluded. The Credit Facility continues to provide for the borrowing base to include real estate as those assets are added or maintained as collateral and contains customary real estate covenants. As of February 1, 2025, we do not have any outstanding long-term debt.</w:t>
      </w:r>
    </w:p>
    <w:p>
      <w:pPr>
        <w:spacing w:after="0" w:line="13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Deferred financing costs incurred in Fiscal 2022 of $1.2 million related to the amended Credit Facility were capitalized and are being amortized over the term of the new agreement. The remaining balance of deferred financing costs incurred related to the previous Credit Facility are being amortized over the term of the new agreement. These costs are included in other non-current assets on the Consolidated Balance Sheets.</w:t>
      </w:r>
    </w:p>
    <w:p>
      <w:pPr>
        <w:spacing w:after="0" w:line="13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Credit Facility is a revolving credit facility in the aggregate principal amount of $332.5 million, including (i) for the Company and other borrowers formed in the U.S., a $70.0 million sublimit for the issuance of letters of credit and a domestic swingline subfacility of up to $45.0 million, (ii) for GCO Canada ULC, a revolving credit subfacility in an amount not to exceed $70.0 million, which includes a $5.0 million sublimit for the issuance of letters of credit and a swingline subfacility of up to $5.0 million, and (iii) for Genesco (UK) Limited, a revolving credit subfacility in an aggregate amount not to exceed $100.0 million, which includes a $10.0 million sublimit for the issuance of letters of credit and a swingline subfacility of up to $10.0 million. Any swingline loans and any letters of credit and borrowings under the Canadian and U.K. subfacilities will reduce the availability under the Credit Facility on a dollar for dollar basis. We have the option, from time to time, to increase the availability under the Credit Facility by an aggregate amount of up to $200.0 million subject to, among other things, the receipt of commitments for the increased amount. In connection with this increased facility, the Canadian revolving credit subfacility may be increased by no more than $15.0 million and the UK revolving credit subfacility may be increased by no more than $100.0 million. The aggregate amount of the loans made and letters of credit issued under the Credit Facility are limited to the lesser of the facility amount ($332.5 million or, if increased as described above, up to $532.5 million) or the "Borrowing Base", as defined in the Credit Agreement.</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required to pay a commitment fee on the actual daily unused portions of the Credit Facility at a rate of 0.20% per annum.</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63" w:name="page64"/>
    <w:bookmarkEnd w:id="63"/>
    <w:p>
      <w:pPr>
        <w:jc w:val="center"/>
        <w:spacing w:after="0"/>
        <w:rPr>
          <w:sz w:val="20"/>
          <w:szCs w:val="20"/>
          <w:color w:val="auto"/>
        </w:rPr>
      </w:pPr>
      <w:r>
        <w:rPr>
          <w:rFonts w:ascii="Times New Roman" w:cs="Times New Roman" w:eastAsia="Times New Roman" w:hAnsi="Times New Roman"/>
          <w:sz w:val="18"/>
          <w:szCs w:val="18"/>
          <w:b w:val="1"/>
          <w:bCs w:val="1"/>
          <w:color w:val="auto"/>
        </w:rPr>
        <w:t>Genesco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Long-Term Debt, Continued</w:t>
      </w:r>
    </w:p>
    <w:p>
      <w:pPr>
        <w:spacing w:after="0" w:line="20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Credit Facility also permits us to incur senior debt in an amount up to the greater of $500.0 million or an amount that would not cause our ratio of consolidated total indebtedness to consolidated EBITDA to exceed 5.0:1.0 provided that certain terms and conditions are met.</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the Credit Facility contains certain covenants that, among other things, restrict additional indebtedness, liens and encumbrances, loans and investments, acquisitions, dividends and other restricted payments, transactions with affiliates, asset dispositions, mergers and consolidations, prepayments or material amendments to certain material documents and other matters customarily restricted in such agreements.</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Credit Facility does not require us to comply with any financial covenants unless Excess Availability, as defined in the Credit Agreement, is less than the greater of $22.5 million or 10% of the loan cap. If and during such time as Excess Availability is less than the greater of $22.5 million or 10% of the loan cap, the Credit Facility requires us to have a fixed charge coverage ratio of not less than 1.0:1.0. Excess Availability was $281.1 million at February 1, 2025.</w:t>
      </w:r>
    </w:p>
    <w:p>
      <w:pPr>
        <w:spacing w:after="0" w:line="15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Credit Facility contains customary events of default, which if any of them occurs, would permit or require the principal of and interest on the Credit Facility to be declared due and payable as applicable.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were in compliance with all the relevant terms and conditions of the Credit Facility as of February 1, 2025.</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U.K. Facility Agreement</w:t>
      </w:r>
    </w:p>
    <w:p>
      <w:pPr>
        <w:spacing w:after="0" w:line="20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November 2, 2022, Schuh entered into the Facility Agreement with Lloyds for a £19.0 million revolving credit facility. The Facility Agreement expires November 2, 2025, with options to request two one-year extensions to this termination date subject to lender approval, and bears interest at 2.35% over the Bank of England Base Rate. This Facility Agreement replaced Schuh's Facility Letter that would have expired in October 2023. The Facility Agreement includes certain financial covenants specific to Schuh. Following certain customary events of default outlined in the Facility Agreement, payment of outstanding amounts due may be accelerated or the commitments may be terminated. The Facility Agreement is secured by charges over all of the assets of Schuh, and Schuh's subsidiary, Schuh (ROI) Limited. Pursuant to a Guarantee in favor of Lloyds in its capacity as security trustee, Genesco Inc. has guaranteed the obligations of Schuh under the Facility Agreement and certain existing ancillary facilities on an unsecured basis.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were in compliance with all the relevant terms and conditions of the Facility Agreement as of February 1, 2025.</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were no revolver borrowings outstanding under the Credit Facility at February 1, 2025. We had outstanding letters of credit of $5.9 million under the Credit Facility at February 1, 2025. These letters of credit support lease and insurance indemnifications.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64" w:name="page65"/>
    <w:bookmarkEnd w:id="64"/>
    <w:p>
      <w:pPr>
        <w:jc w:val="center"/>
        <w:spacing w:after="0"/>
        <w:rPr>
          <w:sz w:val="20"/>
          <w:szCs w:val="20"/>
          <w:color w:val="auto"/>
        </w:rPr>
      </w:pPr>
      <w:r>
        <w:rPr>
          <w:rFonts w:ascii="Times New Roman" w:cs="Times New Roman" w:eastAsia="Times New Roman" w:hAnsi="Times New Roman"/>
          <w:sz w:val="18"/>
          <w:szCs w:val="18"/>
          <w:b w:val="1"/>
          <w:bCs w:val="1"/>
          <w:color w:val="auto"/>
        </w:rPr>
        <w:t>Genesco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Leases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lease our office space and all of our retail store locations, transportation equipment and other equipment under various noncancelable operating leases. The leases have varying terms and expire at various dates through 2037. The store leases in the United States, Puerto Rico and Canada typically have initial terms of approximately 10 years. The store leases in the U.K. and the ROI typically have initial terms of between 10 and 15 years. Our lease portfolio includes leases with fixed base rental payments, rental payments based on a percentage of retail sales over contractual amounts and others with predetermined fixed escalations of the minimum rentals based on a defined consumer price index or percentage. Generally, most of the leases require us to pay taxes, insurance, maintenance costs and contingent rentals based on sales. Our lease agreements do not contain any material residual value guarantees or material restrictive covenants.</w:t>
      </w:r>
    </w:p>
    <w:p>
      <w:pPr>
        <w:spacing w:after="0" w:line="14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Under ASC 842, for store, office and equipment leases beginning in Fiscal 2020 and later, we have elected to not separate fixed lease components and non-lease components. Accordingly, we include fixed rental payments, common area maintenance costs, promotional advertising costs and other fixed costs in our measurement of lease liabilities.</w:t>
      </w:r>
    </w:p>
    <w:p>
      <w:pPr>
        <w:spacing w:after="0" w:line="14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leases do not provide an implicit rate, so the incremental borrowing rate, based on the information available at commencement or modification date, is used in determining the present value of lease payments. The incremental borrowing rate represents an estimate of the interest rate we would incur at lease commencement to borrow an amount equal to the lease payments on a collateralized basis over the term of a lease within a particular currency environment. For operating leases that commenced prior to the date of adoption of the new lease accounting guidance, we used the incremental borrowing rate that corresponded to the initial lease term as of the date of adoption.</w:t>
      </w:r>
    </w:p>
    <w:p>
      <w:pPr>
        <w:spacing w:after="0" w:line="14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lease costs are included within selling and administrative expenses on the Consolidated Statements of Operations. The table below presents the components of lease cost for operating leases for the years ended February 1, 2025, February 3, 2024 and January 28, 2023.</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35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Fiscal 2025</w:t>
            </w: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Fiscal 2024</w:t>
            </w: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Fiscal 2023</w:t>
            </w:r>
          </w:p>
        </w:tc>
      </w:tr>
      <w:tr>
        <w:trPr>
          <w:trHeight w:val="209"/>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35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157,322</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164,355</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166,617</w:t>
            </w:r>
          </w:p>
        </w:tc>
      </w:tr>
      <w:tr>
        <w:trPr>
          <w:trHeight w:val="216"/>
        </w:trPr>
        <w:tc>
          <w:tcPr>
            <w:tcW w:w="3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Variable lease cost</w:t>
            </w:r>
          </w:p>
        </w:tc>
        <w:tc>
          <w:tcPr>
            <w:tcW w:w="350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11,702</w:t>
            </w:r>
          </w:p>
        </w:tc>
        <w:tc>
          <w:tcPr>
            <w:tcW w:w="32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14,582</w:t>
            </w:r>
          </w:p>
        </w:tc>
        <w:tc>
          <w:tcPr>
            <w:tcW w:w="34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16,966</w:t>
            </w:r>
          </w:p>
        </w:tc>
      </w:tr>
      <w:tr>
        <w:trPr>
          <w:trHeight w:val="216"/>
        </w:trPr>
        <w:tc>
          <w:tcPr>
            <w:tcW w:w="3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Less: Sublease income</w:t>
            </w:r>
          </w:p>
        </w:tc>
        <w:tc>
          <w:tcPr>
            <w:tcW w:w="35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(17 )</w:t>
            </w: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(173 )</w:t>
            </w: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(314 )</w:t>
            </w:r>
          </w:p>
        </w:tc>
      </w:tr>
      <w:tr>
        <w:trPr>
          <w:trHeight w:val="210"/>
        </w:trPr>
        <w:tc>
          <w:tcPr>
            <w:tcW w:w="362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Lease Cost</w:t>
            </w:r>
          </w:p>
        </w:tc>
        <w:tc>
          <w:tcPr>
            <w:tcW w:w="35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169,007</w:t>
            </w: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178,764</w:t>
            </w:r>
          </w:p>
        </w:tc>
        <w:tc>
          <w:tcPr>
            <w:tcW w:w="34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183,269</w:t>
            </w:r>
          </w:p>
        </w:tc>
      </w:tr>
      <w:tr>
        <w:trPr>
          <w:trHeight w:val="642"/>
        </w:trPr>
        <w:tc>
          <w:tcPr>
            <w:tcW w:w="3620" w:type="dxa"/>
            <w:vAlign w:val="bottom"/>
          </w:tcPr>
          <w:p>
            <w:pPr>
              <w:spacing w:after="0"/>
              <w:rPr>
                <w:sz w:val="24"/>
                <w:szCs w:val="24"/>
                <w:color w:val="auto"/>
              </w:rPr>
            </w:pPr>
          </w:p>
        </w:tc>
        <w:tc>
          <w:tcPr>
            <w:tcW w:w="3500" w:type="dxa"/>
            <w:vAlign w:val="bottom"/>
          </w:tcPr>
          <w:p>
            <w:pPr>
              <w:jc w:val="right"/>
              <w:ind w:right="1310"/>
              <w:spacing w:after="0"/>
              <w:rPr>
                <w:sz w:val="20"/>
                <w:szCs w:val="20"/>
                <w:color w:val="auto"/>
              </w:rPr>
            </w:pPr>
            <w:r>
              <w:rPr>
                <w:rFonts w:ascii="Times New Roman" w:cs="Times New Roman" w:eastAsia="Times New Roman" w:hAnsi="Times New Roman"/>
                <w:sz w:val="18"/>
                <w:szCs w:val="18"/>
                <w:color w:val="auto"/>
              </w:rPr>
              <w:t>65</w:t>
            </w:r>
          </w:p>
        </w:tc>
        <w:tc>
          <w:tcPr>
            <w:tcW w:w="1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763"/>
        </w:trPr>
        <w:tc>
          <w:tcPr>
            <w:tcW w:w="3620" w:type="dxa"/>
            <w:vAlign w:val="bottom"/>
            <w:tcBorders>
              <w:bottom w:val="single" w:sz="8" w:color="9A9A9A"/>
            </w:tcBorders>
          </w:tcPr>
          <w:p>
            <w:pPr>
              <w:spacing w:after="0"/>
              <w:rPr>
                <w:sz w:val="24"/>
                <w:szCs w:val="24"/>
                <w:color w:val="auto"/>
              </w:rPr>
            </w:pPr>
          </w:p>
        </w:tc>
        <w:tc>
          <w:tcPr>
            <w:tcW w:w="350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65" w:name="page66"/>
    <w:bookmarkEnd w:id="65"/>
    <w:p>
      <w:pPr>
        <w:jc w:val="center"/>
        <w:spacing w:after="0"/>
        <w:rPr>
          <w:sz w:val="20"/>
          <w:szCs w:val="20"/>
          <w:color w:val="auto"/>
        </w:rPr>
      </w:pPr>
      <w:r>
        <w:rPr>
          <w:rFonts w:ascii="Times New Roman" w:cs="Times New Roman" w:eastAsia="Times New Roman" w:hAnsi="Times New Roman"/>
          <w:sz w:val="18"/>
          <w:szCs w:val="18"/>
          <w:b w:val="1"/>
          <w:bCs w:val="1"/>
          <w:color w:val="auto"/>
        </w:rPr>
        <w:t>Genesco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Leases, Continued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reconciles the maturities of undiscounted cash flows to our operating lease liabilities recorded on the Consolidated Balance Sheets at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 2025:</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Fiscal Years</w:t>
            </w:r>
          </w:p>
        </w:tc>
        <w:tc>
          <w:tcPr>
            <w:tcW w:w="314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(In thousands)</w:t>
            </w:r>
          </w:p>
        </w:tc>
      </w:tr>
      <w:tr>
        <w:trPr>
          <w:trHeight w:val="209"/>
        </w:trPr>
        <w:tc>
          <w:tcPr>
            <w:tcW w:w="6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140" w:type="dxa"/>
            <w:vAlign w:val="bottom"/>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147,883</w:t>
            </w:r>
          </w:p>
        </w:tc>
      </w:tr>
      <w:tr>
        <w:trPr>
          <w:trHeight w:val="216"/>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140" w:type="dxa"/>
            <w:vAlign w:val="bottom"/>
          </w:tcPr>
          <w:p>
            <w:pPr>
              <w:spacing w:after="0"/>
              <w:rPr>
                <w:sz w:val="18"/>
                <w:szCs w:val="18"/>
                <w:color w:val="auto"/>
              </w:rPr>
            </w:pPr>
          </w:p>
        </w:tc>
        <w:tc>
          <w:tcPr>
            <w:tcW w:w="1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119,546</w:t>
            </w:r>
          </w:p>
        </w:tc>
      </w:tr>
      <w:tr>
        <w:trPr>
          <w:trHeight w:val="216"/>
        </w:trPr>
        <w:tc>
          <w:tcPr>
            <w:tcW w:w="6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3140" w:type="dxa"/>
            <w:vAlign w:val="bottom"/>
            <w:shd w:val="clear" w:color="auto" w:fill="CFF0FC"/>
          </w:tcPr>
          <w:p>
            <w:pPr>
              <w:spacing w:after="0"/>
              <w:rPr>
                <w:sz w:val="18"/>
                <w:szCs w:val="18"/>
                <w:color w:val="auto"/>
              </w:rPr>
            </w:pPr>
          </w:p>
        </w:tc>
        <w:tc>
          <w:tcPr>
            <w:tcW w:w="15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79,185</w:t>
            </w:r>
          </w:p>
        </w:tc>
      </w:tr>
      <w:tr>
        <w:trPr>
          <w:trHeight w:val="216"/>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3140" w:type="dxa"/>
            <w:vAlign w:val="bottom"/>
          </w:tcPr>
          <w:p>
            <w:pPr>
              <w:spacing w:after="0"/>
              <w:rPr>
                <w:sz w:val="18"/>
                <w:szCs w:val="18"/>
                <w:color w:val="auto"/>
              </w:rPr>
            </w:pPr>
          </w:p>
        </w:tc>
        <w:tc>
          <w:tcPr>
            <w:tcW w:w="1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54,723</w:t>
            </w:r>
          </w:p>
        </w:tc>
      </w:tr>
      <w:tr>
        <w:trPr>
          <w:trHeight w:val="216"/>
        </w:trPr>
        <w:tc>
          <w:tcPr>
            <w:tcW w:w="6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3140" w:type="dxa"/>
            <w:vAlign w:val="bottom"/>
            <w:shd w:val="clear" w:color="auto" w:fill="CFF0FC"/>
          </w:tcPr>
          <w:p>
            <w:pPr>
              <w:spacing w:after="0"/>
              <w:rPr>
                <w:sz w:val="18"/>
                <w:szCs w:val="18"/>
                <w:color w:val="auto"/>
              </w:rPr>
            </w:pPr>
          </w:p>
        </w:tc>
        <w:tc>
          <w:tcPr>
            <w:tcW w:w="15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43,078</w:t>
            </w:r>
          </w:p>
        </w:tc>
      </w:tr>
      <w:tr>
        <w:trPr>
          <w:trHeight w:val="216"/>
        </w:trPr>
        <w:tc>
          <w:tcPr>
            <w:tcW w:w="6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31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127,828</w:t>
            </w:r>
          </w:p>
        </w:tc>
      </w:tr>
      <w:tr>
        <w:trPr>
          <w:trHeight w:val="210"/>
        </w:trPr>
        <w:tc>
          <w:tcPr>
            <w:tcW w:w="6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undiscounted future minimum lease payments</w:t>
            </w:r>
          </w:p>
        </w:tc>
        <w:tc>
          <w:tcPr>
            <w:tcW w:w="3140" w:type="dxa"/>
            <w:vAlign w:val="bottom"/>
            <w:shd w:val="clear" w:color="auto" w:fill="CFF0FC"/>
          </w:tcPr>
          <w:p>
            <w:pPr>
              <w:spacing w:after="0"/>
              <w:rPr>
                <w:sz w:val="18"/>
                <w:szCs w:val="18"/>
                <w:color w:val="auto"/>
              </w:rPr>
            </w:pPr>
          </w:p>
        </w:tc>
        <w:tc>
          <w:tcPr>
            <w:tcW w:w="15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572,243</w:t>
            </w:r>
          </w:p>
        </w:tc>
      </w:tr>
      <w:tr>
        <w:trPr>
          <w:trHeight w:val="216"/>
        </w:trPr>
        <w:tc>
          <w:tcPr>
            <w:tcW w:w="6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Less: Amounts representing interest</w:t>
            </w:r>
          </w:p>
        </w:tc>
        <w:tc>
          <w:tcPr>
            <w:tcW w:w="31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(87,154 )</w:t>
            </w:r>
          </w:p>
        </w:tc>
      </w:tr>
      <w:tr>
        <w:trPr>
          <w:trHeight w:val="249"/>
        </w:trPr>
        <w:tc>
          <w:tcPr>
            <w:tcW w:w="656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Present Value of Operating Lease Liabilities</w:t>
            </w:r>
          </w:p>
        </w:tc>
        <w:tc>
          <w:tcPr>
            <w:tcW w:w="3140" w:type="dxa"/>
            <w:vAlign w:val="bottom"/>
            <w:tcBorders>
              <w:bottom w:val="single" w:sz="8" w:color="auto"/>
            </w:tcBorders>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15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485,089</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weighted-average remaining lease term and weighted-average discount rate for operating leases as of February 1, 2025 and February 3, 2024 are:</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780" w:type="dxa"/>
            <w:vAlign w:val="bottom"/>
          </w:tcPr>
          <w:p>
            <w:pPr>
              <w:spacing w:after="0"/>
              <w:rPr>
                <w:sz w:val="18"/>
                <w:szCs w:val="18"/>
                <w:color w:val="auto"/>
              </w:rPr>
            </w:pPr>
          </w:p>
        </w:tc>
        <w:tc>
          <w:tcPr>
            <w:tcW w:w="200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8"/>
                <w:szCs w:val="18"/>
                <w:b w:val="1"/>
                <w:bCs w:val="1"/>
                <w:color w:val="auto"/>
              </w:rPr>
              <w:t>February 1, 2025</w:t>
            </w:r>
          </w:p>
        </w:tc>
        <w:tc>
          <w:tcPr>
            <w:tcW w:w="14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w w:val="98"/>
              </w:rPr>
              <w:t>February 3, 2024</w:t>
            </w:r>
          </w:p>
        </w:tc>
      </w:tr>
      <w:tr>
        <w:trPr>
          <w:trHeight w:val="210"/>
        </w:trPr>
        <w:tc>
          <w:tcPr>
            <w:tcW w:w="7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 (years)</w:t>
            </w:r>
          </w:p>
        </w:tc>
        <w:tc>
          <w:tcPr>
            <w:tcW w:w="2000" w:type="dxa"/>
            <w:vAlign w:val="bottom"/>
            <w:shd w:val="clear" w:color="auto" w:fill="CFF0FC"/>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5.8 years</w:t>
            </w:r>
          </w:p>
        </w:tc>
        <w:tc>
          <w:tcPr>
            <w:tcW w:w="1460" w:type="dxa"/>
            <w:vAlign w:val="bottom"/>
            <w:shd w:val="clear" w:color="auto" w:fill="CFF0FC"/>
          </w:tcPr>
          <w:p>
            <w:pPr>
              <w:jc w:val="center"/>
              <w:ind w:right="130"/>
              <w:spacing w:after="0"/>
              <w:rPr>
                <w:sz w:val="20"/>
                <w:szCs w:val="20"/>
                <w:color w:val="auto"/>
              </w:rPr>
            </w:pPr>
            <w:r>
              <w:rPr>
                <w:rFonts w:ascii="Times New Roman" w:cs="Times New Roman" w:eastAsia="Times New Roman" w:hAnsi="Times New Roman"/>
                <w:sz w:val="18"/>
                <w:szCs w:val="18"/>
                <w:color w:val="auto"/>
                <w:w w:val="98"/>
              </w:rPr>
              <w:t>5.5 years</w:t>
            </w:r>
          </w:p>
        </w:tc>
      </w:tr>
      <w:tr>
        <w:trPr>
          <w:trHeight w:val="238"/>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2000" w:type="dxa"/>
            <w:vAlign w:val="bottom"/>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5.6%</w:t>
            </w:r>
          </w:p>
        </w:tc>
        <w:tc>
          <w:tcPr>
            <w:tcW w:w="146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5.3%</w:t>
            </w:r>
          </w:p>
        </w:tc>
      </w:tr>
    </w:tbl>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February 1, 2025, we have additional operating leases that have not yet commenced with estimated right of use liabilities of $27.9 million. These leases will commence in Fiscal 2026 with lease terms of 1 to 11 years.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10</w:t>
            </w:r>
          </w:p>
        </w:tc>
        <w:tc>
          <w:tcPr>
            <w:tcW w:w="1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1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00"/>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Non-Redeemable Preferred Stock</w:t>
            </w:r>
          </w:p>
        </w:tc>
        <w:tc>
          <w:tcPr>
            <w:tcW w:w="1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740" w:type="dxa"/>
            <w:vAlign w:val="bottom"/>
            <w:tcBorders>
              <w:bottom w:val="single" w:sz="8" w:color="auto"/>
            </w:tcBorders>
            <w:gridSpan w:val="2"/>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Number of Shares</w:t>
            </w:r>
          </w:p>
        </w:tc>
        <w:tc>
          <w:tcPr>
            <w:tcW w:w="7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4"/>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Amounts in Thousands</w:t>
            </w:r>
          </w:p>
        </w:tc>
        <w:tc>
          <w:tcPr>
            <w:tcW w:w="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24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740" w:type="dxa"/>
            <w:vAlign w:val="bottom"/>
            <w:tcBorders>
              <w:bottom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As of Fiscal Year End</w:t>
            </w:r>
          </w:p>
        </w:tc>
        <w:tc>
          <w:tcPr>
            <w:tcW w:w="7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360" w:type="dxa"/>
            <w:vAlign w:val="bottom"/>
            <w:tcBorders>
              <w:bottom w:val="single" w:sz="8" w:color="auto"/>
            </w:tcBorders>
            <w:gridSpan w:val="4"/>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As of Fiscal Year End</w:t>
            </w:r>
          </w:p>
        </w:tc>
        <w:tc>
          <w:tcPr>
            <w:tcW w:w="6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52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11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0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Class</w:t>
            </w:r>
          </w:p>
        </w:tc>
        <w:tc>
          <w:tcPr>
            <w:tcW w:w="1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Authorized</w:t>
            </w: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5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2024</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4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4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2024</w:t>
            </w:r>
          </w:p>
        </w:tc>
        <w:tc>
          <w:tcPr>
            <w:tcW w:w="4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2023</w:t>
            </w:r>
          </w:p>
        </w:tc>
        <w:tc>
          <w:tcPr>
            <w:tcW w:w="0" w:type="dxa"/>
            <w:vAlign w:val="bottom"/>
          </w:tcPr>
          <w:p>
            <w:pPr>
              <w:spacing w:after="0"/>
              <w:rPr>
                <w:sz w:val="1"/>
                <w:szCs w:val="1"/>
                <w:color w:val="auto"/>
              </w:rPr>
            </w:pPr>
          </w:p>
        </w:tc>
      </w:tr>
      <w:tr>
        <w:trPr>
          <w:trHeight w:val="191"/>
        </w:trPr>
        <w:tc>
          <w:tcPr>
            <w:tcW w:w="3040" w:type="dxa"/>
            <w:vAlign w:val="bottom"/>
            <w:gridSpan w:val="2"/>
            <w:shd w:val="clear" w:color="auto" w:fill="CFF0FC"/>
          </w:tcPr>
          <w:p>
            <w:pPr>
              <w:ind w:left="20"/>
              <w:spacing w:after="0" w:line="191" w:lineRule="exact"/>
              <w:rPr>
                <w:sz w:val="20"/>
                <w:szCs w:val="20"/>
                <w:color w:val="auto"/>
              </w:rPr>
            </w:pPr>
            <w:r>
              <w:rPr>
                <w:rFonts w:ascii="Times New Roman" w:cs="Times New Roman" w:eastAsia="Times New Roman" w:hAnsi="Times New Roman"/>
                <w:sz w:val="18"/>
                <w:szCs w:val="18"/>
                <w:color w:val="auto"/>
              </w:rPr>
              <w:t>Employees’ Subordinated Convertible</w:t>
            </w:r>
          </w:p>
        </w:tc>
        <w:tc>
          <w:tcPr>
            <w:tcW w:w="1240" w:type="dxa"/>
            <w:vAlign w:val="bottom"/>
            <w:shd w:val="clear" w:color="auto" w:fill="CFF0FC"/>
          </w:tcPr>
          <w:p>
            <w:pPr>
              <w:spacing w:after="0"/>
              <w:rPr>
                <w:sz w:val="16"/>
                <w:szCs w:val="16"/>
                <w:color w:val="auto"/>
              </w:rPr>
            </w:pPr>
          </w:p>
        </w:tc>
        <w:tc>
          <w:tcPr>
            <w:tcW w:w="1160" w:type="dxa"/>
            <w:vAlign w:val="bottom"/>
            <w:vMerge w:val="restart"/>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27,845</w:t>
            </w:r>
          </w:p>
        </w:tc>
        <w:tc>
          <w:tcPr>
            <w:tcW w:w="158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420" w:type="dxa"/>
            <w:vAlign w:val="bottom"/>
            <w:vMerge w:val="restart"/>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835</w:t>
            </w:r>
          </w:p>
        </w:tc>
        <w:tc>
          <w:tcPr>
            <w:tcW w:w="44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48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040" w:type="dxa"/>
            <w:vAlign w:val="bottom"/>
            <w:tcBorders>
              <w:bottom w:val="single" w:sz="8" w:color="auto"/>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Preferred</w:t>
            </w:r>
          </w:p>
        </w:tc>
        <w:tc>
          <w:tcPr>
            <w:tcW w:w="12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5,000,000</w:t>
            </w:r>
          </w:p>
        </w:tc>
        <w:tc>
          <w:tcPr>
            <w:tcW w:w="1160" w:type="dxa"/>
            <w:vAlign w:val="bottom"/>
            <w:tcBorders>
              <w:bottom w:val="single" w:sz="8" w:color="auto"/>
            </w:tcBorders>
            <w:vMerge w:val="continue"/>
            <w:shd w:val="clear" w:color="auto" w:fill="CFF0FC"/>
          </w:tcPr>
          <w:p>
            <w:pPr>
              <w:spacing w:after="0"/>
              <w:rPr>
                <w:sz w:val="20"/>
                <w:szCs w:val="20"/>
                <w:color w:val="auto"/>
              </w:rPr>
            </w:pPr>
          </w:p>
        </w:tc>
        <w:tc>
          <w:tcPr>
            <w:tcW w:w="1580" w:type="dxa"/>
            <w:vAlign w:val="bottom"/>
            <w:tcBorders>
              <w:bottom w:val="single" w:sz="8" w:color="auto"/>
            </w:tcBorders>
            <w:shd w:val="clear" w:color="auto" w:fill="CFF0FC"/>
          </w:tcPr>
          <w:p>
            <w:pPr>
              <w:jc w:val="right"/>
              <w:ind w:right="450"/>
              <w:spacing w:after="0"/>
              <w:rPr>
                <w:sz w:val="20"/>
                <w:szCs w:val="20"/>
                <w:color w:val="auto"/>
              </w:rPr>
            </w:pPr>
            <w:r>
              <w:rPr>
                <w:rFonts w:ascii="Times New Roman" w:cs="Times New Roman" w:eastAsia="Times New Roman" w:hAnsi="Times New Roman"/>
                <w:sz w:val="18"/>
                <w:szCs w:val="18"/>
                <w:color w:val="auto"/>
              </w:rPr>
              <w:t>27,845</w:t>
            </w: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27,935</w:t>
            </w:r>
          </w:p>
        </w:tc>
        <w:tc>
          <w:tcPr>
            <w:tcW w:w="420" w:type="dxa"/>
            <w:vAlign w:val="bottom"/>
            <w:tcBorders>
              <w:bottom w:val="single" w:sz="8" w:color="auto"/>
            </w:tcBorders>
            <w:vMerge w:val="continue"/>
            <w:shd w:val="clear" w:color="auto" w:fill="CFF0FC"/>
          </w:tcPr>
          <w:p>
            <w:pPr>
              <w:spacing w:after="0"/>
              <w:rPr>
                <w:sz w:val="20"/>
                <w:szCs w:val="20"/>
                <w:color w:val="auto"/>
              </w:rPr>
            </w:pPr>
          </w:p>
        </w:tc>
        <w:tc>
          <w:tcPr>
            <w:tcW w:w="700" w:type="dxa"/>
            <w:vAlign w:val="bottom"/>
            <w:tcBorders>
              <w:bottom w:val="single" w:sz="8" w:color="auto"/>
            </w:tcBorders>
            <w:vMerge w:val="continue"/>
            <w:shd w:val="clear" w:color="auto" w:fill="CFF0FC"/>
          </w:tcPr>
          <w:p>
            <w:pPr>
              <w:spacing w:after="0"/>
              <w:rPr>
                <w:sz w:val="20"/>
                <w:szCs w:val="20"/>
                <w:color w:val="auto"/>
              </w:rPr>
            </w:pPr>
          </w:p>
        </w:tc>
        <w:tc>
          <w:tcPr>
            <w:tcW w:w="44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836</w:t>
            </w:r>
          </w:p>
        </w:tc>
        <w:tc>
          <w:tcPr>
            <w:tcW w:w="480" w:type="dxa"/>
            <w:vAlign w:val="bottom"/>
            <w:tcBorders>
              <w:bottom w:val="single" w:sz="8" w:color="auto"/>
            </w:tcBorders>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838</w:t>
            </w:r>
          </w:p>
        </w:tc>
        <w:tc>
          <w:tcPr>
            <w:tcW w:w="0" w:type="dxa"/>
            <w:vAlign w:val="bottom"/>
          </w:tcPr>
          <w:p>
            <w:pPr>
              <w:spacing w:after="0"/>
              <w:rPr>
                <w:sz w:val="1"/>
                <w:szCs w:val="1"/>
                <w:color w:val="auto"/>
              </w:rPr>
            </w:pPr>
          </w:p>
        </w:tc>
      </w:tr>
      <w:tr>
        <w:trPr>
          <w:trHeight w:val="210"/>
        </w:trPr>
        <w:tc>
          <w:tcPr>
            <w:tcW w:w="3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Stated Value of Issued Shares</w:t>
            </w:r>
          </w:p>
        </w:tc>
        <w:tc>
          <w:tcPr>
            <w:tcW w:w="1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835</w:t>
            </w:r>
          </w:p>
        </w:tc>
        <w:tc>
          <w:tcPr>
            <w:tcW w:w="440" w:type="dxa"/>
            <w:vAlign w:val="bottom"/>
          </w:tcPr>
          <w:p>
            <w:pPr>
              <w:spacing w:after="0"/>
              <w:rPr>
                <w:sz w:val="18"/>
                <w:szCs w:val="18"/>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836</w:t>
            </w:r>
          </w:p>
        </w:tc>
        <w:tc>
          <w:tcPr>
            <w:tcW w:w="480" w:type="dxa"/>
            <w:vAlign w:val="bottom"/>
          </w:tcPr>
          <w:p>
            <w:pPr>
              <w:spacing w:after="0"/>
              <w:rPr>
                <w:sz w:val="18"/>
                <w:szCs w:val="18"/>
                <w:color w:val="auto"/>
              </w:rPr>
            </w:pPr>
          </w:p>
        </w:tc>
        <w:tc>
          <w:tcPr>
            <w:tcW w:w="6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838</w:t>
            </w:r>
          </w:p>
        </w:tc>
        <w:tc>
          <w:tcPr>
            <w:tcW w:w="0" w:type="dxa"/>
            <w:vAlign w:val="bottom"/>
          </w:tcPr>
          <w:p>
            <w:pPr>
              <w:spacing w:after="0"/>
              <w:rPr>
                <w:sz w:val="1"/>
                <w:szCs w:val="1"/>
                <w:color w:val="auto"/>
              </w:rPr>
            </w:pPr>
          </w:p>
        </w:tc>
      </w:tr>
      <w:tr>
        <w:trPr>
          <w:trHeight w:val="198"/>
        </w:trPr>
        <w:tc>
          <w:tcPr>
            <w:tcW w:w="3040" w:type="dxa"/>
            <w:vAlign w:val="bottom"/>
            <w:gridSpan w:val="2"/>
            <w:shd w:val="clear" w:color="auto" w:fill="CFF0FC"/>
          </w:tcPr>
          <w:p>
            <w:pPr>
              <w:ind w:left="20"/>
              <w:spacing w:after="0" w:line="198" w:lineRule="exact"/>
              <w:rPr>
                <w:sz w:val="20"/>
                <w:szCs w:val="20"/>
                <w:color w:val="auto"/>
              </w:rPr>
            </w:pPr>
            <w:r>
              <w:rPr>
                <w:rFonts w:ascii="Times New Roman" w:cs="Times New Roman" w:eastAsia="Times New Roman" w:hAnsi="Times New Roman"/>
                <w:sz w:val="18"/>
                <w:szCs w:val="18"/>
                <w:color w:val="auto"/>
              </w:rPr>
              <w:t>Employees’ Preferred Stock Purchase</w:t>
            </w:r>
          </w:p>
        </w:tc>
        <w:tc>
          <w:tcPr>
            <w:tcW w:w="124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58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040" w:type="dxa"/>
            <w:vAlign w:val="bottom"/>
            <w:tcBorders>
              <w:bottom w:val="single" w:sz="8" w:color="auto"/>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Accounts</w:t>
            </w:r>
          </w:p>
        </w:tc>
        <w:tc>
          <w:tcPr>
            <w:tcW w:w="1240" w:type="dxa"/>
            <w:vAlign w:val="bottom"/>
            <w:tcBorders>
              <w:bottom w:val="single" w:sz="8" w:color="auto"/>
            </w:tcBorders>
            <w:shd w:val="clear" w:color="auto" w:fill="CFF0FC"/>
          </w:tcPr>
          <w:p>
            <w:pPr>
              <w:spacing w:after="0"/>
              <w:rPr>
                <w:sz w:val="20"/>
                <w:szCs w:val="20"/>
                <w:color w:val="auto"/>
              </w:rPr>
            </w:pPr>
          </w:p>
        </w:tc>
        <w:tc>
          <w:tcPr>
            <w:tcW w:w="1160" w:type="dxa"/>
            <w:vAlign w:val="bottom"/>
            <w:tcBorders>
              <w:bottom w:val="single" w:sz="8" w:color="auto"/>
            </w:tcBorders>
            <w:shd w:val="clear" w:color="auto" w:fill="CFF0FC"/>
          </w:tcPr>
          <w:p>
            <w:pPr>
              <w:spacing w:after="0"/>
              <w:rPr>
                <w:sz w:val="20"/>
                <w:szCs w:val="20"/>
                <w:color w:val="auto"/>
              </w:rPr>
            </w:pPr>
          </w:p>
        </w:tc>
        <w:tc>
          <w:tcPr>
            <w:tcW w:w="1580" w:type="dxa"/>
            <w:vAlign w:val="bottom"/>
            <w:tcBorders>
              <w:bottom w:val="single" w:sz="8" w:color="auto"/>
            </w:tcBorders>
            <w:shd w:val="clear" w:color="auto" w:fill="CFF0FC"/>
          </w:tcPr>
          <w:p>
            <w:pPr>
              <w:spacing w:after="0"/>
              <w:rPr>
                <w:sz w:val="20"/>
                <w:szCs w:val="20"/>
                <w:color w:val="auto"/>
              </w:rPr>
            </w:pPr>
          </w:p>
        </w:tc>
        <w:tc>
          <w:tcPr>
            <w:tcW w:w="760" w:type="dxa"/>
            <w:vAlign w:val="bottom"/>
            <w:tcBorders>
              <w:bottom w:val="single" w:sz="8" w:color="auto"/>
            </w:tcBorders>
            <w:shd w:val="clear" w:color="auto" w:fill="CFF0FC"/>
          </w:tcPr>
          <w:p>
            <w:pPr>
              <w:spacing w:after="0"/>
              <w:rPr>
                <w:sz w:val="20"/>
                <w:szCs w:val="20"/>
                <w:color w:val="auto"/>
              </w:rPr>
            </w:pPr>
          </w:p>
        </w:tc>
        <w:tc>
          <w:tcPr>
            <w:tcW w:w="420" w:type="dxa"/>
            <w:vAlign w:val="bottom"/>
            <w:tcBorders>
              <w:bottom w:val="single" w:sz="8" w:color="auto"/>
            </w:tcBorders>
            <w:shd w:val="clear" w:color="auto" w:fill="CFF0FC"/>
          </w:tcPr>
          <w:p>
            <w:pPr>
              <w:spacing w:after="0"/>
              <w:rPr>
                <w:sz w:val="20"/>
                <w:szCs w:val="20"/>
                <w:color w:val="auto"/>
              </w:rPr>
            </w:pPr>
          </w:p>
        </w:tc>
        <w:tc>
          <w:tcPr>
            <w:tcW w:w="700" w:type="dxa"/>
            <w:vAlign w:val="bottom"/>
            <w:tcBorders>
              <w:bottom w:val="single" w:sz="8" w:color="auto"/>
            </w:tcBorders>
            <w:vMerge w:val="continue"/>
            <w:shd w:val="clear" w:color="auto" w:fill="CFF0FC"/>
          </w:tcPr>
          <w:p>
            <w:pPr>
              <w:spacing w:after="0"/>
              <w:rPr>
                <w:sz w:val="20"/>
                <w:szCs w:val="20"/>
                <w:color w:val="auto"/>
              </w:rPr>
            </w:pPr>
          </w:p>
        </w:tc>
        <w:tc>
          <w:tcPr>
            <w:tcW w:w="440" w:type="dxa"/>
            <w:vAlign w:val="bottom"/>
            <w:tcBorders>
              <w:bottom w:val="single" w:sz="8" w:color="auto"/>
            </w:tcBorders>
            <w:shd w:val="clear" w:color="auto" w:fill="CFF0FC"/>
          </w:tcPr>
          <w:p>
            <w:pPr>
              <w:spacing w:after="0"/>
              <w:rPr>
                <w:sz w:val="20"/>
                <w:szCs w:val="20"/>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480" w:type="dxa"/>
            <w:vAlign w:val="bottom"/>
            <w:tcBorders>
              <w:bottom w:val="single" w:sz="8" w:color="auto"/>
            </w:tcBorders>
            <w:shd w:val="clear" w:color="auto" w:fill="CFF0FC"/>
          </w:tcPr>
          <w:p>
            <w:pPr>
              <w:spacing w:after="0"/>
              <w:rPr>
                <w:sz w:val="20"/>
                <w:szCs w:val="20"/>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0" w:type="dxa"/>
            <w:vAlign w:val="bottom"/>
          </w:tcPr>
          <w:p>
            <w:pPr>
              <w:spacing w:after="0"/>
              <w:rPr>
                <w:sz w:val="1"/>
                <w:szCs w:val="1"/>
                <w:color w:val="auto"/>
              </w:rPr>
            </w:pPr>
          </w:p>
        </w:tc>
      </w:tr>
      <w:tr>
        <w:trPr>
          <w:trHeight w:val="187"/>
        </w:trPr>
        <w:tc>
          <w:tcPr>
            <w:tcW w:w="3040" w:type="dxa"/>
            <w:vAlign w:val="bottom"/>
            <w:gridSpan w:val="2"/>
          </w:tcPr>
          <w:p>
            <w:pPr>
              <w:ind w:left="20"/>
              <w:spacing w:after="0" w:line="188" w:lineRule="exact"/>
              <w:rPr>
                <w:sz w:val="20"/>
                <w:szCs w:val="20"/>
                <w:color w:val="auto"/>
              </w:rPr>
            </w:pPr>
            <w:r>
              <w:rPr>
                <w:rFonts w:ascii="Times New Roman" w:cs="Times New Roman" w:eastAsia="Times New Roman" w:hAnsi="Times New Roman"/>
                <w:sz w:val="18"/>
                <w:szCs w:val="18"/>
                <w:b w:val="1"/>
                <w:bCs w:val="1"/>
                <w:color w:val="auto"/>
              </w:rPr>
              <w:t>Total Non-Redeemable Preferred</w:t>
            </w:r>
          </w:p>
        </w:tc>
        <w:tc>
          <w:tcPr>
            <w:tcW w:w="1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0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2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835</w:t>
            </w:r>
          </w:p>
        </w:tc>
        <w:tc>
          <w:tcPr>
            <w:tcW w:w="4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813</w:t>
            </w:r>
          </w:p>
        </w:tc>
        <w:tc>
          <w:tcPr>
            <w:tcW w:w="4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815</w:t>
            </w:r>
          </w:p>
        </w:tc>
        <w:tc>
          <w:tcPr>
            <w:tcW w:w="0" w:type="dxa"/>
            <w:vAlign w:val="bottom"/>
          </w:tcPr>
          <w:p>
            <w:pPr>
              <w:spacing w:after="0"/>
              <w:rPr>
                <w:sz w:val="1"/>
                <w:szCs w:val="1"/>
                <w:color w:val="auto"/>
              </w:rPr>
            </w:pPr>
          </w:p>
        </w:tc>
      </w:tr>
      <w:tr>
        <w:trPr>
          <w:trHeight w:val="20"/>
        </w:trPr>
        <w:tc>
          <w:tcPr>
            <w:tcW w:w="520" w:type="dxa"/>
            <w:vAlign w:val="bottom"/>
            <w:tcBorders>
              <w:bottom w:val="single" w:sz="8" w:color="auto"/>
            </w:tcBorders>
          </w:tcPr>
          <w:p>
            <w:pPr>
              <w:spacing w:after="0" w:line="20" w:lineRule="exact"/>
              <w:rPr>
                <w:sz w:val="1"/>
                <w:szCs w:val="1"/>
                <w:color w:val="auto"/>
              </w:rPr>
            </w:pPr>
          </w:p>
        </w:tc>
        <w:tc>
          <w:tcPr>
            <w:tcW w:w="25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5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580" w:type="dxa"/>
            <w:vAlign w:val="bottom"/>
          </w:tcPr>
          <w:p>
            <w:pPr>
              <w:jc w:val="right"/>
              <w:ind w:right="1210"/>
              <w:spacing w:after="0"/>
              <w:rPr>
                <w:sz w:val="20"/>
                <w:szCs w:val="20"/>
                <w:color w:val="auto"/>
              </w:rPr>
            </w:pPr>
            <w:r>
              <w:rPr>
                <w:rFonts w:ascii="Times New Roman" w:cs="Times New Roman" w:eastAsia="Times New Roman" w:hAnsi="Times New Roman"/>
                <w:sz w:val="18"/>
                <w:szCs w:val="18"/>
                <w:color w:val="auto"/>
              </w:rPr>
              <w:t>66</w:t>
            </w:r>
          </w:p>
        </w:tc>
        <w:tc>
          <w:tcPr>
            <w:tcW w:w="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520" w:type="dxa"/>
            <w:vAlign w:val="bottom"/>
            <w:tcBorders>
              <w:bottom w:val="single" w:sz="8" w:color="9A9A9A"/>
            </w:tcBorders>
          </w:tcPr>
          <w:p>
            <w:pPr>
              <w:spacing w:after="0"/>
              <w:rPr>
                <w:sz w:val="24"/>
                <w:szCs w:val="24"/>
                <w:color w:val="auto"/>
              </w:rPr>
            </w:pPr>
          </w:p>
        </w:tc>
        <w:tc>
          <w:tcPr>
            <w:tcW w:w="252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66" w:name="page67"/>
    <w:bookmarkEnd w:id="66"/>
    <w:p>
      <w:pPr>
        <w:jc w:val="center"/>
        <w:spacing w:after="0"/>
        <w:rPr>
          <w:sz w:val="20"/>
          <w:szCs w:val="20"/>
          <w:color w:val="auto"/>
        </w:rPr>
      </w:pPr>
      <w:r>
        <w:rPr>
          <w:rFonts w:ascii="Times New Roman" w:cs="Times New Roman" w:eastAsia="Times New Roman" w:hAnsi="Times New Roman"/>
          <w:sz w:val="18"/>
          <w:szCs w:val="18"/>
          <w:b w:val="1"/>
          <w:bCs w:val="1"/>
          <w:color w:val="auto"/>
        </w:rPr>
        <w:t>Genesco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Equity, Continued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Employees’ Subordinated Convertible Preferred Stock:</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Stated and liquidation values are 88 times the average quarterly per share dividend paid on common stock for the previous eight quarters (if any), but in no event less than $30 per share. Each share of this issue of preferred stock is convertible into one share of common stock and has one vote per share.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Subordinated Serial Preferred Stock:</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charter permits the Board of Directors to issue Subordinated Serial Preferred Stock (3,000,000 shares, in aggregate, are authorized) in as many series, each with as many shares and such rights and preferences as the Board may designate. We have shares authorized for $2.30 Series 1, $4.75 Series 3, $4.75 Series 4, Series 6 and $1.50 Subordinated Cumulative Preferred stocks in amounts of 64,368 shares, 40,449 shares, 53,764 shares, 800,000 shares and 5,000,000 shares, respectively. All of these preferred stocks were mandatorily redeemed by us in Fiscal 2014. As a result, there are no outstanding shares for any preferred issues of stock other than Employees' Subordinated Convertible Preferred stock shown in the table above.</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Common stock-$1 par value. Authorized: 80,000,000 shares; issued: February 1, 2025 – 11,773,352 shares; February 3, 2024 – 11,960,793 shares. There were 488,464 shares held in treasury at February 1, 2025 and February 3, 2024. Each outstanding share is entitled to one vote. At February 1, 2025, common shares were reserved as follows: 27,845 shares for conversion of preferred stock and 852,828 shares for the 2020 Plan.</w:t>
      </w:r>
    </w:p>
    <w:p>
      <w:pPr>
        <w:spacing w:after="0" w:line="1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year ended February 1, 2025, shares of common stock were issued as follows: 301,222 restricted shares as part of the 2020 Plan; 36,320 shares to directors in exchange for their services; 89,942 shares withheld for taxes on restricted stock vested in Fiscal 2025; and 35,408 shares of restricted stock forfeited in Fiscal 2025. In addition, the Company repurchased and retired 399,633 shares of common stock at an average weighted market price of $24.49 for a total of $9.8 million.</w:t>
      </w:r>
    </w:p>
    <w:p>
      <w:pPr>
        <w:spacing w:after="0" w:line="13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year ended February 3, 2024, shares of common stock were issued as follows: 257,744 restricted shares as part of the 2020 Plan; 38,284 shares to directors in exchange for their services; 86,179 shares withheld for taxes on restricted stock vested in Fiscal 2024; 76,633 shares of restricted stock forfeited in Fiscal 2024; and 90 shares were issued in miscellaneous conversions of Employees’ Subordinated Convertible Preferred Stock. In addition, we repurchased and retired 1,261,295 shares of common stock at an average weighted market price of $25.39 for a total of $32.0 million.</w:t>
      </w:r>
    </w:p>
    <w:p>
      <w:pPr>
        <w:spacing w:after="0" w:line="13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For the year ended January 28, 2023, shares of common stock were issued as follows: 299,914 restricted shares as part of the 2020 Plan; 16,536 shares to directors in exchange for their services; 73,137 shares withheld for taxes on restricted stock vested in Fiscal 2023; 31,057 shares of restricted stock forfeited in Fiscal 2023; and 390 shares were issued in miscellaneous conversions of Employees’ Subordinated Convertible Preferred Stock. In addition, we repurchased and retired 1,380,272 shares of common stock at an average weighted market price of $52.66 for a total of $72.7 million.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67" w:name="page68"/>
    <w:bookmarkEnd w:id="67"/>
    <w:p>
      <w:pPr>
        <w:jc w:val="center"/>
        <w:spacing w:after="0"/>
        <w:rPr>
          <w:sz w:val="20"/>
          <w:szCs w:val="20"/>
          <w:color w:val="auto"/>
        </w:rPr>
      </w:pPr>
      <w:r>
        <w:rPr>
          <w:rFonts w:ascii="Times New Roman" w:cs="Times New Roman" w:eastAsia="Times New Roman" w:hAnsi="Times New Roman"/>
          <w:sz w:val="18"/>
          <w:szCs w:val="18"/>
          <w:b w:val="1"/>
          <w:bCs w:val="1"/>
          <w:color w:val="auto"/>
        </w:rPr>
        <w:t>Genesco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Equity, Continued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Restrictions on Dividends and Redemptions of Capital Stock:</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charter provides that no dividends may be paid and no shares of capital stock acquired for value if there are dividend or redemption arrearages on any senior or equally ranked stock. We do not pay dividends and therefore, there are no redemption arrearages. Exchanges of subordinated serial preferred stock for common stock or other stock junior to such exchanged stock are permitted.</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Income Taxes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earnings (loss) from continuing operations before income taxes is comprised of the following:</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4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Fiscal Year</w:t>
            </w:r>
          </w:p>
        </w:tc>
        <w:tc>
          <w:tcPr>
            <w:tcW w:w="5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640" w:type="dxa"/>
            <w:vAlign w:val="bottom"/>
            <w:tcBorders>
              <w:bottom w:val="single" w:sz="8" w:color="auto"/>
            </w:tcBorders>
            <w:gridSpan w:val="2"/>
            <w:vMerge w:val="continue"/>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2024</w:t>
            </w:r>
          </w:p>
        </w:tc>
        <w:tc>
          <w:tcPr>
            <w:tcW w:w="5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2023</w:t>
            </w:r>
          </w:p>
        </w:tc>
        <w:tc>
          <w:tcPr>
            <w:tcW w:w="0" w:type="dxa"/>
            <w:vAlign w:val="bottom"/>
          </w:tcPr>
          <w:p>
            <w:pPr>
              <w:spacing w:after="0"/>
              <w:rPr>
                <w:sz w:val="1"/>
                <w:szCs w:val="1"/>
                <w:color w:val="auto"/>
              </w:rPr>
            </w:pPr>
          </w:p>
        </w:tc>
      </w:tr>
      <w:tr>
        <w:trPr>
          <w:trHeight w:val="209"/>
        </w:trPr>
        <w:tc>
          <w:tcPr>
            <w:tcW w:w="664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United States</w:t>
            </w:r>
          </w:p>
        </w:tc>
        <w:tc>
          <w:tcPr>
            <w:tcW w:w="460" w:type="dxa"/>
            <w:vAlign w:val="bottom"/>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(1,476 )</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(43,859 )</w:t>
            </w:r>
          </w:p>
        </w:tc>
        <w:tc>
          <w:tcPr>
            <w:tcW w:w="52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68,326</w:t>
            </w:r>
          </w:p>
        </w:tc>
        <w:tc>
          <w:tcPr>
            <w:tcW w:w="0" w:type="dxa"/>
            <w:vAlign w:val="bottom"/>
          </w:tcPr>
          <w:p>
            <w:pPr>
              <w:spacing w:after="0"/>
              <w:rPr>
                <w:sz w:val="1"/>
                <w:szCs w:val="1"/>
                <w:color w:val="auto"/>
              </w:rPr>
            </w:pPr>
          </w:p>
        </w:tc>
      </w:tr>
      <w:tr>
        <w:trPr>
          <w:trHeight w:val="216"/>
        </w:trPr>
        <w:tc>
          <w:tcPr>
            <w:tcW w:w="6640" w:type="dxa"/>
            <w:vAlign w:val="bottom"/>
            <w:tcBorders>
              <w:bottom w:val="single" w:sz="8" w:color="auto"/>
            </w:tcBorders>
            <w:gridSpan w:val="2"/>
          </w:tcPr>
          <w:p>
            <w:pPr>
              <w:ind w:left="200"/>
              <w:spacing w:after="0"/>
              <w:rPr>
                <w:sz w:val="20"/>
                <w:szCs w:val="20"/>
                <w:color w:val="auto"/>
              </w:rPr>
            </w:pPr>
            <w:r>
              <w:rPr>
                <w:rFonts w:ascii="Times New Roman" w:cs="Times New Roman" w:eastAsia="Times New Roman" w:hAnsi="Times New Roman"/>
                <w:sz w:val="18"/>
                <w:szCs w:val="18"/>
                <w:color w:val="auto"/>
              </w:rPr>
              <w:t>Foreign</w:t>
            </w:r>
          </w:p>
        </w:tc>
        <w:tc>
          <w:tcPr>
            <w:tcW w:w="4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10,784</w:t>
            </w: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22,085</w:t>
            </w:r>
          </w:p>
        </w:tc>
        <w:tc>
          <w:tcPr>
            <w:tcW w:w="5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21,747</w:t>
            </w:r>
          </w:p>
        </w:tc>
        <w:tc>
          <w:tcPr>
            <w:tcW w:w="0" w:type="dxa"/>
            <w:vAlign w:val="bottom"/>
          </w:tcPr>
          <w:p>
            <w:pPr>
              <w:spacing w:after="0"/>
              <w:rPr>
                <w:sz w:val="1"/>
                <w:szCs w:val="1"/>
                <w:color w:val="auto"/>
              </w:rPr>
            </w:pPr>
          </w:p>
        </w:tc>
      </w:tr>
      <w:tr>
        <w:trPr>
          <w:trHeight w:val="250"/>
        </w:trPr>
        <w:tc>
          <w:tcPr>
            <w:tcW w:w="6640" w:type="dxa"/>
            <w:vAlign w:val="bottom"/>
            <w:tcBorders>
              <w:bottom w:val="single" w:sz="8" w:color="auto"/>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Earnings (Loss) from Continuing Operations before Income Taxes</w:t>
            </w:r>
          </w:p>
        </w:tc>
        <w:tc>
          <w:tcPr>
            <w:tcW w:w="460" w:type="dxa"/>
            <w:vAlign w:val="bottom"/>
            <w:tcBorders>
              <w:bottom w:val="single" w:sz="8" w:color="auto"/>
            </w:tcBorders>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9,308</w:t>
            </w:r>
          </w:p>
        </w:tc>
        <w:tc>
          <w:tcPr>
            <w:tcW w:w="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(21,774 )</w:t>
            </w:r>
          </w:p>
        </w:tc>
        <w:tc>
          <w:tcPr>
            <w:tcW w:w="520" w:type="dxa"/>
            <w:vAlign w:val="bottom"/>
            <w:tcBorders>
              <w:bottom w:val="single" w:sz="8" w:color="auto"/>
            </w:tcBorders>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90,073</w:t>
            </w:r>
          </w:p>
        </w:tc>
        <w:tc>
          <w:tcPr>
            <w:tcW w:w="0" w:type="dxa"/>
            <w:vAlign w:val="bottom"/>
          </w:tcPr>
          <w:p>
            <w:pPr>
              <w:spacing w:after="0"/>
              <w:rPr>
                <w:sz w:val="1"/>
                <w:szCs w:val="1"/>
                <w:color w:val="auto"/>
              </w:rPr>
            </w:pPr>
          </w:p>
        </w:tc>
      </w:tr>
      <w:tr>
        <w:trPr>
          <w:trHeight w:val="413"/>
        </w:trPr>
        <w:tc>
          <w:tcPr>
            <w:tcW w:w="6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expense from continuing operations is comprised of the following:</w:t>
            </w:r>
          </w:p>
        </w:tc>
        <w:tc>
          <w:tcPr>
            <w:tcW w:w="4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6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4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Fiscal Year</w:t>
            </w:r>
          </w:p>
        </w:tc>
        <w:tc>
          <w:tcPr>
            <w:tcW w:w="5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6640" w:type="dxa"/>
            <w:vAlign w:val="bottom"/>
            <w:tcBorders>
              <w:bottom w:val="single" w:sz="8" w:color="auto"/>
            </w:tcBorders>
            <w:gridSpan w:val="2"/>
            <w:vMerge w:val="continue"/>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2024</w:t>
            </w:r>
          </w:p>
        </w:tc>
        <w:tc>
          <w:tcPr>
            <w:tcW w:w="5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2023</w:t>
            </w:r>
          </w:p>
        </w:tc>
        <w:tc>
          <w:tcPr>
            <w:tcW w:w="0" w:type="dxa"/>
            <w:vAlign w:val="bottom"/>
          </w:tcPr>
          <w:p>
            <w:pPr>
              <w:spacing w:after="0"/>
              <w:rPr>
                <w:sz w:val="1"/>
                <w:szCs w:val="1"/>
                <w:color w:val="auto"/>
              </w:rPr>
            </w:pPr>
          </w:p>
        </w:tc>
      </w:tr>
      <w:tr>
        <w:trPr>
          <w:trHeight w:val="210"/>
        </w:trPr>
        <w:tc>
          <w:tcPr>
            <w:tcW w:w="66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4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U.S. federal</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1,711</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(3,672 )</w:t>
            </w:r>
          </w:p>
        </w:tc>
        <w:tc>
          <w:tcPr>
            <w:tcW w:w="5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39,095</w:t>
            </w:r>
          </w:p>
        </w:tc>
        <w:tc>
          <w:tcPr>
            <w:tcW w:w="0" w:type="dxa"/>
            <w:vAlign w:val="bottom"/>
          </w:tcPr>
          <w:p>
            <w:pPr>
              <w:spacing w:after="0"/>
              <w:rPr>
                <w:sz w:val="1"/>
                <w:szCs w:val="1"/>
                <w:color w:val="auto"/>
              </w:rPr>
            </w:pPr>
          </w:p>
        </w:tc>
      </w:tr>
      <w:tr>
        <w:trPr>
          <w:trHeight w:val="216"/>
        </w:trPr>
        <w:tc>
          <w:tcPr>
            <w:tcW w:w="664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International</w:t>
            </w:r>
          </w:p>
        </w:tc>
        <w:tc>
          <w:tcPr>
            <w:tcW w:w="46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2,007</w:t>
            </w:r>
          </w:p>
        </w:tc>
        <w:tc>
          <w:tcPr>
            <w:tcW w:w="26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3,419</w:t>
            </w:r>
          </w:p>
        </w:tc>
        <w:tc>
          <w:tcPr>
            <w:tcW w:w="52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2,984</w:t>
            </w:r>
          </w:p>
        </w:tc>
        <w:tc>
          <w:tcPr>
            <w:tcW w:w="0" w:type="dxa"/>
            <w:vAlign w:val="bottom"/>
          </w:tcPr>
          <w:p>
            <w:pPr>
              <w:spacing w:after="0"/>
              <w:rPr>
                <w:sz w:val="1"/>
                <w:szCs w:val="1"/>
                <w:color w:val="auto"/>
              </w:rPr>
            </w:pPr>
          </w:p>
        </w:tc>
      </w:tr>
      <w:tr>
        <w:trPr>
          <w:trHeight w:val="216"/>
        </w:trPr>
        <w:tc>
          <w:tcPr>
            <w:tcW w:w="6640" w:type="dxa"/>
            <w:vAlign w:val="bottom"/>
            <w:tcBorders>
              <w:bottom w:val="single" w:sz="8" w:color="auto"/>
            </w:tcBorders>
            <w:gridSpan w:val="2"/>
          </w:tcPr>
          <w:p>
            <w:pPr>
              <w:ind w:left="200"/>
              <w:spacing w:after="0"/>
              <w:rPr>
                <w:sz w:val="20"/>
                <w:szCs w:val="20"/>
                <w:color w:val="auto"/>
              </w:rPr>
            </w:pPr>
            <w:r>
              <w:rPr>
                <w:rFonts w:ascii="Times New Roman" w:cs="Times New Roman" w:eastAsia="Times New Roman" w:hAnsi="Times New Roman"/>
                <w:sz w:val="18"/>
                <w:szCs w:val="18"/>
                <w:color w:val="auto"/>
              </w:rPr>
              <w:t>State</w:t>
            </w:r>
          </w:p>
        </w:tc>
        <w:tc>
          <w:tcPr>
            <w:tcW w:w="4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1,100</w:t>
            </w: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744</w:t>
            </w:r>
          </w:p>
        </w:tc>
        <w:tc>
          <w:tcPr>
            <w:tcW w:w="5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3,805</w:t>
            </w:r>
          </w:p>
        </w:tc>
        <w:tc>
          <w:tcPr>
            <w:tcW w:w="0" w:type="dxa"/>
            <w:vAlign w:val="bottom"/>
          </w:tcPr>
          <w:p>
            <w:pPr>
              <w:spacing w:after="0"/>
              <w:rPr>
                <w:sz w:val="1"/>
                <w:szCs w:val="1"/>
                <w:color w:val="auto"/>
              </w:rPr>
            </w:pPr>
          </w:p>
        </w:tc>
      </w:tr>
      <w:tr>
        <w:trPr>
          <w:trHeight w:val="209"/>
        </w:trPr>
        <w:tc>
          <w:tcPr>
            <w:tcW w:w="6640" w:type="dxa"/>
            <w:vAlign w:val="bottom"/>
            <w:tcBorders>
              <w:bottom w:val="single" w:sz="8" w:color="auto"/>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Current Income Tax Expense</w:t>
            </w:r>
          </w:p>
        </w:tc>
        <w:tc>
          <w:tcPr>
            <w:tcW w:w="46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4,818</w:t>
            </w:r>
          </w:p>
        </w:tc>
        <w:tc>
          <w:tcPr>
            <w:tcW w:w="26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491</w:t>
            </w:r>
          </w:p>
        </w:tc>
        <w:tc>
          <w:tcPr>
            <w:tcW w:w="52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45,884</w:t>
            </w:r>
          </w:p>
        </w:tc>
        <w:tc>
          <w:tcPr>
            <w:tcW w:w="0" w:type="dxa"/>
            <w:vAlign w:val="bottom"/>
          </w:tcPr>
          <w:p>
            <w:pPr>
              <w:spacing w:after="0"/>
              <w:rPr>
                <w:sz w:val="1"/>
                <w:szCs w:val="1"/>
                <w:color w:val="auto"/>
              </w:rPr>
            </w:pPr>
          </w:p>
        </w:tc>
      </w:tr>
      <w:tr>
        <w:trPr>
          <w:trHeight w:val="210"/>
        </w:trPr>
        <w:tc>
          <w:tcPr>
            <w:tcW w:w="6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Deferred</w:t>
            </w:r>
          </w:p>
        </w:tc>
        <w:tc>
          <w:tcPr>
            <w:tcW w:w="4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U.S. federal</w:t>
            </w:r>
          </w:p>
        </w:tc>
        <w:tc>
          <w:tcPr>
            <w:tcW w:w="46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20,226</w:t>
            </w:r>
          </w:p>
        </w:tc>
        <w:tc>
          <w:tcPr>
            <w:tcW w:w="26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(5,060 )</w:t>
            </w:r>
          </w:p>
        </w:tc>
        <w:tc>
          <w:tcPr>
            <w:tcW w:w="5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(25,704 )</w:t>
            </w:r>
          </w:p>
        </w:tc>
        <w:tc>
          <w:tcPr>
            <w:tcW w:w="0" w:type="dxa"/>
            <w:vAlign w:val="bottom"/>
          </w:tcPr>
          <w:p>
            <w:pPr>
              <w:spacing w:after="0"/>
              <w:rPr>
                <w:sz w:val="1"/>
                <w:szCs w:val="1"/>
                <w:color w:val="auto"/>
              </w:rPr>
            </w:pPr>
          </w:p>
        </w:tc>
      </w:tr>
      <w:tr>
        <w:trPr>
          <w:trHeight w:val="216"/>
        </w:trPr>
        <w:tc>
          <w:tcPr>
            <w:tcW w:w="66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International</w:t>
            </w:r>
          </w:p>
        </w:tc>
        <w:tc>
          <w:tcPr>
            <w:tcW w:w="460" w:type="dxa"/>
            <w:vAlign w:val="bottom"/>
          </w:tcPr>
          <w:p>
            <w:pPr>
              <w:spacing w:after="0"/>
              <w:rPr>
                <w:sz w:val="18"/>
                <w:szCs w:val="18"/>
                <w:color w:val="auto"/>
              </w:rPr>
            </w:pPr>
          </w:p>
        </w:tc>
        <w:tc>
          <w:tcPr>
            <w:tcW w:w="104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515</w:t>
            </w:r>
          </w:p>
        </w:tc>
        <w:tc>
          <w:tcPr>
            <w:tcW w:w="260" w:type="dxa"/>
            <w:vAlign w:val="bottom"/>
          </w:tcPr>
          <w:p>
            <w:pPr>
              <w:spacing w:after="0"/>
              <w:rPr>
                <w:sz w:val="18"/>
                <w:szCs w:val="18"/>
                <w:color w:val="auto"/>
              </w:rPr>
            </w:pPr>
          </w:p>
        </w:tc>
        <w:tc>
          <w:tcPr>
            <w:tcW w:w="1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1,074</w:t>
            </w:r>
          </w:p>
        </w:tc>
        <w:tc>
          <w:tcPr>
            <w:tcW w:w="52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748</w:t>
            </w:r>
          </w:p>
        </w:tc>
        <w:tc>
          <w:tcPr>
            <w:tcW w:w="0" w:type="dxa"/>
            <w:vAlign w:val="bottom"/>
          </w:tcPr>
          <w:p>
            <w:pPr>
              <w:spacing w:after="0"/>
              <w:rPr>
                <w:sz w:val="1"/>
                <w:szCs w:val="1"/>
                <w:color w:val="auto"/>
              </w:rPr>
            </w:pPr>
          </w:p>
        </w:tc>
      </w:tr>
      <w:tr>
        <w:trPr>
          <w:trHeight w:val="216"/>
        </w:trPr>
        <w:tc>
          <w:tcPr>
            <w:tcW w:w="6640" w:type="dxa"/>
            <w:vAlign w:val="bottom"/>
            <w:tcBorders>
              <w:bottom w:val="single" w:sz="8" w:color="auto"/>
            </w:tcBorders>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State</w:t>
            </w:r>
          </w:p>
        </w:tc>
        <w:tc>
          <w:tcPr>
            <w:tcW w:w="46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6,017</w:t>
            </w:r>
          </w:p>
        </w:tc>
        <w:tc>
          <w:tcPr>
            <w:tcW w:w="26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7,438</w:t>
            </w:r>
          </w:p>
        </w:tc>
        <w:tc>
          <w:tcPr>
            <w:tcW w:w="52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(1,438 )</w:t>
            </w:r>
          </w:p>
        </w:tc>
        <w:tc>
          <w:tcPr>
            <w:tcW w:w="0" w:type="dxa"/>
            <w:vAlign w:val="bottom"/>
          </w:tcPr>
          <w:p>
            <w:pPr>
              <w:spacing w:after="0"/>
              <w:rPr>
                <w:sz w:val="1"/>
                <w:szCs w:val="1"/>
                <w:color w:val="auto"/>
              </w:rPr>
            </w:pPr>
          </w:p>
        </w:tc>
      </w:tr>
      <w:tr>
        <w:trPr>
          <w:trHeight w:val="210"/>
        </w:trPr>
        <w:tc>
          <w:tcPr>
            <w:tcW w:w="66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Total Deferred Income Tax Expense (Benefit)</w:t>
            </w:r>
          </w:p>
        </w:tc>
        <w:tc>
          <w:tcPr>
            <w:tcW w:w="4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26,758</w:t>
            </w: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3,452</w:t>
            </w:r>
          </w:p>
        </w:tc>
        <w:tc>
          <w:tcPr>
            <w:tcW w:w="5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(26,394 )</w:t>
            </w:r>
          </w:p>
        </w:tc>
        <w:tc>
          <w:tcPr>
            <w:tcW w:w="0" w:type="dxa"/>
            <w:vAlign w:val="bottom"/>
          </w:tcPr>
          <w:p>
            <w:pPr>
              <w:spacing w:after="0"/>
              <w:rPr>
                <w:sz w:val="1"/>
                <w:szCs w:val="1"/>
                <w:color w:val="auto"/>
              </w:rPr>
            </w:pPr>
          </w:p>
        </w:tc>
      </w:tr>
      <w:tr>
        <w:trPr>
          <w:trHeight w:val="210"/>
        </w:trPr>
        <w:tc>
          <w:tcPr>
            <w:tcW w:w="66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Interest Related to Income Taxes</w:t>
            </w:r>
          </w:p>
        </w:tc>
        <w:tc>
          <w:tcPr>
            <w:tcW w:w="46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U.S. federal</w:t>
            </w:r>
          </w:p>
        </w:tc>
        <w:tc>
          <w:tcPr>
            <w:tcW w:w="46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(3,062 )</w:t>
            </w:r>
          </w:p>
        </w:tc>
        <w:tc>
          <w:tcPr>
            <w:tcW w:w="26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(2,728 )</w:t>
            </w:r>
          </w:p>
        </w:tc>
        <w:tc>
          <w:tcPr>
            <w:tcW w:w="5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(1,662 )</w:t>
            </w:r>
          </w:p>
        </w:tc>
        <w:tc>
          <w:tcPr>
            <w:tcW w:w="0" w:type="dxa"/>
            <w:vAlign w:val="bottom"/>
          </w:tcPr>
          <w:p>
            <w:pPr>
              <w:spacing w:after="0"/>
              <w:rPr>
                <w:sz w:val="1"/>
                <w:szCs w:val="1"/>
                <w:color w:val="auto"/>
              </w:rPr>
            </w:pPr>
          </w:p>
        </w:tc>
      </w:tr>
      <w:tr>
        <w:trPr>
          <w:trHeight w:val="216"/>
        </w:trPr>
        <w:tc>
          <w:tcPr>
            <w:tcW w:w="664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International</w:t>
            </w:r>
          </w:p>
        </w:tc>
        <w:tc>
          <w:tcPr>
            <w:tcW w:w="46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640" w:type="dxa"/>
            <w:vAlign w:val="bottom"/>
            <w:tcBorders>
              <w:bottom w:val="single" w:sz="8" w:color="auto"/>
            </w:tcBorders>
            <w:gridSpan w:val="2"/>
          </w:tcPr>
          <w:p>
            <w:pPr>
              <w:ind w:left="200"/>
              <w:spacing w:after="0"/>
              <w:rPr>
                <w:sz w:val="20"/>
                <w:szCs w:val="20"/>
                <w:color w:val="auto"/>
              </w:rPr>
            </w:pPr>
            <w:r>
              <w:rPr>
                <w:rFonts w:ascii="Times New Roman" w:cs="Times New Roman" w:eastAsia="Times New Roman" w:hAnsi="Times New Roman"/>
                <w:sz w:val="18"/>
                <w:szCs w:val="18"/>
                <w:color w:val="auto"/>
              </w:rPr>
              <w:t>State</w:t>
            </w:r>
          </w:p>
        </w:tc>
        <w:tc>
          <w:tcPr>
            <w:tcW w:w="4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203</w:t>
            </w: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66</w:t>
            </w:r>
          </w:p>
        </w:tc>
        <w:tc>
          <w:tcPr>
            <w:tcW w:w="5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0"/>
        </w:trPr>
        <w:tc>
          <w:tcPr>
            <w:tcW w:w="6480" w:type="dxa"/>
            <w:vAlign w:val="bottom"/>
            <w:tcBorders>
              <w:bottom w:val="single" w:sz="8" w:color="auto"/>
            </w:tcBorders>
            <w:shd w:val="clear" w:color="auto" w:fill="CAEDFB"/>
          </w:tcPr>
          <w:p>
            <w:pPr>
              <w:ind w:left="20"/>
              <w:spacing w:after="0"/>
              <w:rPr>
                <w:sz w:val="20"/>
                <w:szCs w:val="20"/>
                <w:color w:val="auto"/>
              </w:rPr>
            </w:pPr>
            <w:r>
              <w:rPr>
                <w:rFonts w:ascii="Times New Roman" w:cs="Times New Roman" w:eastAsia="Times New Roman" w:hAnsi="Times New Roman"/>
                <w:sz w:val="18"/>
                <w:szCs w:val="18"/>
                <w:color w:val="auto"/>
              </w:rPr>
              <w:t>Total Net Interest Related to Income Taxes</w:t>
            </w:r>
          </w:p>
        </w:tc>
        <w:tc>
          <w:tcPr>
            <w:tcW w:w="160" w:type="dxa"/>
            <w:vAlign w:val="bottom"/>
            <w:tcBorders>
              <w:bottom w:val="single" w:sz="8" w:color="auto"/>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(2,859 )</w:t>
            </w:r>
          </w:p>
        </w:tc>
        <w:tc>
          <w:tcPr>
            <w:tcW w:w="26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(2,662 )</w:t>
            </w:r>
          </w:p>
        </w:tc>
        <w:tc>
          <w:tcPr>
            <w:tcW w:w="52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(1,659 )</w:t>
            </w:r>
          </w:p>
        </w:tc>
        <w:tc>
          <w:tcPr>
            <w:tcW w:w="0" w:type="dxa"/>
            <w:vAlign w:val="bottom"/>
          </w:tcPr>
          <w:p>
            <w:pPr>
              <w:spacing w:after="0"/>
              <w:rPr>
                <w:sz w:val="1"/>
                <w:szCs w:val="1"/>
                <w:color w:val="auto"/>
              </w:rPr>
            </w:pPr>
          </w:p>
        </w:tc>
      </w:tr>
      <w:tr>
        <w:trPr>
          <w:trHeight w:val="191"/>
        </w:trPr>
        <w:tc>
          <w:tcPr>
            <w:tcW w:w="648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Tax Expense Recognized for Unrecognized Tax Benefits (“UTBS”) in the Statement of</w:t>
            </w: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Operations</w:t>
            </w:r>
          </w:p>
        </w:tc>
        <w:tc>
          <w:tcPr>
            <w:tcW w:w="4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64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U.S. federal</w:t>
            </w:r>
          </w:p>
        </w:tc>
        <w:tc>
          <w:tcPr>
            <w:tcW w:w="46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6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International</w:t>
            </w:r>
          </w:p>
        </w:tc>
        <w:tc>
          <w:tcPr>
            <w:tcW w:w="460" w:type="dxa"/>
            <w:vAlign w:val="bottom"/>
          </w:tcPr>
          <w:p>
            <w:pPr>
              <w:spacing w:after="0"/>
              <w:rPr>
                <w:sz w:val="18"/>
                <w:szCs w:val="18"/>
                <w:color w:val="auto"/>
              </w:rPr>
            </w:pPr>
          </w:p>
        </w:tc>
        <w:tc>
          <w:tcPr>
            <w:tcW w:w="104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Pr>
          <w:p>
            <w:pPr>
              <w:spacing w:after="0"/>
              <w:rPr>
                <w:sz w:val="18"/>
                <w:szCs w:val="18"/>
                <w:color w:val="auto"/>
              </w:rPr>
            </w:pPr>
          </w:p>
        </w:tc>
        <w:tc>
          <w:tcPr>
            <w:tcW w:w="1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640" w:type="dxa"/>
            <w:vAlign w:val="bottom"/>
            <w:tcBorders>
              <w:bottom w:val="single" w:sz="8" w:color="auto"/>
            </w:tcBorders>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State</w:t>
            </w:r>
          </w:p>
        </w:tc>
        <w:tc>
          <w:tcPr>
            <w:tcW w:w="46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103</w:t>
            </w:r>
          </w:p>
        </w:tc>
        <w:tc>
          <w:tcPr>
            <w:tcW w:w="26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573</w:t>
            </w:r>
          </w:p>
        </w:tc>
        <w:tc>
          <w:tcPr>
            <w:tcW w:w="52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66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Total Tax Expense Recognized for UTBS in the Statement of Operations</w:t>
            </w:r>
          </w:p>
        </w:tc>
        <w:tc>
          <w:tcPr>
            <w:tcW w:w="4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103</w:t>
            </w: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573</w:t>
            </w:r>
          </w:p>
        </w:tc>
        <w:tc>
          <w:tcPr>
            <w:tcW w:w="5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6640" w:type="dxa"/>
            <w:vAlign w:val="bottom"/>
            <w:tcBorders>
              <w:bottom w:val="single" w:sz="8" w:color="auto"/>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Income Tax Expense – Continuing Operations</w:t>
            </w:r>
          </w:p>
        </w:tc>
        <w:tc>
          <w:tcPr>
            <w:tcW w:w="460" w:type="dxa"/>
            <w:vAlign w:val="bottom"/>
            <w:tcBorders>
              <w:bottom w:val="single" w:sz="8" w:color="auto"/>
            </w:tcBorders>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28,820</w:t>
            </w:r>
          </w:p>
        </w:tc>
        <w:tc>
          <w:tcPr>
            <w:tcW w:w="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1,854</w:t>
            </w:r>
          </w:p>
        </w:tc>
        <w:tc>
          <w:tcPr>
            <w:tcW w:w="520" w:type="dxa"/>
            <w:vAlign w:val="bottom"/>
            <w:tcBorders>
              <w:bottom w:val="single" w:sz="8" w:color="auto"/>
            </w:tcBorders>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17,831</w:t>
            </w:r>
          </w:p>
        </w:tc>
        <w:tc>
          <w:tcPr>
            <w:tcW w:w="0" w:type="dxa"/>
            <w:vAlign w:val="bottom"/>
          </w:tcPr>
          <w:p>
            <w:pPr>
              <w:spacing w:after="0"/>
              <w:rPr>
                <w:sz w:val="1"/>
                <w:szCs w:val="1"/>
                <w:color w:val="auto"/>
              </w:rPr>
            </w:pPr>
          </w:p>
        </w:tc>
      </w:tr>
      <w:tr>
        <w:trPr>
          <w:trHeight w:val="628"/>
        </w:trPr>
        <w:tc>
          <w:tcPr>
            <w:tcW w:w="6480" w:type="dxa"/>
            <w:vAlign w:val="bottom"/>
          </w:tcPr>
          <w:p>
            <w:pPr>
              <w:ind w:left="5540"/>
              <w:spacing w:after="0"/>
              <w:rPr>
                <w:sz w:val="20"/>
                <w:szCs w:val="20"/>
                <w:color w:val="auto"/>
              </w:rPr>
            </w:pPr>
            <w:r>
              <w:rPr>
                <w:rFonts w:ascii="Times New Roman" w:cs="Times New Roman" w:eastAsia="Times New Roman" w:hAnsi="Times New Roman"/>
                <w:sz w:val="18"/>
                <w:szCs w:val="18"/>
                <w:color w:val="auto"/>
              </w:rPr>
              <w:t>68</w:t>
            </w: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64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68" w:name="page69"/>
    <w:bookmarkEnd w:id="68"/>
    <w:p>
      <w:pPr>
        <w:jc w:val="center"/>
        <w:spacing w:after="0"/>
        <w:rPr>
          <w:sz w:val="20"/>
          <w:szCs w:val="20"/>
          <w:color w:val="auto"/>
        </w:rPr>
      </w:pPr>
      <w:r>
        <w:rPr>
          <w:rFonts w:ascii="Times New Roman" w:cs="Times New Roman" w:eastAsia="Times New Roman" w:hAnsi="Times New Roman"/>
          <w:sz w:val="18"/>
          <w:szCs w:val="18"/>
          <w:b w:val="1"/>
          <w:bCs w:val="1"/>
          <w:color w:val="auto"/>
        </w:rPr>
        <w:t>Genesco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Income Taxes, Continued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Reconciliation of the United States federal statutory rate to our effective tax rate from continuing operations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380" w:type="dxa"/>
            <w:vAlign w:val="bottom"/>
          </w:tcPr>
          <w:p>
            <w:pPr>
              <w:spacing w:after="0"/>
              <w:rPr>
                <w:sz w:val="20"/>
                <w:szCs w:val="20"/>
                <w:color w:val="auto"/>
              </w:rPr>
            </w:pPr>
          </w:p>
        </w:tc>
        <w:tc>
          <w:tcPr>
            <w:tcW w:w="170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Fiscal Year</w:t>
            </w:r>
          </w:p>
        </w:tc>
        <w:tc>
          <w:tcPr>
            <w:tcW w:w="1140" w:type="dxa"/>
            <w:vAlign w:val="bottom"/>
            <w:tcBorders>
              <w:bottom w:val="single" w:sz="8" w:color="auto"/>
            </w:tcBorders>
          </w:tcPr>
          <w:p>
            <w:pPr>
              <w:spacing w:after="0"/>
              <w:rPr>
                <w:sz w:val="20"/>
                <w:szCs w:val="20"/>
                <w:color w:val="auto"/>
              </w:rPr>
            </w:pPr>
          </w:p>
        </w:tc>
      </w:tr>
      <w:tr>
        <w:trPr>
          <w:trHeight w:val="209"/>
        </w:trPr>
        <w:tc>
          <w:tcPr>
            <w:tcW w:w="63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2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color w:val="auto"/>
              </w:rPr>
              <w:t>2024</w:t>
            </w:r>
          </w:p>
        </w:tc>
        <w:tc>
          <w:tcPr>
            <w:tcW w:w="11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2023</w:t>
            </w:r>
          </w:p>
        </w:tc>
      </w:tr>
      <w:tr>
        <w:trPr>
          <w:trHeight w:val="210"/>
        </w:trPr>
        <w:tc>
          <w:tcPr>
            <w:tcW w:w="6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 S. federal statutory rate of tax</w:t>
            </w:r>
          </w:p>
        </w:tc>
        <w:tc>
          <w:tcPr>
            <w:tcW w:w="170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21.00 %</w:t>
            </w:r>
          </w:p>
        </w:tc>
        <w:tc>
          <w:tcPr>
            <w:tcW w:w="2020" w:type="dxa"/>
            <w:vAlign w:val="bottom"/>
            <w:shd w:val="clear" w:color="auto" w:fill="CFF0FC"/>
          </w:tcPr>
          <w:p>
            <w:pPr>
              <w:jc w:val="right"/>
              <w:ind w:right="490"/>
              <w:spacing w:after="0"/>
              <w:rPr>
                <w:sz w:val="20"/>
                <w:szCs w:val="20"/>
                <w:color w:val="auto"/>
              </w:rPr>
            </w:pPr>
            <w:r>
              <w:rPr>
                <w:rFonts w:ascii="Times New Roman" w:cs="Times New Roman" w:eastAsia="Times New Roman" w:hAnsi="Times New Roman"/>
                <w:sz w:val="18"/>
                <w:szCs w:val="18"/>
                <w:color w:val="auto"/>
              </w:rPr>
              <w:t>21.00 %</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21.00 %</w:t>
            </w:r>
          </w:p>
        </w:tc>
      </w:tr>
      <w:tr>
        <w:trPr>
          <w:trHeight w:val="216"/>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 taxes (net of federal tax benefit)</w:t>
            </w:r>
          </w:p>
        </w:tc>
        <w:tc>
          <w:tcPr>
            <w:tcW w:w="17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1.06</w:t>
            </w:r>
          </w:p>
        </w:tc>
        <w:tc>
          <w:tcPr>
            <w:tcW w:w="202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(0.92 )</w:t>
            </w:r>
          </w:p>
        </w:tc>
        <w:tc>
          <w:tcPr>
            <w:tcW w:w="11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2.08</w:t>
            </w:r>
          </w:p>
        </w:tc>
      </w:tr>
      <w:tr>
        <w:trPr>
          <w:trHeight w:val="216"/>
        </w:trPr>
        <w:tc>
          <w:tcPr>
            <w:tcW w:w="6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Foreign rate differential</w:t>
            </w:r>
          </w:p>
        </w:tc>
        <w:tc>
          <w:tcPr>
            <w:tcW w:w="1700" w:type="dxa"/>
            <w:vAlign w:val="bottom"/>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1.89</w:t>
            </w:r>
          </w:p>
        </w:tc>
        <w:tc>
          <w:tcPr>
            <w:tcW w:w="2020" w:type="dxa"/>
            <w:vAlign w:val="bottom"/>
            <w:shd w:val="clear" w:color="auto" w:fill="CFF0FC"/>
          </w:tcPr>
          <w:p>
            <w:pPr>
              <w:jc w:val="right"/>
              <w:ind w:right="650"/>
              <w:spacing w:after="0"/>
              <w:rPr>
                <w:sz w:val="20"/>
                <w:szCs w:val="20"/>
                <w:color w:val="auto"/>
              </w:rPr>
            </w:pPr>
            <w:r>
              <w:rPr>
                <w:rFonts w:ascii="Times New Roman" w:cs="Times New Roman" w:eastAsia="Times New Roman" w:hAnsi="Times New Roman"/>
                <w:sz w:val="18"/>
                <w:szCs w:val="18"/>
                <w:color w:val="auto"/>
              </w:rPr>
              <w:t>0.76</w:t>
            </w:r>
          </w:p>
        </w:tc>
        <w:tc>
          <w:tcPr>
            <w:tcW w:w="11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(0.02 )</w:t>
            </w:r>
          </w:p>
        </w:tc>
      </w:tr>
      <w:tr>
        <w:trPr>
          <w:trHeight w:val="216"/>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17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305.14</w:t>
            </w:r>
          </w:p>
        </w:tc>
        <w:tc>
          <w:tcPr>
            <w:tcW w:w="202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(33.57 )</w:t>
            </w: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(1.12 )</w:t>
            </w:r>
          </w:p>
        </w:tc>
      </w:tr>
      <w:tr>
        <w:trPr>
          <w:trHeight w:val="216"/>
        </w:trPr>
        <w:tc>
          <w:tcPr>
            <w:tcW w:w="6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Uncertain tax position</w:t>
            </w:r>
          </w:p>
        </w:tc>
        <w:tc>
          <w:tcPr>
            <w:tcW w:w="1700" w:type="dxa"/>
            <w:vAlign w:val="bottom"/>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1.10</w:t>
            </w:r>
          </w:p>
        </w:tc>
        <w:tc>
          <w:tcPr>
            <w:tcW w:w="2020" w:type="dxa"/>
            <w:vAlign w:val="bottom"/>
            <w:shd w:val="clear" w:color="auto" w:fill="CFF0FC"/>
          </w:tcPr>
          <w:p>
            <w:pPr>
              <w:jc w:val="right"/>
              <w:ind w:right="570"/>
              <w:spacing w:after="0"/>
              <w:rPr>
                <w:sz w:val="20"/>
                <w:szCs w:val="20"/>
                <w:color w:val="auto"/>
              </w:rPr>
            </w:pPr>
            <w:r>
              <w:rPr>
                <w:rFonts w:ascii="Times New Roman" w:cs="Times New Roman" w:eastAsia="Times New Roman" w:hAnsi="Times New Roman"/>
                <w:sz w:val="18"/>
                <w:szCs w:val="18"/>
                <w:color w:val="auto"/>
              </w:rPr>
              <w:t>(2.63 )</w:t>
            </w:r>
          </w:p>
        </w:tc>
        <w:tc>
          <w:tcPr>
            <w:tcW w:w="114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Credits</w:t>
            </w:r>
          </w:p>
        </w:tc>
        <w:tc>
          <w:tcPr>
            <w:tcW w:w="17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(9.83 )</w:t>
            </w:r>
          </w:p>
        </w:tc>
        <w:tc>
          <w:tcPr>
            <w:tcW w:w="202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4.54</w:t>
            </w: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(1.18 )</w:t>
            </w:r>
          </w:p>
        </w:tc>
      </w:tr>
      <w:tr>
        <w:trPr>
          <w:trHeight w:val="216"/>
        </w:trPr>
        <w:tc>
          <w:tcPr>
            <w:tcW w:w="6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Global intangible low-tax income</w:t>
            </w:r>
          </w:p>
        </w:tc>
        <w:tc>
          <w:tcPr>
            <w:tcW w:w="1700" w:type="dxa"/>
            <w:vAlign w:val="bottom"/>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2020" w:type="dxa"/>
            <w:vAlign w:val="bottom"/>
            <w:shd w:val="clear" w:color="auto" w:fill="CFF0FC"/>
          </w:tcPr>
          <w:p>
            <w:pPr>
              <w:jc w:val="right"/>
              <w:ind w:right="570"/>
              <w:spacing w:after="0"/>
              <w:rPr>
                <w:sz w:val="20"/>
                <w:szCs w:val="20"/>
                <w:color w:val="auto"/>
              </w:rPr>
            </w:pPr>
            <w:r>
              <w:rPr>
                <w:rFonts w:ascii="Times New Roman" w:cs="Times New Roman" w:eastAsia="Times New Roman" w:hAnsi="Times New Roman"/>
                <w:sz w:val="18"/>
                <w:szCs w:val="18"/>
                <w:color w:val="auto"/>
              </w:rPr>
              <w:t>(2.34 )</w:t>
            </w:r>
          </w:p>
        </w:tc>
        <w:tc>
          <w:tcPr>
            <w:tcW w:w="114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Permanent items</w:t>
            </w:r>
          </w:p>
        </w:tc>
        <w:tc>
          <w:tcPr>
            <w:tcW w:w="17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11.56</w:t>
            </w:r>
          </w:p>
        </w:tc>
        <w:tc>
          <w:tcPr>
            <w:tcW w:w="202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(4.50 )</w:t>
            </w:r>
          </w:p>
        </w:tc>
        <w:tc>
          <w:tcPr>
            <w:tcW w:w="11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0.64</w:t>
            </w:r>
          </w:p>
        </w:tc>
      </w:tr>
      <w:tr>
        <w:trPr>
          <w:trHeight w:val="216"/>
        </w:trPr>
        <w:tc>
          <w:tcPr>
            <w:tcW w:w="6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IRS interest</w:t>
            </w:r>
          </w:p>
        </w:tc>
        <w:tc>
          <w:tcPr>
            <w:tcW w:w="170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(25.99 )</w:t>
            </w:r>
          </w:p>
        </w:tc>
        <w:tc>
          <w:tcPr>
            <w:tcW w:w="2020" w:type="dxa"/>
            <w:vAlign w:val="bottom"/>
            <w:shd w:val="clear" w:color="auto" w:fill="CFF0FC"/>
          </w:tcPr>
          <w:p>
            <w:pPr>
              <w:jc w:val="right"/>
              <w:ind w:right="650"/>
              <w:spacing w:after="0"/>
              <w:rPr>
                <w:sz w:val="20"/>
                <w:szCs w:val="20"/>
                <w:color w:val="auto"/>
              </w:rPr>
            </w:pPr>
            <w:r>
              <w:rPr>
                <w:rFonts w:ascii="Times New Roman" w:cs="Times New Roman" w:eastAsia="Times New Roman" w:hAnsi="Times New Roman"/>
                <w:sz w:val="18"/>
                <w:szCs w:val="18"/>
                <w:color w:val="auto"/>
              </w:rPr>
              <w:t>9.90</w:t>
            </w:r>
          </w:p>
        </w:tc>
        <w:tc>
          <w:tcPr>
            <w:tcW w:w="11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(1.46 )</w:t>
            </w:r>
          </w:p>
        </w:tc>
      </w:tr>
      <w:tr>
        <w:trPr>
          <w:trHeight w:val="216"/>
        </w:trPr>
        <w:tc>
          <w:tcPr>
            <w:tcW w:w="6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7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3.70</w:t>
            </w:r>
          </w:p>
        </w:tc>
        <w:tc>
          <w:tcPr>
            <w:tcW w:w="202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(0.75 )</w:t>
            </w:r>
          </w:p>
        </w:tc>
        <w:tc>
          <w:tcPr>
            <w:tcW w:w="11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(0.14 )</w:t>
            </w:r>
          </w:p>
        </w:tc>
      </w:tr>
      <w:tr>
        <w:trPr>
          <w:trHeight w:val="250"/>
        </w:trPr>
        <w:tc>
          <w:tcPr>
            <w:tcW w:w="638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Effective Tax Rate</w:t>
            </w:r>
          </w:p>
        </w:tc>
        <w:tc>
          <w:tcPr>
            <w:tcW w:w="170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309.63 %</w:t>
            </w:r>
          </w:p>
        </w:tc>
        <w:tc>
          <w:tcPr>
            <w:tcW w:w="2020" w:type="dxa"/>
            <w:vAlign w:val="bottom"/>
            <w:tcBorders>
              <w:bottom w:val="single" w:sz="8" w:color="auto"/>
            </w:tcBorders>
            <w:shd w:val="clear" w:color="auto" w:fill="CFF0FC"/>
          </w:tcPr>
          <w:p>
            <w:pPr>
              <w:jc w:val="right"/>
              <w:ind w:right="430"/>
              <w:spacing w:after="0"/>
              <w:rPr>
                <w:sz w:val="20"/>
                <w:szCs w:val="20"/>
                <w:color w:val="auto"/>
              </w:rPr>
            </w:pPr>
            <w:r>
              <w:rPr>
                <w:rFonts w:ascii="Times New Roman" w:cs="Times New Roman" w:eastAsia="Times New Roman" w:hAnsi="Times New Roman"/>
                <w:sz w:val="18"/>
                <w:szCs w:val="18"/>
                <w:color w:val="auto"/>
              </w:rPr>
              <w:t>(8.51 )%</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19.80 %</w:t>
            </w:r>
          </w:p>
        </w:tc>
      </w:tr>
    </w:tbl>
    <w:p>
      <w:pPr>
        <w:spacing w:after="0" w:line="15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are subject to a tax on global intangible low-tax income (“GILTI”). GILTI taxes foreign income in excess of deemed return on tangible assets of a foreign corporation and we elected to treat this tax as a period cost. The impact from GILTI was not material for Fiscal 2025, 2024 or 2023.</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of February 3, 2024, our Consolidated Balance Sheets included a $56.8 million non-current prepaid income tax receivable. This receivable related to the remaining uncollected portion of our $107.2 million carryback of our Fiscal 2021 federal tax losses to prior tax periods under the CARES Act. Due to an IRS audit, the refund claim had been under review by the requirements of the Joint Committee on Taxation refund review process. On January 17, 2025, we executed Form 870 with the IRS exam team and began the process of completing the separate Joint Committee on Taxation review of our claim. Form 870 is used upon completion of an IRS examination to indicate the taxpayer’s agreement with the revenue agent’s report of proposed adjustments and agreement to pay any deficiency. As a result, we now expect a refund of $59.3 million based on additional accrued interest and minor changes to the refund as agreed to on Form 870. Further, we now expect to complete the remaining requirements of the Joint Committee on Taxation governmental review process and collect the refund during Fiscal 2026. As such, we have moved the receivable from noncurrent prepaid income taxes to prepaids and other current assets on the Consolidated Balance Sheets as of February 1, 2025.</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69" w:name="page70"/>
    <w:bookmarkEnd w:id="69"/>
    <w:p>
      <w:pPr>
        <w:jc w:val="center"/>
        <w:spacing w:after="0"/>
        <w:rPr>
          <w:sz w:val="20"/>
          <w:szCs w:val="20"/>
          <w:color w:val="auto"/>
        </w:rPr>
      </w:pPr>
      <w:r>
        <w:rPr>
          <w:rFonts w:ascii="Times New Roman" w:cs="Times New Roman" w:eastAsia="Times New Roman" w:hAnsi="Times New Roman"/>
          <w:sz w:val="18"/>
          <w:szCs w:val="18"/>
          <w:b w:val="1"/>
          <w:bCs w:val="1"/>
          <w:color w:val="auto"/>
        </w:rPr>
        <w:t>Genesco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Income Taxes, Continued</w:t>
      </w: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assets and liabilities are comprised of the following:</w:t>
            </w:r>
          </w:p>
        </w:tc>
        <w:tc>
          <w:tcPr>
            <w:tcW w:w="14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14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February 1, 2025</w:t>
            </w:r>
          </w:p>
        </w:tc>
        <w:tc>
          <w:tcPr>
            <w:tcW w:w="7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February 3, 2024</w:t>
            </w:r>
          </w:p>
        </w:tc>
        <w:tc>
          <w:tcPr>
            <w:tcW w:w="0" w:type="dxa"/>
            <w:vAlign w:val="bottom"/>
          </w:tcPr>
          <w:p>
            <w:pPr>
              <w:spacing w:after="0"/>
              <w:rPr>
                <w:sz w:val="1"/>
                <w:szCs w:val="1"/>
                <w:color w:val="auto"/>
              </w:rPr>
            </w:pPr>
          </w:p>
        </w:tc>
      </w:tr>
      <w:tr>
        <w:trPr>
          <w:trHeight w:val="210"/>
        </w:trPr>
        <w:tc>
          <w:tcPr>
            <w:tcW w:w="5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Pensions</w:t>
            </w:r>
          </w:p>
        </w:tc>
        <w:tc>
          <w:tcPr>
            <w:tcW w:w="1460" w:type="dxa"/>
            <w:vAlign w:val="bottom"/>
            <w:shd w:val="clear" w:color="auto" w:fill="CFF0FC"/>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c>
          <w:tcPr>
            <w:tcW w:w="172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738</w:t>
            </w:r>
          </w:p>
        </w:tc>
        <w:tc>
          <w:tcPr>
            <w:tcW w:w="700" w:type="dxa"/>
            <w:vAlign w:val="bottom"/>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18"/>
                <w:szCs w:val="18"/>
                <w:color w:val="auto"/>
              </w:rPr>
            </w:pPr>
          </w:p>
        </w:tc>
        <w:tc>
          <w:tcPr>
            <w:tcW w:w="14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348</w:t>
            </w:r>
          </w:p>
        </w:tc>
        <w:tc>
          <w:tcPr>
            <w:tcW w:w="0" w:type="dxa"/>
            <w:vAlign w:val="bottom"/>
          </w:tcPr>
          <w:p>
            <w:pPr>
              <w:spacing w:after="0"/>
              <w:rPr>
                <w:sz w:val="1"/>
                <w:szCs w:val="1"/>
                <w:color w:val="auto"/>
              </w:rPr>
            </w:pPr>
          </w:p>
        </w:tc>
      </w:tr>
      <w:tr>
        <w:trPr>
          <w:trHeight w:val="216"/>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 obligation</w:t>
            </w:r>
          </w:p>
        </w:tc>
        <w:tc>
          <w:tcPr>
            <w:tcW w:w="1460" w:type="dxa"/>
            <w:vAlign w:val="bottom"/>
          </w:tcPr>
          <w:p>
            <w:pPr>
              <w:spacing w:after="0"/>
              <w:rPr>
                <w:sz w:val="18"/>
                <w:szCs w:val="18"/>
                <w:color w:val="auto"/>
              </w:rPr>
            </w:pPr>
          </w:p>
        </w:tc>
        <w:tc>
          <w:tcPr>
            <w:tcW w:w="17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126,744</w:t>
            </w: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127,220</w:t>
            </w:r>
          </w:p>
        </w:tc>
        <w:tc>
          <w:tcPr>
            <w:tcW w:w="0" w:type="dxa"/>
            <w:vAlign w:val="bottom"/>
          </w:tcPr>
          <w:p>
            <w:pPr>
              <w:spacing w:after="0"/>
              <w:rPr>
                <w:sz w:val="1"/>
                <w:szCs w:val="1"/>
                <w:color w:val="auto"/>
              </w:rPr>
            </w:pPr>
          </w:p>
        </w:tc>
      </w:tr>
      <w:tr>
        <w:trPr>
          <w:trHeight w:val="216"/>
        </w:trPr>
        <w:tc>
          <w:tcPr>
            <w:tcW w:w="5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Book over tax depreciation</w:t>
            </w:r>
          </w:p>
        </w:tc>
        <w:tc>
          <w:tcPr>
            <w:tcW w:w="1460" w:type="dxa"/>
            <w:vAlign w:val="bottom"/>
            <w:shd w:val="clear" w:color="auto" w:fill="CFF0FC"/>
          </w:tcPr>
          <w:p>
            <w:pPr>
              <w:spacing w:after="0"/>
              <w:rPr>
                <w:sz w:val="18"/>
                <w:szCs w:val="18"/>
                <w:color w:val="auto"/>
              </w:rPr>
            </w:pPr>
          </w:p>
        </w:tc>
        <w:tc>
          <w:tcPr>
            <w:tcW w:w="172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14,359</w:t>
            </w:r>
          </w:p>
        </w:tc>
        <w:tc>
          <w:tcPr>
            <w:tcW w:w="7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4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12,976</w:t>
            </w:r>
          </w:p>
        </w:tc>
        <w:tc>
          <w:tcPr>
            <w:tcW w:w="0" w:type="dxa"/>
            <w:vAlign w:val="bottom"/>
          </w:tcPr>
          <w:p>
            <w:pPr>
              <w:spacing w:after="0"/>
              <w:rPr>
                <w:sz w:val="1"/>
                <w:szCs w:val="1"/>
                <w:color w:val="auto"/>
              </w:rPr>
            </w:pPr>
          </w:p>
        </w:tc>
      </w:tr>
      <w:tr>
        <w:trPr>
          <w:trHeight w:val="216"/>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Expense accruals</w:t>
            </w:r>
          </w:p>
        </w:tc>
        <w:tc>
          <w:tcPr>
            <w:tcW w:w="1460" w:type="dxa"/>
            <w:vAlign w:val="bottom"/>
          </w:tcPr>
          <w:p>
            <w:pPr>
              <w:spacing w:after="0"/>
              <w:rPr>
                <w:sz w:val="18"/>
                <w:szCs w:val="18"/>
                <w:color w:val="auto"/>
              </w:rPr>
            </w:pPr>
          </w:p>
        </w:tc>
        <w:tc>
          <w:tcPr>
            <w:tcW w:w="17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8,509</w:t>
            </w: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10,054</w:t>
            </w:r>
          </w:p>
        </w:tc>
        <w:tc>
          <w:tcPr>
            <w:tcW w:w="0" w:type="dxa"/>
            <w:vAlign w:val="bottom"/>
          </w:tcPr>
          <w:p>
            <w:pPr>
              <w:spacing w:after="0"/>
              <w:rPr>
                <w:sz w:val="1"/>
                <w:szCs w:val="1"/>
                <w:color w:val="auto"/>
              </w:rPr>
            </w:pPr>
          </w:p>
        </w:tc>
      </w:tr>
      <w:tr>
        <w:trPr>
          <w:trHeight w:val="216"/>
        </w:trPr>
        <w:tc>
          <w:tcPr>
            <w:tcW w:w="5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Uniform capitalization costs</w:t>
            </w:r>
          </w:p>
        </w:tc>
        <w:tc>
          <w:tcPr>
            <w:tcW w:w="1460" w:type="dxa"/>
            <w:vAlign w:val="bottom"/>
            <w:shd w:val="clear" w:color="auto" w:fill="CFF0FC"/>
          </w:tcPr>
          <w:p>
            <w:pPr>
              <w:spacing w:after="0"/>
              <w:rPr>
                <w:sz w:val="18"/>
                <w:szCs w:val="18"/>
                <w:color w:val="auto"/>
              </w:rPr>
            </w:pPr>
          </w:p>
        </w:tc>
        <w:tc>
          <w:tcPr>
            <w:tcW w:w="172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8,840</w:t>
            </w:r>
          </w:p>
        </w:tc>
        <w:tc>
          <w:tcPr>
            <w:tcW w:w="7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4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7,515</w:t>
            </w:r>
          </w:p>
        </w:tc>
        <w:tc>
          <w:tcPr>
            <w:tcW w:w="0" w:type="dxa"/>
            <w:vAlign w:val="bottom"/>
          </w:tcPr>
          <w:p>
            <w:pPr>
              <w:spacing w:after="0"/>
              <w:rPr>
                <w:sz w:val="1"/>
                <w:szCs w:val="1"/>
                <w:color w:val="auto"/>
              </w:rPr>
            </w:pPr>
          </w:p>
        </w:tc>
      </w:tr>
      <w:tr>
        <w:trPr>
          <w:trHeight w:val="216"/>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Provisions for discontinued operations and restructurings</w:t>
            </w:r>
          </w:p>
        </w:tc>
        <w:tc>
          <w:tcPr>
            <w:tcW w:w="1460" w:type="dxa"/>
            <w:vAlign w:val="bottom"/>
          </w:tcPr>
          <w:p>
            <w:pPr>
              <w:spacing w:after="0"/>
              <w:rPr>
                <w:sz w:val="18"/>
                <w:szCs w:val="18"/>
                <w:color w:val="auto"/>
              </w:rPr>
            </w:pPr>
          </w:p>
        </w:tc>
        <w:tc>
          <w:tcPr>
            <w:tcW w:w="17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723</w:t>
            </w: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561</w:t>
            </w:r>
          </w:p>
        </w:tc>
        <w:tc>
          <w:tcPr>
            <w:tcW w:w="0" w:type="dxa"/>
            <w:vAlign w:val="bottom"/>
          </w:tcPr>
          <w:p>
            <w:pPr>
              <w:spacing w:after="0"/>
              <w:rPr>
                <w:sz w:val="1"/>
                <w:szCs w:val="1"/>
                <w:color w:val="auto"/>
              </w:rPr>
            </w:pPr>
          </w:p>
        </w:tc>
      </w:tr>
      <w:tr>
        <w:trPr>
          <w:trHeight w:val="216"/>
        </w:trPr>
        <w:tc>
          <w:tcPr>
            <w:tcW w:w="5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IRC Section 163 interest limitation</w:t>
            </w:r>
          </w:p>
        </w:tc>
        <w:tc>
          <w:tcPr>
            <w:tcW w:w="146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4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1,049</w:t>
            </w:r>
          </w:p>
        </w:tc>
        <w:tc>
          <w:tcPr>
            <w:tcW w:w="0" w:type="dxa"/>
            <w:vAlign w:val="bottom"/>
          </w:tcPr>
          <w:p>
            <w:pPr>
              <w:spacing w:after="0"/>
              <w:rPr>
                <w:sz w:val="1"/>
                <w:szCs w:val="1"/>
                <w:color w:val="auto"/>
              </w:rPr>
            </w:pPr>
          </w:p>
        </w:tc>
      </w:tr>
      <w:tr>
        <w:trPr>
          <w:trHeight w:val="216"/>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Inventory valuation</w:t>
            </w:r>
          </w:p>
        </w:tc>
        <w:tc>
          <w:tcPr>
            <w:tcW w:w="1460" w:type="dxa"/>
            <w:vAlign w:val="bottom"/>
          </w:tcPr>
          <w:p>
            <w:pPr>
              <w:spacing w:after="0"/>
              <w:rPr>
                <w:sz w:val="18"/>
                <w:szCs w:val="18"/>
                <w:color w:val="auto"/>
              </w:rPr>
            </w:pPr>
          </w:p>
        </w:tc>
        <w:tc>
          <w:tcPr>
            <w:tcW w:w="17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1,356</w:t>
            </w: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1,235</w:t>
            </w:r>
          </w:p>
        </w:tc>
        <w:tc>
          <w:tcPr>
            <w:tcW w:w="0" w:type="dxa"/>
            <w:vAlign w:val="bottom"/>
          </w:tcPr>
          <w:p>
            <w:pPr>
              <w:spacing w:after="0"/>
              <w:rPr>
                <w:sz w:val="1"/>
                <w:szCs w:val="1"/>
                <w:color w:val="auto"/>
              </w:rPr>
            </w:pPr>
          </w:p>
        </w:tc>
      </w:tr>
      <w:tr>
        <w:trPr>
          <w:trHeight w:val="216"/>
        </w:trPr>
        <w:tc>
          <w:tcPr>
            <w:tcW w:w="5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Tax net operating loss and credit carryforwards</w:t>
            </w:r>
          </w:p>
        </w:tc>
        <w:tc>
          <w:tcPr>
            <w:tcW w:w="1460" w:type="dxa"/>
            <w:vAlign w:val="bottom"/>
            <w:shd w:val="clear" w:color="auto" w:fill="CFF0FC"/>
          </w:tcPr>
          <w:p>
            <w:pPr>
              <w:spacing w:after="0"/>
              <w:rPr>
                <w:sz w:val="18"/>
                <w:szCs w:val="18"/>
                <w:color w:val="auto"/>
              </w:rPr>
            </w:pPr>
          </w:p>
        </w:tc>
        <w:tc>
          <w:tcPr>
            <w:tcW w:w="172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23,732</w:t>
            </w:r>
          </w:p>
        </w:tc>
        <w:tc>
          <w:tcPr>
            <w:tcW w:w="7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4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24,164</w:t>
            </w:r>
          </w:p>
        </w:tc>
        <w:tc>
          <w:tcPr>
            <w:tcW w:w="0" w:type="dxa"/>
            <w:vAlign w:val="bottom"/>
          </w:tcPr>
          <w:p>
            <w:pPr>
              <w:spacing w:after="0"/>
              <w:rPr>
                <w:sz w:val="1"/>
                <w:szCs w:val="1"/>
                <w:color w:val="auto"/>
              </w:rPr>
            </w:pPr>
          </w:p>
        </w:tc>
      </w:tr>
      <w:tr>
        <w:trPr>
          <w:trHeight w:val="216"/>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Allowances for bad debts and notes</w:t>
            </w:r>
          </w:p>
        </w:tc>
        <w:tc>
          <w:tcPr>
            <w:tcW w:w="1460" w:type="dxa"/>
            <w:vAlign w:val="bottom"/>
          </w:tcPr>
          <w:p>
            <w:pPr>
              <w:spacing w:after="0"/>
              <w:rPr>
                <w:sz w:val="18"/>
                <w:szCs w:val="18"/>
                <w:color w:val="auto"/>
              </w:rPr>
            </w:pPr>
          </w:p>
        </w:tc>
        <w:tc>
          <w:tcPr>
            <w:tcW w:w="17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484</w:t>
            </w: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915</w:t>
            </w:r>
          </w:p>
        </w:tc>
        <w:tc>
          <w:tcPr>
            <w:tcW w:w="0" w:type="dxa"/>
            <w:vAlign w:val="bottom"/>
          </w:tcPr>
          <w:p>
            <w:pPr>
              <w:spacing w:after="0"/>
              <w:rPr>
                <w:sz w:val="1"/>
                <w:szCs w:val="1"/>
                <w:color w:val="auto"/>
              </w:rPr>
            </w:pPr>
          </w:p>
        </w:tc>
      </w:tr>
      <w:tr>
        <w:trPr>
          <w:trHeight w:val="216"/>
        </w:trPr>
        <w:tc>
          <w:tcPr>
            <w:tcW w:w="5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compensation and restricted stock</w:t>
            </w:r>
          </w:p>
        </w:tc>
        <w:tc>
          <w:tcPr>
            <w:tcW w:w="1460" w:type="dxa"/>
            <w:vAlign w:val="bottom"/>
            <w:shd w:val="clear" w:color="auto" w:fill="CFF0FC"/>
          </w:tcPr>
          <w:p>
            <w:pPr>
              <w:spacing w:after="0"/>
              <w:rPr>
                <w:sz w:val="18"/>
                <w:szCs w:val="18"/>
                <w:color w:val="auto"/>
              </w:rPr>
            </w:pPr>
          </w:p>
        </w:tc>
        <w:tc>
          <w:tcPr>
            <w:tcW w:w="172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2,694</w:t>
            </w:r>
          </w:p>
        </w:tc>
        <w:tc>
          <w:tcPr>
            <w:tcW w:w="7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4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2,773</w:t>
            </w:r>
          </w:p>
        </w:tc>
        <w:tc>
          <w:tcPr>
            <w:tcW w:w="0" w:type="dxa"/>
            <w:vAlign w:val="bottom"/>
          </w:tcPr>
          <w:p>
            <w:pPr>
              <w:spacing w:after="0"/>
              <w:rPr>
                <w:sz w:val="1"/>
                <w:szCs w:val="1"/>
                <w:color w:val="auto"/>
              </w:rPr>
            </w:pPr>
          </w:p>
        </w:tc>
      </w:tr>
      <w:tr>
        <w:trPr>
          <w:trHeight w:val="216"/>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Outside basis difference</w:t>
            </w:r>
          </w:p>
        </w:tc>
        <w:tc>
          <w:tcPr>
            <w:tcW w:w="1460" w:type="dxa"/>
            <w:vAlign w:val="bottom"/>
          </w:tcPr>
          <w:p>
            <w:pPr>
              <w:spacing w:after="0"/>
              <w:rPr>
                <w:sz w:val="18"/>
                <w:szCs w:val="18"/>
                <w:color w:val="auto"/>
              </w:rPr>
            </w:pPr>
          </w:p>
        </w:tc>
        <w:tc>
          <w:tcPr>
            <w:tcW w:w="17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816</w:t>
            </w: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Identified intangibles</w:t>
            </w:r>
          </w:p>
        </w:tc>
        <w:tc>
          <w:tcPr>
            <w:tcW w:w="1460" w:type="dxa"/>
            <w:vAlign w:val="bottom"/>
            <w:shd w:val="clear" w:color="auto" w:fill="CFF0FC"/>
          </w:tcPr>
          <w:p>
            <w:pPr>
              <w:spacing w:after="0"/>
              <w:rPr>
                <w:sz w:val="18"/>
                <w:szCs w:val="18"/>
                <w:color w:val="auto"/>
              </w:rPr>
            </w:pPr>
          </w:p>
        </w:tc>
        <w:tc>
          <w:tcPr>
            <w:tcW w:w="172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5,414</w:t>
            </w:r>
          </w:p>
        </w:tc>
        <w:tc>
          <w:tcPr>
            <w:tcW w:w="7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4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5,987</w:t>
            </w:r>
          </w:p>
        </w:tc>
        <w:tc>
          <w:tcPr>
            <w:tcW w:w="0" w:type="dxa"/>
            <w:vAlign w:val="bottom"/>
          </w:tcPr>
          <w:p>
            <w:pPr>
              <w:spacing w:after="0"/>
              <w:rPr>
                <w:sz w:val="1"/>
                <w:szCs w:val="1"/>
                <w:color w:val="auto"/>
              </w:rPr>
            </w:pPr>
          </w:p>
        </w:tc>
      </w:tr>
      <w:tr>
        <w:trPr>
          <w:trHeight w:val="216"/>
        </w:trPr>
        <w:tc>
          <w:tcPr>
            <w:tcW w:w="5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46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30</w:t>
            </w:r>
          </w:p>
        </w:tc>
        <w:tc>
          <w:tcPr>
            <w:tcW w:w="7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10"/>
        </w:trPr>
        <w:tc>
          <w:tcPr>
            <w:tcW w:w="5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Gross deferred tax assets</w:t>
            </w:r>
          </w:p>
        </w:tc>
        <w:tc>
          <w:tcPr>
            <w:tcW w:w="1460" w:type="dxa"/>
            <w:vAlign w:val="bottom"/>
            <w:shd w:val="clear" w:color="auto" w:fill="CFF0FC"/>
          </w:tcPr>
          <w:p>
            <w:pPr>
              <w:spacing w:after="0"/>
              <w:rPr>
                <w:sz w:val="18"/>
                <w:szCs w:val="18"/>
                <w:color w:val="auto"/>
              </w:rPr>
            </w:pPr>
          </w:p>
        </w:tc>
        <w:tc>
          <w:tcPr>
            <w:tcW w:w="172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194,439</w:t>
            </w:r>
          </w:p>
        </w:tc>
        <w:tc>
          <w:tcPr>
            <w:tcW w:w="7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4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194,830</w:t>
            </w:r>
          </w:p>
        </w:tc>
        <w:tc>
          <w:tcPr>
            <w:tcW w:w="0" w:type="dxa"/>
            <w:vAlign w:val="bottom"/>
          </w:tcPr>
          <w:p>
            <w:pPr>
              <w:spacing w:after="0"/>
              <w:rPr>
                <w:sz w:val="1"/>
                <w:szCs w:val="1"/>
                <w:color w:val="auto"/>
              </w:rPr>
            </w:pPr>
          </w:p>
        </w:tc>
      </w:tr>
      <w:tr>
        <w:trPr>
          <w:trHeight w:val="216"/>
        </w:trPr>
        <w:tc>
          <w:tcPr>
            <w:tcW w:w="5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Deferred tax asset valuation allowance</w:t>
            </w:r>
          </w:p>
        </w:tc>
        <w:tc>
          <w:tcPr>
            <w:tcW w:w="146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(72,355 )</w:t>
            </w:r>
          </w:p>
        </w:tc>
        <w:tc>
          <w:tcPr>
            <w:tcW w:w="7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(43,961 )</w:t>
            </w:r>
          </w:p>
        </w:tc>
        <w:tc>
          <w:tcPr>
            <w:tcW w:w="0" w:type="dxa"/>
            <w:vAlign w:val="bottom"/>
          </w:tcPr>
          <w:p>
            <w:pPr>
              <w:spacing w:after="0"/>
              <w:rPr>
                <w:sz w:val="1"/>
                <w:szCs w:val="1"/>
                <w:color w:val="auto"/>
              </w:rPr>
            </w:pPr>
          </w:p>
        </w:tc>
      </w:tr>
      <w:tr>
        <w:trPr>
          <w:trHeight w:val="210"/>
        </w:trPr>
        <w:tc>
          <w:tcPr>
            <w:tcW w:w="558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tax asset net of valuation allowance</w:t>
            </w:r>
          </w:p>
        </w:tc>
        <w:tc>
          <w:tcPr>
            <w:tcW w:w="1460" w:type="dxa"/>
            <w:vAlign w:val="bottom"/>
            <w:tcBorders>
              <w:bottom w:val="single" w:sz="8" w:color="auto"/>
            </w:tcBorders>
            <w:shd w:val="clear" w:color="auto" w:fill="CFF0FC"/>
          </w:tcPr>
          <w:p>
            <w:pPr>
              <w:spacing w:after="0"/>
              <w:rPr>
                <w:sz w:val="18"/>
                <w:szCs w:val="18"/>
                <w:color w:val="auto"/>
              </w:rPr>
            </w:pPr>
          </w:p>
        </w:tc>
        <w:tc>
          <w:tcPr>
            <w:tcW w:w="1720" w:type="dxa"/>
            <w:vAlign w:val="bottom"/>
            <w:tcBorders>
              <w:bottom w:val="single" w:sz="8" w:color="auto"/>
            </w:tcBorders>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122,084</w:t>
            </w:r>
          </w:p>
        </w:tc>
        <w:tc>
          <w:tcPr>
            <w:tcW w:w="700" w:type="dxa"/>
            <w:vAlign w:val="bottom"/>
            <w:tcBorders>
              <w:bottom w:val="single" w:sz="8" w:color="auto"/>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150,869</w:t>
            </w:r>
          </w:p>
        </w:tc>
        <w:tc>
          <w:tcPr>
            <w:tcW w:w="0" w:type="dxa"/>
            <w:vAlign w:val="bottom"/>
          </w:tcPr>
          <w:p>
            <w:pPr>
              <w:spacing w:after="0"/>
              <w:rPr>
                <w:sz w:val="1"/>
                <w:szCs w:val="1"/>
                <w:color w:val="auto"/>
              </w:rPr>
            </w:pPr>
          </w:p>
        </w:tc>
      </w:tr>
      <w:tr>
        <w:trPr>
          <w:trHeight w:val="210"/>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Identified intangibles</w:t>
            </w:r>
          </w:p>
        </w:tc>
        <w:tc>
          <w:tcPr>
            <w:tcW w:w="1460" w:type="dxa"/>
            <w:vAlign w:val="bottom"/>
          </w:tcPr>
          <w:p>
            <w:pPr>
              <w:spacing w:after="0"/>
              <w:rPr>
                <w:sz w:val="18"/>
                <w:szCs w:val="18"/>
                <w:color w:val="auto"/>
              </w:rPr>
            </w:pP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(5,220 )</w:t>
            </w: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(5,318 )</w:t>
            </w:r>
          </w:p>
        </w:tc>
        <w:tc>
          <w:tcPr>
            <w:tcW w:w="0" w:type="dxa"/>
            <w:vAlign w:val="bottom"/>
          </w:tcPr>
          <w:p>
            <w:pPr>
              <w:spacing w:after="0"/>
              <w:rPr>
                <w:sz w:val="1"/>
                <w:szCs w:val="1"/>
                <w:color w:val="auto"/>
              </w:rPr>
            </w:pPr>
          </w:p>
        </w:tc>
      </w:tr>
      <w:tr>
        <w:trPr>
          <w:trHeight w:val="216"/>
        </w:trPr>
        <w:tc>
          <w:tcPr>
            <w:tcW w:w="5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Right of use asset</w:t>
            </w:r>
          </w:p>
        </w:tc>
        <w:tc>
          <w:tcPr>
            <w:tcW w:w="1460" w:type="dxa"/>
            <w:vAlign w:val="bottom"/>
            <w:shd w:val="clear" w:color="auto" w:fill="CFF0FC"/>
          </w:tcPr>
          <w:p>
            <w:pPr>
              <w:spacing w:after="0"/>
              <w:rPr>
                <w:sz w:val="18"/>
                <w:szCs w:val="18"/>
                <w:color w:val="auto"/>
              </w:rPr>
            </w:pPr>
          </w:p>
        </w:tc>
        <w:tc>
          <w:tcPr>
            <w:tcW w:w="1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(119,945 )</w:t>
            </w:r>
          </w:p>
        </w:tc>
        <w:tc>
          <w:tcPr>
            <w:tcW w:w="7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(119,658 )</w:t>
            </w:r>
          </w:p>
        </w:tc>
        <w:tc>
          <w:tcPr>
            <w:tcW w:w="0" w:type="dxa"/>
            <w:vAlign w:val="bottom"/>
          </w:tcPr>
          <w:p>
            <w:pPr>
              <w:spacing w:after="0"/>
              <w:rPr>
                <w:sz w:val="1"/>
                <w:szCs w:val="1"/>
                <w:color w:val="auto"/>
              </w:rPr>
            </w:pPr>
          </w:p>
        </w:tc>
      </w:tr>
      <w:tr>
        <w:trPr>
          <w:trHeight w:val="216"/>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 over book depreciation</w:t>
            </w:r>
          </w:p>
        </w:tc>
        <w:tc>
          <w:tcPr>
            <w:tcW w:w="14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(2,736 )</w:t>
            </w:r>
          </w:p>
        </w:tc>
        <w:tc>
          <w:tcPr>
            <w:tcW w:w="0" w:type="dxa"/>
            <w:vAlign w:val="bottom"/>
          </w:tcPr>
          <w:p>
            <w:pPr>
              <w:spacing w:after="0"/>
              <w:rPr>
                <w:sz w:val="1"/>
                <w:szCs w:val="1"/>
                <w:color w:val="auto"/>
              </w:rPr>
            </w:pPr>
          </w:p>
        </w:tc>
      </w:tr>
      <w:tr>
        <w:trPr>
          <w:trHeight w:val="216"/>
        </w:trPr>
        <w:tc>
          <w:tcPr>
            <w:tcW w:w="558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460" w:type="dxa"/>
            <w:vAlign w:val="bottom"/>
            <w:tcBorders>
              <w:bottom w:val="single" w:sz="8" w:color="auto"/>
            </w:tcBorders>
            <w:shd w:val="clear" w:color="auto" w:fill="CFF0FC"/>
          </w:tcPr>
          <w:p>
            <w:pPr>
              <w:spacing w:after="0"/>
              <w:rPr>
                <w:sz w:val="18"/>
                <w:szCs w:val="18"/>
                <w:color w:val="auto"/>
              </w:rPr>
            </w:pPr>
          </w:p>
        </w:tc>
        <w:tc>
          <w:tcPr>
            <w:tcW w:w="172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(993 )</w:t>
            </w:r>
          </w:p>
        </w:tc>
        <w:tc>
          <w:tcPr>
            <w:tcW w:w="700" w:type="dxa"/>
            <w:vAlign w:val="bottom"/>
            <w:tcBorders>
              <w:bottom w:val="single" w:sz="8" w:color="auto"/>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(555 )</w:t>
            </w:r>
          </w:p>
        </w:tc>
        <w:tc>
          <w:tcPr>
            <w:tcW w:w="0" w:type="dxa"/>
            <w:vAlign w:val="bottom"/>
          </w:tcPr>
          <w:p>
            <w:pPr>
              <w:spacing w:after="0"/>
              <w:rPr>
                <w:sz w:val="1"/>
                <w:szCs w:val="1"/>
                <w:color w:val="auto"/>
              </w:rPr>
            </w:pPr>
          </w:p>
        </w:tc>
      </w:tr>
      <w:tr>
        <w:trPr>
          <w:trHeight w:val="209"/>
        </w:trPr>
        <w:tc>
          <w:tcPr>
            <w:tcW w:w="5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Gross deferred tax liabilities</w:t>
            </w:r>
          </w:p>
        </w:tc>
        <w:tc>
          <w:tcPr>
            <w:tcW w:w="146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(126,158 )</w:t>
            </w:r>
          </w:p>
        </w:tc>
        <w:tc>
          <w:tcPr>
            <w:tcW w:w="7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(128,267 )</w:t>
            </w:r>
          </w:p>
        </w:tc>
        <w:tc>
          <w:tcPr>
            <w:tcW w:w="0" w:type="dxa"/>
            <w:vAlign w:val="bottom"/>
          </w:tcPr>
          <w:p>
            <w:pPr>
              <w:spacing w:after="0"/>
              <w:rPr>
                <w:sz w:val="1"/>
                <w:szCs w:val="1"/>
                <w:color w:val="auto"/>
              </w:rPr>
            </w:pPr>
          </w:p>
        </w:tc>
      </w:tr>
      <w:tr>
        <w:trPr>
          <w:trHeight w:val="250"/>
        </w:trPr>
        <w:tc>
          <w:tcPr>
            <w:tcW w:w="558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Deferred Tax Assets (Liabilities)</w:t>
            </w:r>
          </w:p>
        </w:tc>
        <w:tc>
          <w:tcPr>
            <w:tcW w:w="1460" w:type="dxa"/>
            <w:vAlign w:val="bottom"/>
            <w:tcBorders>
              <w:bottom w:val="single" w:sz="8" w:color="auto"/>
            </w:tcBorders>
            <w:shd w:val="clear" w:color="auto" w:fill="CFF0FC"/>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c>
          <w:tcPr>
            <w:tcW w:w="172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(4,074 )</w:t>
            </w:r>
          </w:p>
        </w:tc>
        <w:tc>
          <w:tcPr>
            <w:tcW w:w="700" w:type="dxa"/>
            <w:vAlign w:val="bottom"/>
            <w:tcBorders>
              <w:bottom w:val="single" w:sz="8" w:color="auto"/>
            </w:tcBorders>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shd w:val="clear" w:color="auto" w:fill="CFF0FC"/>
          </w:tcPr>
          <w:p>
            <w:pPr>
              <w:spacing w:after="0"/>
              <w:rPr>
                <w:sz w:val="21"/>
                <w:szCs w:val="21"/>
                <w:color w:val="auto"/>
              </w:rPr>
            </w:pPr>
          </w:p>
        </w:tc>
        <w:tc>
          <w:tcPr>
            <w:tcW w:w="14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22,602</w:t>
            </w:r>
          </w:p>
        </w:tc>
        <w:tc>
          <w:tcPr>
            <w:tcW w:w="0" w:type="dxa"/>
            <w:vAlign w:val="bottom"/>
          </w:tcPr>
          <w:p>
            <w:pPr>
              <w:spacing w:after="0"/>
              <w:rPr>
                <w:sz w:val="1"/>
                <w:szCs w:val="1"/>
                <w:color w:val="auto"/>
              </w:rPr>
            </w:pPr>
          </w:p>
        </w:tc>
      </w:tr>
      <w:tr>
        <w:trPr>
          <w:trHeight w:val="413"/>
        </w:trPr>
        <w:tc>
          <w:tcPr>
            <w:tcW w:w="7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deferred tax balances have been classified in our Consolidated Balance Sheets as follows:</w:t>
            </w:r>
          </w:p>
        </w:tc>
        <w:tc>
          <w:tcPr>
            <w:tcW w:w="6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5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1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520" w:type="dxa"/>
            <w:vAlign w:val="bottom"/>
            <w:tcBorders>
              <w:bottom w:val="single" w:sz="8" w:color="auto"/>
            </w:tcBorders>
            <w:gridSpan w:val="4"/>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As of Fiscal Year Ended</w:t>
            </w:r>
          </w:p>
        </w:tc>
        <w:tc>
          <w:tcPr>
            <w:tcW w:w="0" w:type="dxa"/>
            <w:vAlign w:val="bottom"/>
          </w:tcPr>
          <w:p>
            <w:pPr>
              <w:spacing w:after="0"/>
              <w:rPr>
                <w:sz w:val="1"/>
                <w:szCs w:val="1"/>
                <w:color w:val="auto"/>
              </w:rPr>
            </w:pPr>
          </w:p>
        </w:tc>
      </w:tr>
      <w:tr>
        <w:trPr>
          <w:trHeight w:val="210"/>
        </w:trPr>
        <w:tc>
          <w:tcPr>
            <w:tcW w:w="5580" w:type="dxa"/>
            <w:vAlign w:val="bottom"/>
            <w:tcBorders>
              <w:bottom w:val="single" w:sz="8" w:color="auto"/>
            </w:tcBorders>
            <w:vMerge w:val="continue"/>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2025</w:t>
            </w:r>
          </w:p>
        </w:tc>
        <w:tc>
          <w:tcPr>
            <w:tcW w:w="3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2024</w:t>
            </w:r>
          </w:p>
        </w:tc>
        <w:tc>
          <w:tcPr>
            <w:tcW w:w="0" w:type="dxa"/>
            <w:vAlign w:val="bottom"/>
          </w:tcPr>
          <w:p>
            <w:pPr>
              <w:spacing w:after="0"/>
              <w:rPr>
                <w:sz w:val="1"/>
                <w:szCs w:val="1"/>
                <w:color w:val="auto"/>
              </w:rPr>
            </w:pPr>
          </w:p>
        </w:tc>
      </w:tr>
      <w:tr>
        <w:trPr>
          <w:trHeight w:val="209"/>
        </w:trPr>
        <w:tc>
          <w:tcPr>
            <w:tcW w:w="5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non-current asset</w:t>
            </w:r>
          </w:p>
        </w:tc>
        <w:tc>
          <w:tcPr>
            <w:tcW w:w="1460" w:type="dxa"/>
            <w:vAlign w:val="bottom"/>
            <w:shd w:val="clear" w:color="auto" w:fill="CFF0FC"/>
          </w:tcPr>
          <w:p>
            <w:pPr>
              <w:spacing w:after="0"/>
              <w:rPr>
                <w:sz w:val="18"/>
                <w:szCs w:val="18"/>
                <w:color w:val="auto"/>
              </w:rPr>
            </w:pPr>
          </w:p>
        </w:tc>
        <w:tc>
          <w:tcPr>
            <w:tcW w:w="1720" w:type="dxa"/>
            <w:vAlign w:val="bottom"/>
            <w:gridSpan w:val="2"/>
            <w:shd w:val="clear" w:color="auto" w:fill="CFF0FC"/>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389</w:t>
            </w:r>
          </w:p>
        </w:tc>
        <w:tc>
          <w:tcPr>
            <w:tcW w:w="3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26,230</w:t>
            </w:r>
          </w:p>
        </w:tc>
        <w:tc>
          <w:tcPr>
            <w:tcW w:w="0" w:type="dxa"/>
            <w:vAlign w:val="bottom"/>
          </w:tcPr>
          <w:p>
            <w:pPr>
              <w:spacing w:after="0"/>
              <w:rPr>
                <w:sz w:val="1"/>
                <w:szCs w:val="1"/>
                <w:color w:val="auto"/>
              </w:rPr>
            </w:pPr>
          </w:p>
        </w:tc>
      </w:tr>
      <w:tr>
        <w:trPr>
          <w:trHeight w:val="216"/>
        </w:trPr>
        <w:tc>
          <w:tcPr>
            <w:tcW w:w="5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non-current liability</w:t>
            </w:r>
          </w:p>
        </w:tc>
        <w:tc>
          <w:tcPr>
            <w:tcW w:w="14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(4,463 )</w:t>
            </w:r>
          </w:p>
        </w:tc>
        <w:tc>
          <w:tcPr>
            <w:tcW w:w="3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(3,628 )</w:t>
            </w:r>
          </w:p>
        </w:tc>
        <w:tc>
          <w:tcPr>
            <w:tcW w:w="0" w:type="dxa"/>
            <w:vAlign w:val="bottom"/>
          </w:tcPr>
          <w:p>
            <w:pPr>
              <w:spacing w:after="0"/>
              <w:rPr>
                <w:sz w:val="1"/>
                <w:szCs w:val="1"/>
                <w:color w:val="auto"/>
              </w:rPr>
            </w:pPr>
          </w:p>
        </w:tc>
      </w:tr>
      <w:tr>
        <w:trPr>
          <w:trHeight w:val="249"/>
        </w:trPr>
        <w:tc>
          <w:tcPr>
            <w:tcW w:w="558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Deferred Tax Assets (Liabilities)</w:t>
            </w:r>
          </w:p>
        </w:tc>
        <w:tc>
          <w:tcPr>
            <w:tcW w:w="1460" w:type="dxa"/>
            <w:vAlign w:val="bottom"/>
            <w:tcBorders>
              <w:bottom w:val="single" w:sz="8" w:color="auto"/>
            </w:tcBorders>
            <w:shd w:val="clear" w:color="auto" w:fill="CFF0FC"/>
          </w:tcPr>
          <w:p>
            <w:pPr>
              <w:spacing w:after="0"/>
              <w:rPr>
                <w:sz w:val="21"/>
                <w:szCs w:val="21"/>
                <w:color w:val="auto"/>
              </w:rPr>
            </w:pPr>
          </w:p>
        </w:tc>
        <w:tc>
          <w:tcPr>
            <w:tcW w:w="1720" w:type="dxa"/>
            <w:vAlign w:val="bottom"/>
            <w:tcBorders>
              <w:bottom w:val="single" w:sz="8" w:color="auto"/>
            </w:tcBorders>
            <w:gridSpan w:val="2"/>
            <w:shd w:val="clear" w:color="auto" w:fill="CFF0FC"/>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(4,074 )</w:t>
            </w:r>
          </w:p>
        </w:tc>
        <w:tc>
          <w:tcPr>
            <w:tcW w:w="3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22,602</w:t>
            </w:r>
          </w:p>
        </w:tc>
        <w:tc>
          <w:tcPr>
            <w:tcW w:w="0" w:type="dxa"/>
            <w:vAlign w:val="bottom"/>
          </w:tcPr>
          <w:p>
            <w:pPr>
              <w:spacing w:after="0"/>
              <w:rPr>
                <w:sz w:val="1"/>
                <w:szCs w:val="1"/>
                <w:color w:val="auto"/>
              </w:rPr>
            </w:pPr>
          </w:p>
        </w:tc>
      </w:tr>
    </w:tbl>
    <w:p>
      <w:pPr>
        <w:spacing w:after="0" w:line="15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February 1, 2025 and February 3, 2024, we had state net operating loss carryforwards of $11.2 million and $9.9 million, respectively. We provided a valuation allowance against these attributes of $11.2 million as of February 1, 2025 and $8.1 million as of February 3, 2024. Expiration of these attributes will occur in various years through 2045.</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each of February 1, 2025 and February 3, 2024, we had state tax credits of $0.6 million. We provided a valuation allowance against these attributes of $0.6 million as of each of February 1, 2025 and February 3, 2024 and $0.5 million of these credits will expire after Fiscal 2025 and the remaining credits have a carryforward period of 5 years.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70" w:name="page71"/>
    <w:bookmarkEnd w:id="70"/>
    <w:p>
      <w:pPr>
        <w:jc w:val="center"/>
        <w:spacing w:after="0"/>
        <w:rPr>
          <w:sz w:val="20"/>
          <w:szCs w:val="20"/>
          <w:color w:val="auto"/>
        </w:rPr>
      </w:pPr>
      <w:r>
        <w:rPr>
          <w:rFonts w:ascii="Times New Roman" w:cs="Times New Roman" w:eastAsia="Times New Roman" w:hAnsi="Times New Roman"/>
          <w:sz w:val="18"/>
          <w:szCs w:val="18"/>
          <w:b w:val="1"/>
          <w:bCs w:val="1"/>
          <w:color w:val="auto"/>
        </w:rPr>
        <w:t>Genesco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Income Taxes, Continued</w:t>
      </w:r>
    </w:p>
    <w:p>
      <w:pPr>
        <w:spacing w:after="0" w:line="20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February 1, 2025 and February 3, 2024, we had foreign net operating loss carryforwards of $40.0 million and $41.4 million, respectively, which have a carryforward period of at least 16 years.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regularly evaluate the need for a valuation allowance against our deferred tax assets. In making this determination, we consider all available evidence, both positive and negative, including but not limited to earnings history, projected future outcomes, industry and market trends and the nature of each of the deferred tax assets in assessing the extent to which a valuation allowance should be applied against our U.S. and foreign deferred tax assets. Based on this assessment, as of February 1, 2025, we have provided a total valuation allowance of approximately $72.4 million on U.S. and foreign deferred tax assets for which management has determined it is more likely than not that the deferred tax assets will not be realized. The $28.4 million net increase in valuation allowance during Fiscal 2025 from the $44.0 million provided for as of February 3, 2024 relates primarily to our decision to record a full valuation allowance against our U.S. deferred tax assets of $26.2 million in the third quarter of Fiscal 2025, which was included in income tax expense in our Consolidated Statements of Operations. The decision was based on our expectation that the U.S. jurisdiction will be in a cumulative loss position within the near term which we believe is a new significant piece of negative evidence in the third quarter of Fiscal 2025. Due to the weight of the cumulative loss position for our U.S. jurisdiction in our objective analysis of all the positive and negative evidence, we no longer believe it is more likely than not we will realize certain U.S. deferred tax assets.</w:t>
      </w:r>
    </w:p>
    <w:p>
      <w:pPr>
        <w:spacing w:after="0" w:line="15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Based upon evaluation of our worldwide operations and specific plans to remit foreign earnings back to the U.S., we can no longer assert that earnings from certain foreign operations will be indefinitely reinvested. As of February 1, 2025, we believe there are no deferred taxes applicable to the accumulated undistributed earnings of those foreign operations beyond the amounts recorded for deemed repatriation of such earnings, as required in the Tax Cuts and Jobs Act (the “Act”). The earnings of our remaining foreign operations are indefinitely reinvested, and accordingly, deferred taxes have not been provided. If changes occur in future investment opportunities and plans, those changes will be reflected when known and may result in providing residual U.S. deferred taxes on unremitted international earnings. If our unremitted international earnings were not considered indefinitely reinvested as of February 1, 2025, an immaterial amount of additional deferred taxes would have been provided.</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February 1, 2025, foreign tax credit carryforwards of approximately $2.7 million were available to reduce possible future U.S. income taxes and expire from 2028 to 2031. As a result of the Act, we may no longer utilize certain U.S. foreign tax credit carryforwards. A valuation allowance of $2.5 million has been established against these credits.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tabular reconciliation of the total amounts of unrecognized tax benefits.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200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Fiscal Year</w:t>
            </w:r>
          </w:p>
        </w:tc>
        <w:tc>
          <w:tcPr>
            <w:tcW w:w="6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640" w:type="dxa"/>
            <w:vAlign w:val="bottom"/>
            <w:tcBorders>
              <w:bottom w:val="single" w:sz="8" w:color="auto"/>
            </w:tcBorders>
            <w:vMerge w:val="continue"/>
          </w:tcPr>
          <w:p>
            <w:pPr>
              <w:spacing w:after="0"/>
              <w:rPr>
                <w:sz w:val="18"/>
                <w:szCs w:val="18"/>
                <w:color w:val="auto"/>
              </w:rPr>
            </w:pPr>
          </w:p>
        </w:tc>
        <w:tc>
          <w:tcPr>
            <w:tcW w:w="20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2024</w:t>
            </w:r>
          </w:p>
        </w:tc>
        <w:tc>
          <w:tcPr>
            <w:tcW w:w="6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2023</w:t>
            </w:r>
          </w:p>
        </w:tc>
        <w:tc>
          <w:tcPr>
            <w:tcW w:w="0" w:type="dxa"/>
            <w:vAlign w:val="bottom"/>
          </w:tcPr>
          <w:p>
            <w:pPr>
              <w:spacing w:after="0"/>
              <w:rPr>
                <w:sz w:val="1"/>
                <w:szCs w:val="1"/>
                <w:color w:val="auto"/>
              </w:rPr>
            </w:pPr>
          </w:p>
        </w:tc>
      </w:tr>
      <w:tr>
        <w:trPr>
          <w:trHeight w:val="210"/>
        </w:trPr>
        <w:tc>
          <w:tcPr>
            <w:tcW w:w="4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Unrecognized Tax Benefit – Beginning of Period</w:t>
            </w:r>
          </w:p>
        </w:tc>
        <w:tc>
          <w:tcPr>
            <w:tcW w:w="2540" w:type="dxa"/>
            <w:vAlign w:val="bottom"/>
            <w:gridSpan w:val="2"/>
            <w:shd w:val="clear" w:color="auto" w:fill="CFF0FC"/>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751</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178</w:t>
            </w:r>
          </w:p>
        </w:tc>
        <w:tc>
          <w:tcPr>
            <w:tcW w:w="660" w:type="dxa"/>
            <w:vAlign w:val="bottom"/>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178</w:t>
            </w:r>
          </w:p>
        </w:tc>
        <w:tc>
          <w:tcPr>
            <w:tcW w:w="0" w:type="dxa"/>
            <w:vAlign w:val="bottom"/>
          </w:tcPr>
          <w:p>
            <w:pPr>
              <w:spacing w:after="0"/>
              <w:rPr>
                <w:sz w:val="1"/>
                <w:szCs w:val="1"/>
                <w:color w:val="auto"/>
              </w:rPr>
            </w:pPr>
          </w:p>
        </w:tc>
      </w:tr>
      <w:tr>
        <w:trPr>
          <w:trHeight w:val="216"/>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Decreases – Tax Positions in a Prior Period</w:t>
            </w:r>
          </w:p>
        </w:tc>
        <w:tc>
          <w:tcPr>
            <w:tcW w:w="20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(144 )</w:t>
            </w:r>
          </w:p>
        </w:tc>
        <w:tc>
          <w:tcPr>
            <w:tcW w:w="260" w:type="dxa"/>
            <w:vAlign w:val="bottom"/>
          </w:tcPr>
          <w:p>
            <w:pPr>
              <w:spacing w:after="0"/>
              <w:rPr>
                <w:sz w:val="18"/>
                <w:szCs w:val="18"/>
                <w:color w:val="auto"/>
              </w:rPr>
            </w:pPr>
          </w:p>
        </w:tc>
        <w:tc>
          <w:tcPr>
            <w:tcW w:w="1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Gross Increases – Tax Positions in a Prior Period</w:t>
            </w:r>
          </w:p>
        </w:tc>
        <w:tc>
          <w:tcPr>
            <w:tcW w:w="20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541</w:t>
            </w:r>
          </w:p>
        </w:tc>
        <w:tc>
          <w:tcPr>
            <w:tcW w:w="260" w:type="dxa"/>
            <w:vAlign w:val="bottom"/>
            <w:shd w:val="clear" w:color="auto" w:fill="CFF0FC"/>
          </w:tcPr>
          <w:p>
            <w:pPr>
              <w:spacing w:after="0"/>
              <w:rPr>
                <w:sz w:val="18"/>
                <w:szCs w:val="18"/>
                <w:color w:val="auto"/>
              </w:rPr>
            </w:pPr>
          </w:p>
        </w:tc>
        <w:tc>
          <w:tcPr>
            <w:tcW w:w="12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Increases – Tax Positions in a Current Period</w:t>
            </w:r>
          </w:p>
        </w:tc>
        <w:tc>
          <w:tcPr>
            <w:tcW w:w="20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57</w:t>
            </w:r>
          </w:p>
        </w:tc>
        <w:tc>
          <w:tcPr>
            <w:tcW w:w="260" w:type="dxa"/>
            <w:vAlign w:val="bottom"/>
          </w:tcPr>
          <w:p>
            <w:pPr>
              <w:spacing w:after="0"/>
              <w:rPr>
                <w:sz w:val="18"/>
                <w:szCs w:val="18"/>
                <w:color w:val="auto"/>
              </w:rPr>
            </w:pPr>
          </w:p>
        </w:tc>
        <w:tc>
          <w:tcPr>
            <w:tcW w:w="1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573</w:t>
            </w:r>
          </w:p>
        </w:tc>
        <w:tc>
          <w:tcPr>
            <w:tcW w:w="66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4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Settlements</w:t>
            </w:r>
          </w:p>
        </w:tc>
        <w:tc>
          <w:tcPr>
            <w:tcW w:w="2000" w:type="dxa"/>
            <w:vAlign w:val="bottom"/>
            <w:tcBorders>
              <w:bottom w:val="single" w:sz="8" w:color="auto"/>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(541 )</w:t>
            </w:r>
          </w:p>
        </w:tc>
        <w:tc>
          <w:tcPr>
            <w:tcW w:w="26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4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Unrecognized Tax Benefit – End of Period</w:t>
            </w:r>
          </w:p>
        </w:tc>
        <w:tc>
          <w:tcPr>
            <w:tcW w:w="2540" w:type="dxa"/>
            <w:vAlign w:val="bottom"/>
            <w:tcBorders>
              <w:bottom w:val="single" w:sz="8" w:color="auto"/>
            </w:tcBorders>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664</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751</w:t>
            </w:r>
          </w:p>
        </w:tc>
        <w:tc>
          <w:tcPr>
            <w:tcW w:w="6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178</w:t>
            </w:r>
          </w:p>
        </w:tc>
        <w:tc>
          <w:tcPr>
            <w:tcW w:w="0" w:type="dxa"/>
            <w:vAlign w:val="bottom"/>
          </w:tcPr>
          <w:p>
            <w:pPr>
              <w:spacing w:after="0"/>
              <w:rPr>
                <w:sz w:val="1"/>
                <w:szCs w:val="1"/>
                <w:color w:val="auto"/>
              </w:rPr>
            </w:pPr>
          </w:p>
        </w:tc>
      </w:tr>
      <w:tr>
        <w:trPr>
          <w:trHeight w:val="20"/>
        </w:trPr>
        <w:tc>
          <w:tcPr>
            <w:tcW w:w="464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04"/>
        </w:trPr>
        <w:tc>
          <w:tcPr>
            <w:tcW w:w="4640" w:type="dxa"/>
            <w:vAlign w:val="bottom"/>
          </w:tcPr>
          <w:p>
            <w:pPr>
              <w:spacing w:after="0"/>
              <w:rPr>
                <w:sz w:val="24"/>
                <w:szCs w:val="24"/>
                <w:color w:val="auto"/>
              </w:rPr>
            </w:pPr>
          </w:p>
        </w:tc>
        <w:tc>
          <w:tcPr>
            <w:tcW w:w="200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71</w:t>
            </w:r>
          </w:p>
        </w:tc>
        <w:tc>
          <w:tcPr>
            <w:tcW w:w="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640" w:type="dxa"/>
            <w:vAlign w:val="bottom"/>
            <w:tcBorders>
              <w:bottom w:val="single" w:sz="8" w:color="9A9A9A"/>
            </w:tcBorders>
          </w:tcPr>
          <w:p>
            <w:pPr>
              <w:spacing w:after="0"/>
              <w:rPr>
                <w:sz w:val="24"/>
                <w:szCs w:val="24"/>
                <w:color w:val="auto"/>
              </w:rPr>
            </w:pPr>
          </w:p>
        </w:tc>
        <w:tc>
          <w:tcPr>
            <w:tcW w:w="200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71" w:name="page72"/>
    <w:bookmarkEnd w:id="71"/>
    <w:p>
      <w:pPr>
        <w:jc w:val="center"/>
        <w:spacing w:after="0"/>
        <w:rPr>
          <w:sz w:val="20"/>
          <w:szCs w:val="20"/>
          <w:color w:val="auto"/>
        </w:rPr>
      </w:pPr>
      <w:r>
        <w:rPr>
          <w:rFonts w:ascii="Times New Roman" w:cs="Times New Roman" w:eastAsia="Times New Roman" w:hAnsi="Times New Roman"/>
          <w:sz w:val="18"/>
          <w:szCs w:val="18"/>
          <w:b w:val="1"/>
          <w:bCs w:val="1"/>
          <w:color w:val="auto"/>
        </w:rPr>
        <w:t>Genesco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Income Taxes, Continued</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amount of unrecognized tax benefits which would impact the annual effective tax rate if recognized were $0.7 million as of February 1, 2025, $0.8 million as of February 3, 2024 and $0.2 million as of January 28, 2023. The amount of unrecognized tax benefits may change during the next twelve months but we do not believe the change, if any, will be material to our consolidated financial position or results of operations.</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recognize interest expense and penalties related to the above unrecognized tax benefits within income tax expense on the Consolidated Statements of Operations and it was not material for Fiscal 2025, 2024 or 2023. We recorded $2.9 million, $2.7 million and $1.7 million of interest income within income tax expense, net on the Consolidated Statements of Operations for the years ended February 1, 2025, February 3, 2024 and January 28, 2023, respectively, primarily related to our outstanding federal refund request.</w:t>
      </w:r>
    </w:p>
    <w:p>
      <w:pPr>
        <w:spacing w:after="0" w:line="13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file income tax returns in federal and in many state and local jurisdictions as well as foreign jurisdictions. With few exceptions, our state and local income tax returns for fiscal years ended January 29, 2022 and beyond remain subject to examination. In addition, we have subsidiaries in various foreign jurisdictions that have statutes of limitation generally ranging from two to six years. As part of the IRS audit of our federal income tax return for the fiscal year ended January 30, 2021, we have extended the statute of limitations for our fiscal years February 1, 2020, forward through March 31, 2026.</w:t>
      </w:r>
    </w:p>
    <w:p>
      <w:pPr>
        <w:spacing w:after="0" w:line="15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Organization for Economic Cooperation and Development has proposed a 15% global minimum tax applied on a country-by country basis (the "Pillar Two rule"), and many countries, including countries in which we operate, have enacted or begun the process of enacting laws adopting the Pillar Two rule. The first component of the Pillar Two rule became effective as of January 1, 2024 and did not have a material impact on the Company’s effective tax rate in Fiscal 2025. The second component is expected to go into effect in Fiscal 2026. We are continuing to evaluate the Pillar Two rules and their potential impact on future periods, but we do not expect the rules to have a material impact on our tax provision or effective tax rate.</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Other Postretirement Benefit Plans</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provide health care benefits for early retirees that meet certain age and years of service criteria and life insurance benefits for certain retirees. Under the health care plan, early retirees are eligible for benefits until age 65. Employees who met certain requirements are eligible for life insurance benefits. We accrue such benefits during the period in which the employee renders service.</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2018, the early retiree medical plan was frozen to new entrants. The grandfathered group of employees as of December 31, 2018 were those that had reached age 45 and had at least 10 years of service with the Company and retire at age 55 or older and have at least 15 years of service with the Company.</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measurement date of the assets and liabilities for postretirement medical and life insurance plans is the month-end date that is closest to our fiscal year end.</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Consolidated Balance Sheets include other postretirement medical and life insurance liabilities of $6.2 million and $5.3 million as of February 1, 2025 and February 3, 2024, respectively. The amount recognized in accumulated other comprehensive loss on the Consolidated Balance Sheets was $2.4 million and $1.1 million as of February 1, 2025 and February 3, 2024,</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72" w:name="page73"/>
    <w:bookmarkEnd w:id="72"/>
    <w:p>
      <w:pPr>
        <w:jc w:val="center"/>
        <w:spacing w:after="0"/>
        <w:rPr>
          <w:sz w:val="20"/>
          <w:szCs w:val="20"/>
          <w:color w:val="auto"/>
        </w:rPr>
      </w:pPr>
      <w:r>
        <w:rPr>
          <w:rFonts w:ascii="Times New Roman" w:cs="Times New Roman" w:eastAsia="Times New Roman" w:hAnsi="Times New Roman"/>
          <w:sz w:val="18"/>
          <w:szCs w:val="18"/>
          <w:b w:val="1"/>
          <w:bCs w:val="1"/>
          <w:color w:val="auto"/>
        </w:rPr>
        <w:t>Genesco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Other Postretirement Benefit Plans, Continued</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respectively. Our Consolidated Statement of Operations includes net periodic benefit cost for other postretirement benefits of $0.4 million, $0.5 million and $0.3 million in Fiscal 2025, 2024 and 2023, respectively.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401(k) Savings Plan</w:t>
      </w:r>
    </w:p>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a Section 401(k) Savings Plan available to all employees in the U.S, including retail employees who have completed 500 hours of service within the first six months of employment, and are age 18 or older. There is a similar savings plan available to U.K. employees.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Since January 1, 2005, we began matching 100% of each U.S. employee’s contribution of up to 3% of salary and 50% of the next 2% of salary. In addition, for those employees hired before December 31, 2004, who were eligible for our cash balance retirement plan before it was frozen, we annually make an additional contribution of 2.5% of salary to each employee’s account. Participants are immediately vested in their contributions and our matching contribution plus actual earnings thereon. Our contribution expense for matching programs in the U.S. and U.K. was approximately $7.0 million for Fiscal 2025, $6.9 million for Fiscal 2024 and $5.2 million for Fiscal 2023.</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Earnings Per Share</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Basic earnings per share excludes dilution and is computed by dividing earnings available to common shareholders by the weighted average number of common shares outstanding for the period. Diluted earnings per share reflects the potential dilution that could occur if securities to issue common stock were exercised or converted to common stock.</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Weighted-average number of shares used for earnings per share is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6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color w:val="auto"/>
              </w:rPr>
              <w:t>Fiscal Year</w:t>
            </w:r>
          </w:p>
        </w:tc>
        <w:tc>
          <w:tcPr>
            <w:tcW w:w="1160" w:type="dxa"/>
            <w:vAlign w:val="bottom"/>
            <w:tcBorders>
              <w:bottom w:val="single" w:sz="8" w:color="auto"/>
            </w:tcBorders>
          </w:tcPr>
          <w:p>
            <w:pPr>
              <w:spacing w:after="0"/>
              <w:rPr>
                <w:sz w:val="20"/>
                <w:szCs w:val="20"/>
                <w:color w:val="auto"/>
              </w:rPr>
            </w:pPr>
          </w:p>
        </w:tc>
      </w:tr>
      <w:tr>
        <w:trPr>
          <w:trHeight w:val="210"/>
        </w:trPr>
        <w:tc>
          <w:tcPr>
            <w:tcW w:w="536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(Shares in thousands)</w:t>
            </w:r>
          </w:p>
        </w:tc>
        <w:tc>
          <w:tcPr>
            <w:tcW w:w="28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860" w:type="dxa"/>
            <w:vAlign w:val="bottom"/>
            <w:tcBorders>
              <w:bottom w:val="single" w:sz="8" w:color="auto"/>
            </w:tcBorders>
            <w:shd w:val="clear" w:color="auto" w:fill="CFF0FC"/>
          </w:tcPr>
          <w:p>
            <w:pPr>
              <w:jc w:val="right"/>
              <w:ind w:right="450"/>
              <w:spacing w:after="0"/>
              <w:rPr>
                <w:sz w:val="20"/>
                <w:szCs w:val="20"/>
                <w:color w:val="auto"/>
              </w:rPr>
            </w:pPr>
            <w:r>
              <w:rPr>
                <w:rFonts w:ascii="Times New Roman" w:cs="Times New Roman" w:eastAsia="Times New Roman" w:hAnsi="Times New Roman"/>
                <w:sz w:val="18"/>
                <w:szCs w:val="18"/>
                <w:color w:val="auto"/>
              </w:rPr>
              <w:t>2024</w:t>
            </w:r>
          </w:p>
        </w:tc>
        <w:tc>
          <w:tcPr>
            <w:tcW w:w="11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2023</w:t>
            </w:r>
          </w:p>
        </w:tc>
      </w:tr>
      <w:tr>
        <w:trPr>
          <w:trHeight w:val="209"/>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number of shares - basic</w:t>
            </w:r>
          </w:p>
        </w:tc>
        <w:tc>
          <w:tcPr>
            <w:tcW w:w="28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10,836</w:t>
            </w:r>
          </w:p>
        </w:tc>
        <w:tc>
          <w:tcPr>
            <w:tcW w:w="186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11,243</w:t>
            </w: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12,457</w:t>
            </w:r>
          </w:p>
        </w:tc>
      </w:tr>
      <w:tr>
        <w:trPr>
          <w:trHeight w:val="216"/>
        </w:trPr>
        <w:tc>
          <w:tcPr>
            <w:tcW w:w="536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Common stock equivalents</w:t>
            </w:r>
          </w:p>
        </w:tc>
        <w:tc>
          <w:tcPr>
            <w:tcW w:w="28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860" w:type="dxa"/>
            <w:vAlign w:val="bottom"/>
            <w:tcBorders>
              <w:bottom w:val="single" w:sz="8" w:color="auto"/>
            </w:tcBorders>
            <w:shd w:val="clear" w:color="auto" w:fill="CFF0FC"/>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250</w:t>
            </w:r>
          </w:p>
        </w:tc>
      </w:tr>
      <w:tr>
        <w:trPr>
          <w:trHeight w:val="209"/>
        </w:trPr>
        <w:tc>
          <w:tcPr>
            <w:tcW w:w="5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Weighted-average number of shares - diluted</w:t>
            </w:r>
          </w:p>
        </w:tc>
        <w:tc>
          <w:tcPr>
            <w:tcW w:w="28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10,836</w:t>
            </w:r>
          </w:p>
        </w:tc>
        <w:tc>
          <w:tcPr>
            <w:tcW w:w="18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11,243</w:t>
            </w: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12,707</w:t>
            </w: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Common stock equivalents of 0.2 million shares and 0.1 million shares are excluded for Fiscal 2025 and Fiscal 2024, respectively, due to the loss from continuing operations.</w:t>
      </w:r>
    </w:p>
    <w:p>
      <w:pPr>
        <w:spacing w:after="0" w:line="13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repurchased 399,633 shares during Fiscal 2025 at a cost of $9.8 million or an average of $24.49 per share. We were operating under a $100.0 million repurchase authorization from February 2022. In June 2023, we announced an additional $50.0 million share repurchase authorization. As of February 1, 2025, we have $42.3 million remaining under the expanded share repurchase authorization. We repurchased 1,261,295 shares during Fiscal 2024 at a cost of $32.0 million or an average of $25.39 per share. We repurchased 1,380,272 shares during Fiscal 2023 at a cost of $72.7 million or an average of $52.66 per share. During the first quarter of Fiscal 2026, through March 26, 2025, we repurchased 469,325 shares at a cost of $10.0 million or an average of $21.31 per share.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73" w:name="page74"/>
    <w:bookmarkEnd w:id="73"/>
    <w:p>
      <w:pPr>
        <w:jc w:val="center"/>
        <w:spacing w:after="0"/>
        <w:rPr>
          <w:sz w:val="20"/>
          <w:szCs w:val="20"/>
          <w:color w:val="auto"/>
        </w:rPr>
      </w:pPr>
      <w:r>
        <w:rPr>
          <w:rFonts w:ascii="Times New Roman" w:cs="Times New Roman" w:eastAsia="Times New Roman" w:hAnsi="Times New Roman"/>
          <w:sz w:val="18"/>
          <w:szCs w:val="18"/>
          <w:b w:val="1"/>
          <w:bCs w:val="1"/>
          <w:color w:val="auto"/>
        </w:rPr>
        <w:t>Genesco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Share-Based Compensation Plans</w:t>
      </w:r>
    </w:p>
    <w:p>
      <w:pPr>
        <w:spacing w:after="0" w:line="20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a share-based compensation plan, the 2020 Plan, which became effective June 25, 2020. Under the 2020 Plan, we may grant non-qualified stock options, RSAs, RSUs and PSUs and other stock-based awards to our key employees, non-employee directors and consultants for up to 1.8 million shares of common stock. Under the 2020 Plan, as amended and restated on June 25, 2024 and June 22, 2023, an additional 0.6 million shares and 0.5 million shares of common stock, respectively, were authorized for such grants. Outstanding PSUs are subject to performance conditions that include either total Company performance metrics or business unit performance metrics along with a requirement that a recipient's service with the Company continue through the end of the performance period. The fair value of RSAs, RSUs and PSUs is determined based on the closing price of our common stock on the date of grant. Forfeitures for these awards are recognized as they occur. The 2020 Plan replaced our Second Amended and Restated 2009 Equity Incentive Plan (the “2009 Plan”). There will be no future awards under the 2009 Plan.</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 and Cash Incentive Plans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both the 2009 and 2020 Plans, the exercise price of each stock option equals the market price of our stock on the date of grant, and an option’s maximum term is 10 years. Stock options granted under both plans primarily vest 25% per year over four years. We did not capitalize any share-based compensation expense.</w:t>
      </w:r>
    </w:p>
    <w:p>
      <w:pPr>
        <w:spacing w:after="0" w:line="14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we established the 2020 Restricted Cash Incentive Program (the “2020 Program”) in Fiscal 2021 and adopted the 2024 Restricted Cash Program in Fiscal 2025 (the "2024 Program" and collectively with the 2020 Program, the "Programs") to attract and retain executive officers and key employees. Officers and employees of the Company or its subsidiaries are eligible to receive grants under the Programs. Total cash of $5.0 million was granted in April 2024 under the 2024 Program. Cash granted under the 2024 Program will primarily vest 33% per year over three years. Total cash of $2.7 million was granted in June 2020 under the 2020 Program that vested 25% per year over four years. The compensation paid under the Programs is taxable and subject to applicable tax withholding requirements. Compensation expense recognized in selling and administrative expenses in the accompanying Consolidated Statements of Operations for these cash grants was $1.6 million, $0.5 million and $0.6 million for Fiscal 2025, Fiscal 2024 and Fiscal 2023, respectively.</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Incentive Plans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Director Restricted Stock</w:t>
      </w:r>
    </w:p>
    <w:p>
      <w:pPr>
        <w:spacing w:after="0" w:line="19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2020 Plan permits grants to non-employee directors on such terms as the Board of Directors may approve. Restricted stock awards were made to independent directors on the date of the annual meeting of shareholders in each of Fiscal 2025, 2024 and 2023. The shares granted in each award vested on the earlier of the first anniversary of the grant date and the date of the next annual meeting of shareholders, subject to the director's continued service through that date. The grants for Fiscal 2025, Fiscal 2024 and Fiscal 2023 were valued at $120,000 per director. For Fiscal 2025, 2024 and 2023, we issued 36,320 shares, 37,264 shares and 16,536 shares, respectively, of director restricted stock. In addition, we issued 1,020 shares to newly elected directors in Fiscal 2024. We did not issue any shares to new directors in Fiscal 2025 or Fiscal 2023. We recognized $0.9 million, $1.0 million and $1.0 million of director restricted stock related share-based compensation in Fiscal 2025, 2024 and 2023 in selling and administrative expenses in the accompanying Consolidated Statements of Operations.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74" w:name="page75"/>
    <w:bookmarkEnd w:id="74"/>
    <w:p>
      <w:pPr>
        <w:jc w:val="center"/>
        <w:spacing w:after="0"/>
        <w:rPr>
          <w:sz w:val="20"/>
          <w:szCs w:val="20"/>
          <w:color w:val="auto"/>
        </w:rPr>
      </w:pPr>
      <w:r>
        <w:rPr>
          <w:rFonts w:ascii="Times New Roman" w:cs="Times New Roman" w:eastAsia="Times New Roman" w:hAnsi="Times New Roman"/>
          <w:sz w:val="18"/>
          <w:szCs w:val="18"/>
          <w:b w:val="1"/>
          <w:bCs w:val="1"/>
          <w:color w:val="auto"/>
        </w:rPr>
        <w:t>Genesco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Share-Based Compensation Plans, Continued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Employee Restricted Stock Awards and Units</w:t>
      </w:r>
    </w:p>
    <w:p>
      <w:pPr>
        <w:spacing w:after="0" w:line="18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Under the 2020 Plan, we issued 300,157 shares, 256,866 shares and 221,581 shares of RSAs in Fiscal 2025, 2024 and Fiscal 2023, respectively. Shares of RSAs issued in Fiscal 2025 and Fiscal 2024 primarily vest 33% per year over three years and RSAs issued in Fiscal 2023 primarily vest 25% per year over four years, provided that on such date the grantee has remained continuously employed by the Company since the date of grant. In addition, we issued 77,487 shares of RSAs to certain executive employees in lieu of a portion of their performance-based cash compensation in Fiscal 2023. These restricted shares vested two-thirds in Fiscal 2024 and one-third in Fiscal 2025. Total RSAs issued in Fiscal 2023, including the annual grant to certain employees and performance-based compensation shares, were 299,068 restricted shares. Under the original 2020 Plan, restricted share grants depleted the shares available for future grants at a ratio of 1.72 shares per restricted share granted. Under the 2020 Plan, as amended and restated, restricted share grants after March 24, 2023 deplete the shares available for future grants at a ratio of 1.52 shares per restricted share granted and after March 31, 2024 shares available for future grants are depleted at a ratio of 1.35 shares per restricted share granted.</w:t>
      </w:r>
    </w:p>
    <w:p>
      <w:pPr>
        <w:spacing w:after="0" w:line="14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Additionally, we issued 1,065, 878 and 846 RSUs in Fiscal 2025, 2024 and 2023, respectively, to certain employees at no cost that vest over three years. The fair value of RSAs and RSUs is charged against income as compensation expense over the vesting period. Compensation expense recognized in selling and administrative expenses in the accompanying Consolidated Statements of Operations for these shares was $10.7 million, $12.6 million and $12.9 million for Fiscal 2025, 2024 and 2023, respectively.</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A summary of the status of our nonvested shares of our RSAs as of February 1, 2025 is presented below:</w:t>
            </w:r>
          </w:p>
        </w:tc>
        <w:tc>
          <w:tcPr>
            <w:tcW w:w="1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79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4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9"/>
              </w:rPr>
              <w:t>Weighted-</w:t>
            </w:r>
          </w:p>
        </w:tc>
        <w:tc>
          <w:tcPr>
            <w:tcW w:w="0" w:type="dxa"/>
            <w:vAlign w:val="bottom"/>
          </w:tcPr>
          <w:p>
            <w:pPr>
              <w:spacing w:after="0"/>
              <w:rPr>
                <w:sz w:val="1"/>
                <w:szCs w:val="1"/>
                <w:color w:val="auto"/>
              </w:rPr>
            </w:pPr>
          </w:p>
        </w:tc>
      </w:tr>
      <w:tr>
        <w:trPr>
          <w:trHeight w:val="216"/>
        </w:trPr>
        <w:tc>
          <w:tcPr>
            <w:tcW w:w="79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4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8"/>
              </w:rPr>
              <w:t>Average</w:t>
            </w:r>
          </w:p>
        </w:tc>
        <w:tc>
          <w:tcPr>
            <w:tcW w:w="0" w:type="dxa"/>
            <w:vAlign w:val="bottom"/>
          </w:tcPr>
          <w:p>
            <w:pPr>
              <w:spacing w:after="0"/>
              <w:rPr>
                <w:sz w:val="1"/>
                <w:szCs w:val="1"/>
                <w:color w:val="auto"/>
              </w:rPr>
            </w:pPr>
          </w:p>
        </w:tc>
      </w:tr>
      <w:tr>
        <w:trPr>
          <w:trHeight w:val="216"/>
        </w:trPr>
        <w:tc>
          <w:tcPr>
            <w:tcW w:w="79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Nonvested Restricted Stock Awards</w:t>
            </w:r>
          </w:p>
        </w:tc>
        <w:tc>
          <w:tcPr>
            <w:tcW w:w="1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4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8"/>
              </w:rPr>
              <w:t>Grant-Date</w:t>
            </w:r>
          </w:p>
        </w:tc>
        <w:tc>
          <w:tcPr>
            <w:tcW w:w="0" w:type="dxa"/>
            <w:vAlign w:val="bottom"/>
          </w:tcPr>
          <w:p>
            <w:pPr>
              <w:spacing w:after="0"/>
              <w:rPr>
                <w:sz w:val="1"/>
                <w:szCs w:val="1"/>
                <w:color w:val="auto"/>
              </w:rPr>
            </w:pPr>
          </w:p>
        </w:tc>
      </w:tr>
      <w:tr>
        <w:trPr>
          <w:trHeight w:val="234"/>
        </w:trPr>
        <w:tc>
          <w:tcPr>
            <w:tcW w:w="7920" w:type="dxa"/>
            <w:vAlign w:val="bottom"/>
            <w:tcBorders>
              <w:bottom w:val="single" w:sz="8" w:color="auto"/>
            </w:tcBorders>
            <w:vMerge w:val="continue"/>
          </w:tcPr>
          <w:p>
            <w:pPr>
              <w:spacing w:after="0"/>
              <w:rPr>
                <w:sz w:val="20"/>
                <w:szCs w:val="20"/>
                <w:color w:val="auto"/>
              </w:rPr>
            </w:pPr>
          </w:p>
        </w:tc>
        <w:tc>
          <w:tcPr>
            <w:tcW w:w="154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Shares</w:t>
            </w:r>
          </w:p>
        </w:tc>
        <w:tc>
          <w:tcPr>
            <w:tcW w:w="3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center"/>
              <w:ind w:right="270"/>
              <w:spacing w:after="0"/>
              <w:rPr>
                <w:sz w:val="20"/>
                <w:szCs w:val="20"/>
                <w:color w:val="auto"/>
              </w:rPr>
            </w:pPr>
            <w:r>
              <w:rPr>
                <w:rFonts w:ascii="Times New Roman" w:cs="Times New Roman" w:eastAsia="Times New Roman" w:hAnsi="Times New Roman"/>
                <w:sz w:val="18"/>
                <w:szCs w:val="18"/>
                <w:color w:val="auto"/>
                <w:w w:val="99"/>
              </w:rPr>
              <w:t>Fair Value</w:t>
            </w:r>
          </w:p>
        </w:tc>
        <w:tc>
          <w:tcPr>
            <w:tcW w:w="0" w:type="dxa"/>
            <w:vAlign w:val="bottom"/>
          </w:tcPr>
          <w:p>
            <w:pPr>
              <w:spacing w:after="0"/>
              <w:rPr>
                <w:sz w:val="1"/>
                <w:szCs w:val="1"/>
                <w:color w:val="auto"/>
              </w:rPr>
            </w:pPr>
          </w:p>
        </w:tc>
      </w:tr>
      <w:tr>
        <w:trPr>
          <w:trHeight w:val="210"/>
        </w:trPr>
        <w:tc>
          <w:tcPr>
            <w:tcW w:w="792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Nonvested at January 29, 2022</w:t>
            </w:r>
          </w:p>
        </w:tc>
        <w:tc>
          <w:tcPr>
            <w:tcW w:w="154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660,909</w:t>
            </w:r>
          </w:p>
        </w:tc>
        <w:tc>
          <w:tcPr>
            <w:tcW w:w="3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39.46</w:t>
            </w:r>
          </w:p>
        </w:tc>
        <w:tc>
          <w:tcPr>
            <w:tcW w:w="0" w:type="dxa"/>
            <w:vAlign w:val="bottom"/>
          </w:tcPr>
          <w:p>
            <w:pPr>
              <w:spacing w:after="0"/>
              <w:rPr>
                <w:sz w:val="1"/>
                <w:szCs w:val="1"/>
                <w:color w:val="auto"/>
              </w:rPr>
            </w:pPr>
          </w:p>
        </w:tc>
      </w:tr>
      <w:tr>
        <w:trPr>
          <w:trHeight w:val="210"/>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5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299,068</w:t>
            </w:r>
          </w:p>
        </w:tc>
        <w:tc>
          <w:tcPr>
            <w:tcW w:w="340" w:type="dxa"/>
            <w:vAlign w:val="bottom"/>
          </w:tcPr>
          <w:p>
            <w:pPr>
              <w:spacing w:after="0"/>
              <w:rPr>
                <w:sz w:val="18"/>
                <w:szCs w:val="18"/>
                <w:color w:val="auto"/>
              </w:rPr>
            </w:pP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57.91</w:t>
            </w:r>
          </w:p>
        </w:tc>
        <w:tc>
          <w:tcPr>
            <w:tcW w:w="0" w:type="dxa"/>
            <w:vAlign w:val="bottom"/>
          </w:tcPr>
          <w:p>
            <w:pPr>
              <w:spacing w:after="0"/>
              <w:rPr>
                <w:sz w:val="1"/>
                <w:szCs w:val="1"/>
                <w:color w:val="auto"/>
              </w:rPr>
            </w:pPr>
          </w:p>
        </w:tc>
      </w:tr>
      <w:tr>
        <w:trPr>
          <w:trHeight w:val="216"/>
        </w:trPr>
        <w:tc>
          <w:tcPr>
            <w:tcW w:w="7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5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(166,638 )</w:t>
            </w:r>
          </w:p>
        </w:tc>
        <w:tc>
          <w:tcPr>
            <w:tcW w:w="34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38.03</w:t>
            </w:r>
          </w:p>
        </w:tc>
        <w:tc>
          <w:tcPr>
            <w:tcW w:w="0" w:type="dxa"/>
            <w:vAlign w:val="bottom"/>
          </w:tcPr>
          <w:p>
            <w:pPr>
              <w:spacing w:after="0"/>
              <w:rPr>
                <w:sz w:val="1"/>
                <w:szCs w:val="1"/>
                <w:color w:val="auto"/>
              </w:rPr>
            </w:pPr>
          </w:p>
        </w:tc>
      </w:tr>
      <w:tr>
        <w:trPr>
          <w:trHeight w:val="216"/>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Withheld for federal taxes</w:t>
            </w:r>
          </w:p>
        </w:tc>
        <w:tc>
          <w:tcPr>
            <w:tcW w:w="1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(73,137 )</w:t>
            </w:r>
          </w:p>
        </w:tc>
        <w:tc>
          <w:tcPr>
            <w:tcW w:w="340" w:type="dxa"/>
            <w:vAlign w:val="bottom"/>
          </w:tcPr>
          <w:p>
            <w:pPr>
              <w:spacing w:after="0"/>
              <w:rPr>
                <w:sz w:val="18"/>
                <w:szCs w:val="18"/>
                <w:color w:val="auto"/>
              </w:rPr>
            </w:pP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37.74</w:t>
            </w:r>
          </w:p>
        </w:tc>
        <w:tc>
          <w:tcPr>
            <w:tcW w:w="0" w:type="dxa"/>
            <w:vAlign w:val="bottom"/>
          </w:tcPr>
          <w:p>
            <w:pPr>
              <w:spacing w:after="0"/>
              <w:rPr>
                <w:sz w:val="1"/>
                <w:szCs w:val="1"/>
                <w:color w:val="auto"/>
              </w:rPr>
            </w:pPr>
          </w:p>
        </w:tc>
      </w:tr>
      <w:tr>
        <w:trPr>
          <w:trHeight w:val="216"/>
        </w:trPr>
        <w:tc>
          <w:tcPr>
            <w:tcW w:w="792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5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(31,057 )</w:t>
            </w:r>
          </w:p>
        </w:tc>
        <w:tc>
          <w:tcPr>
            <w:tcW w:w="34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42.86</w:t>
            </w:r>
          </w:p>
        </w:tc>
        <w:tc>
          <w:tcPr>
            <w:tcW w:w="0" w:type="dxa"/>
            <w:vAlign w:val="bottom"/>
          </w:tcPr>
          <w:p>
            <w:pPr>
              <w:spacing w:after="0"/>
              <w:rPr>
                <w:sz w:val="1"/>
                <w:szCs w:val="1"/>
                <w:color w:val="auto"/>
              </w:rPr>
            </w:pPr>
          </w:p>
        </w:tc>
      </w:tr>
      <w:tr>
        <w:trPr>
          <w:trHeight w:val="210"/>
        </w:trPr>
        <w:tc>
          <w:tcPr>
            <w:tcW w:w="7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Nonvested at January 28, 2023</w:t>
            </w:r>
          </w:p>
        </w:tc>
        <w:tc>
          <w:tcPr>
            <w:tcW w:w="15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689,145</w:t>
            </w:r>
          </w:p>
        </w:tc>
        <w:tc>
          <w:tcPr>
            <w:tcW w:w="3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47.85</w:t>
            </w:r>
          </w:p>
        </w:tc>
        <w:tc>
          <w:tcPr>
            <w:tcW w:w="0" w:type="dxa"/>
            <w:vAlign w:val="bottom"/>
          </w:tcPr>
          <w:p>
            <w:pPr>
              <w:spacing w:after="0"/>
              <w:rPr>
                <w:sz w:val="1"/>
                <w:szCs w:val="1"/>
                <w:color w:val="auto"/>
              </w:rPr>
            </w:pPr>
          </w:p>
        </w:tc>
      </w:tr>
      <w:tr>
        <w:trPr>
          <w:trHeight w:val="210"/>
        </w:trPr>
        <w:tc>
          <w:tcPr>
            <w:tcW w:w="7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54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256,866</w:t>
            </w:r>
          </w:p>
        </w:tc>
        <w:tc>
          <w:tcPr>
            <w:tcW w:w="34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36.21</w:t>
            </w:r>
          </w:p>
        </w:tc>
        <w:tc>
          <w:tcPr>
            <w:tcW w:w="0" w:type="dxa"/>
            <w:vAlign w:val="bottom"/>
          </w:tcPr>
          <w:p>
            <w:pPr>
              <w:spacing w:after="0"/>
              <w:rPr>
                <w:sz w:val="1"/>
                <w:szCs w:val="1"/>
                <w:color w:val="auto"/>
              </w:rPr>
            </w:pPr>
          </w:p>
        </w:tc>
      </w:tr>
      <w:tr>
        <w:trPr>
          <w:trHeight w:val="216"/>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(210,757 )</w:t>
            </w:r>
          </w:p>
        </w:tc>
        <w:tc>
          <w:tcPr>
            <w:tcW w:w="340" w:type="dxa"/>
            <w:vAlign w:val="bottom"/>
          </w:tcPr>
          <w:p>
            <w:pPr>
              <w:spacing w:after="0"/>
              <w:rPr>
                <w:sz w:val="18"/>
                <w:szCs w:val="18"/>
                <w:color w:val="auto"/>
              </w:rPr>
            </w:pP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46.10</w:t>
            </w:r>
          </w:p>
        </w:tc>
        <w:tc>
          <w:tcPr>
            <w:tcW w:w="0" w:type="dxa"/>
            <w:vAlign w:val="bottom"/>
          </w:tcPr>
          <w:p>
            <w:pPr>
              <w:spacing w:after="0"/>
              <w:rPr>
                <w:sz w:val="1"/>
                <w:szCs w:val="1"/>
                <w:color w:val="auto"/>
              </w:rPr>
            </w:pPr>
          </w:p>
        </w:tc>
      </w:tr>
      <w:tr>
        <w:trPr>
          <w:trHeight w:val="216"/>
        </w:trPr>
        <w:tc>
          <w:tcPr>
            <w:tcW w:w="7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Withheld for federal taxes</w:t>
            </w:r>
          </w:p>
        </w:tc>
        <w:tc>
          <w:tcPr>
            <w:tcW w:w="15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(86,179 )</w:t>
            </w:r>
          </w:p>
        </w:tc>
        <w:tc>
          <w:tcPr>
            <w:tcW w:w="34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44.87</w:t>
            </w:r>
          </w:p>
        </w:tc>
        <w:tc>
          <w:tcPr>
            <w:tcW w:w="0" w:type="dxa"/>
            <w:vAlign w:val="bottom"/>
          </w:tcPr>
          <w:p>
            <w:pPr>
              <w:spacing w:after="0"/>
              <w:rPr>
                <w:sz w:val="1"/>
                <w:szCs w:val="1"/>
                <w:color w:val="auto"/>
              </w:rPr>
            </w:pPr>
          </w:p>
        </w:tc>
      </w:tr>
      <w:tr>
        <w:trPr>
          <w:trHeight w:val="216"/>
        </w:trPr>
        <w:tc>
          <w:tcPr>
            <w:tcW w:w="7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5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(76,633 )</w:t>
            </w:r>
          </w:p>
        </w:tc>
        <w:tc>
          <w:tcPr>
            <w:tcW w:w="3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45.32</w:t>
            </w:r>
          </w:p>
        </w:tc>
        <w:tc>
          <w:tcPr>
            <w:tcW w:w="0" w:type="dxa"/>
            <w:vAlign w:val="bottom"/>
          </w:tcPr>
          <w:p>
            <w:pPr>
              <w:spacing w:after="0"/>
              <w:rPr>
                <w:sz w:val="1"/>
                <w:szCs w:val="1"/>
                <w:color w:val="auto"/>
              </w:rPr>
            </w:pPr>
          </w:p>
        </w:tc>
      </w:tr>
      <w:tr>
        <w:trPr>
          <w:trHeight w:val="209"/>
        </w:trPr>
        <w:tc>
          <w:tcPr>
            <w:tcW w:w="792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Nonvested at February 3, 2024</w:t>
            </w:r>
          </w:p>
        </w:tc>
        <w:tc>
          <w:tcPr>
            <w:tcW w:w="154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572,442</w:t>
            </w:r>
          </w:p>
        </w:tc>
        <w:tc>
          <w:tcPr>
            <w:tcW w:w="34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44.06</w:t>
            </w:r>
          </w:p>
        </w:tc>
        <w:tc>
          <w:tcPr>
            <w:tcW w:w="0" w:type="dxa"/>
            <w:vAlign w:val="bottom"/>
          </w:tcPr>
          <w:p>
            <w:pPr>
              <w:spacing w:after="0"/>
              <w:rPr>
                <w:sz w:val="1"/>
                <w:szCs w:val="1"/>
                <w:color w:val="auto"/>
              </w:rPr>
            </w:pPr>
          </w:p>
        </w:tc>
      </w:tr>
      <w:tr>
        <w:trPr>
          <w:trHeight w:val="210"/>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Granted</w:t>
            </w:r>
          </w:p>
        </w:tc>
        <w:tc>
          <w:tcPr>
            <w:tcW w:w="15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300,157</w:t>
            </w:r>
          </w:p>
        </w:tc>
        <w:tc>
          <w:tcPr>
            <w:tcW w:w="340" w:type="dxa"/>
            <w:vAlign w:val="bottom"/>
          </w:tcPr>
          <w:p>
            <w:pPr>
              <w:spacing w:after="0"/>
              <w:rPr>
                <w:sz w:val="18"/>
                <w:szCs w:val="18"/>
                <w:color w:val="auto"/>
              </w:rPr>
            </w:pP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31.71</w:t>
            </w:r>
          </w:p>
        </w:tc>
        <w:tc>
          <w:tcPr>
            <w:tcW w:w="0" w:type="dxa"/>
            <w:vAlign w:val="bottom"/>
          </w:tcPr>
          <w:p>
            <w:pPr>
              <w:spacing w:after="0"/>
              <w:rPr>
                <w:sz w:val="1"/>
                <w:szCs w:val="1"/>
                <w:color w:val="auto"/>
              </w:rPr>
            </w:pPr>
          </w:p>
        </w:tc>
      </w:tr>
      <w:tr>
        <w:trPr>
          <w:trHeight w:val="216"/>
        </w:trPr>
        <w:tc>
          <w:tcPr>
            <w:tcW w:w="7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Vested</w:t>
            </w:r>
          </w:p>
        </w:tc>
        <w:tc>
          <w:tcPr>
            <w:tcW w:w="15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(216,025 )</w:t>
            </w:r>
          </w:p>
        </w:tc>
        <w:tc>
          <w:tcPr>
            <w:tcW w:w="34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40.86</w:t>
            </w:r>
          </w:p>
        </w:tc>
        <w:tc>
          <w:tcPr>
            <w:tcW w:w="0" w:type="dxa"/>
            <w:vAlign w:val="bottom"/>
          </w:tcPr>
          <w:p>
            <w:pPr>
              <w:spacing w:after="0"/>
              <w:rPr>
                <w:sz w:val="1"/>
                <w:szCs w:val="1"/>
                <w:color w:val="auto"/>
              </w:rPr>
            </w:pPr>
          </w:p>
        </w:tc>
      </w:tr>
      <w:tr>
        <w:trPr>
          <w:trHeight w:val="216"/>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Withheld for federal taxes</w:t>
            </w:r>
          </w:p>
        </w:tc>
        <w:tc>
          <w:tcPr>
            <w:tcW w:w="15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(89,942 )</w:t>
            </w:r>
          </w:p>
        </w:tc>
        <w:tc>
          <w:tcPr>
            <w:tcW w:w="340" w:type="dxa"/>
            <w:vAlign w:val="bottom"/>
          </w:tcPr>
          <w:p>
            <w:pPr>
              <w:spacing w:after="0"/>
              <w:rPr>
                <w:sz w:val="18"/>
                <w:szCs w:val="18"/>
                <w:color w:val="auto"/>
              </w:rPr>
            </w:pP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40.11</w:t>
            </w:r>
          </w:p>
        </w:tc>
        <w:tc>
          <w:tcPr>
            <w:tcW w:w="0" w:type="dxa"/>
            <w:vAlign w:val="bottom"/>
          </w:tcPr>
          <w:p>
            <w:pPr>
              <w:spacing w:after="0"/>
              <w:rPr>
                <w:sz w:val="1"/>
                <w:szCs w:val="1"/>
                <w:color w:val="auto"/>
              </w:rPr>
            </w:pPr>
          </w:p>
        </w:tc>
      </w:tr>
      <w:tr>
        <w:trPr>
          <w:trHeight w:val="216"/>
        </w:trPr>
        <w:tc>
          <w:tcPr>
            <w:tcW w:w="792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Forfeited</w:t>
            </w:r>
          </w:p>
        </w:tc>
        <w:tc>
          <w:tcPr>
            <w:tcW w:w="15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(35,408 )</w:t>
            </w:r>
          </w:p>
        </w:tc>
        <w:tc>
          <w:tcPr>
            <w:tcW w:w="34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42.30</w:t>
            </w:r>
          </w:p>
        </w:tc>
        <w:tc>
          <w:tcPr>
            <w:tcW w:w="0" w:type="dxa"/>
            <w:vAlign w:val="bottom"/>
          </w:tcPr>
          <w:p>
            <w:pPr>
              <w:spacing w:after="0"/>
              <w:rPr>
                <w:sz w:val="1"/>
                <w:szCs w:val="1"/>
                <w:color w:val="auto"/>
              </w:rPr>
            </w:pPr>
          </w:p>
        </w:tc>
      </w:tr>
      <w:tr>
        <w:trPr>
          <w:trHeight w:val="210"/>
        </w:trPr>
        <w:tc>
          <w:tcPr>
            <w:tcW w:w="7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Nonvested at February 1, 2025</w:t>
            </w:r>
          </w:p>
        </w:tc>
        <w:tc>
          <w:tcPr>
            <w:tcW w:w="15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531,224</w:t>
            </w:r>
          </w:p>
        </w:tc>
        <w:tc>
          <w:tcPr>
            <w:tcW w:w="3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39.10</w:t>
            </w:r>
          </w:p>
        </w:tc>
        <w:tc>
          <w:tcPr>
            <w:tcW w:w="0" w:type="dxa"/>
            <w:vAlign w:val="bottom"/>
          </w:tcPr>
          <w:p>
            <w:pPr>
              <w:spacing w:after="0"/>
              <w:rPr>
                <w:sz w:val="1"/>
                <w:szCs w:val="1"/>
                <w:color w:val="auto"/>
              </w:rPr>
            </w:pPr>
          </w:p>
        </w:tc>
      </w:tr>
      <w:tr>
        <w:trPr>
          <w:trHeight w:val="20"/>
        </w:trPr>
        <w:tc>
          <w:tcPr>
            <w:tcW w:w="79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75" w:name="page76"/>
    <w:bookmarkEnd w:id="75"/>
    <w:p>
      <w:pPr>
        <w:jc w:val="center"/>
        <w:spacing w:after="0"/>
        <w:rPr>
          <w:sz w:val="20"/>
          <w:szCs w:val="20"/>
          <w:color w:val="auto"/>
        </w:rPr>
      </w:pPr>
      <w:r>
        <w:rPr>
          <w:rFonts w:ascii="Times New Roman" w:cs="Times New Roman" w:eastAsia="Times New Roman" w:hAnsi="Times New Roman"/>
          <w:sz w:val="18"/>
          <w:szCs w:val="18"/>
          <w:b w:val="1"/>
          <w:bCs w:val="1"/>
          <w:color w:val="auto"/>
        </w:rPr>
        <w:t>Genesco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Share-Based Compensation Plans, Continued</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number of restricted stock awards issued on the date the stock awards vest is net of shares withheld to satisfy the minimum statutory tax withholding requirements, which we pay on behalf of our employees. Although shares withheld are not issued, they are treated similar to common stock repurchases as they reduce the number of shares that would have been issued upon vesting.</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February 1, 2025, we had $14.4 million of total unrecognized compensation expense related to nonvested RSAs discussed above. That cost is expected to be recognized over a weighted average period of 1.62 years.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Performance-Based Share Units</w:t>
      </w:r>
    </w:p>
    <w:p>
      <w:pPr>
        <w:spacing w:after="0" w:line="19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Fiscal 2025 and Fiscal 2024, we granted 153,602 PSUs and 96,866 PSUs, respectively, (assuming target level achievement) to certain members of senior management. The actual number of shares that will be issued will be based on actual performance and can range from 0% and 200% of the shares granted. Performance conditions include both total Company and business unit performance metrics along with a requirement that a recipient's service with the Company continue through the end of the performance period. Compensation expense for PSUs, net of forfeitures, is recognized on a straight-line basis over the requisite service period and is updated for our expected performance level against performance goals at the end of each reporting period, which involves judgment as to the achievement of those goals. If performance goals are achieved, the PSUs will be issued based on the achievement level and will cliff vest in full at the end of the three-year performance period. Any portion of the PSUs that are not earned by the end of the three year period will be forfeited. Under the 2020 Plan, as amended and restated, PSUs granted in Fiscal 2025 deplete the shares available for future grants at a ratio of 1.35 shares per PSU granted and PSUs granted in Fiscal 2024 deplete the shares available for future grants at a ratio of 1.52 shares per PSU granted. During the twelve months ended February 1, 2025, we estimated the probable outcome of the performance goals for each PSU grant and the corresponding expense for the year ended February 1, 2025 is reflected in PSU compensation expense. Compensation expense recognized in selling and administrative expenses in the accompanying Consolidated Statements of Operations for PSUs was $1.3 million and $0.3 million for Fiscal 2025 and Fiscal 2024, respectively.</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76" w:name="page77"/>
    <w:bookmarkEnd w:id="76"/>
    <w:p>
      <w:pPr>
        <w:jc w:val="center"/>
        <w:spacing w:after="0"/>
        <w:rPr>
          <w:sz w:val="20"/>
          <w:szCs w:val="20"/>
          <w:color w:val="auto"/>
        </w:rPr>
      </w:pPr>
      <w:r>
        <w:rPr>
          <w:rFonts w:ascii="Times New Roman" w:cs="Times New Roman" w:eastAsia="Times New Roman" w:hAnsi="Times New Roman"/>
          <w:sz w:val="18"/>
          <w:szCs w:val="18"/>
          <w:b w:val="1"/>
          <w:bCs w:val="1"/>
          <w:color w:val="auto"/>
        </w:rPr>
        <w:t>Genesco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Share-Based Compensation Plans, Continued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status of our nonvested shares of our PSUs as of February 1, 2025 is presented below:</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8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4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9"/>
              </w:rPr>
              <w:t>Weighted-</w:t>
            </w:r>
          </w:p>
        </w:tc>
        <w:tc>
          <w:tcPr>
            <w:tcW w:w="0" w:type="dxa"/>
            <w:vAlign w:val="bottom"/>
          </w:tcPr>
          <w:p>
            <w:pPr>
              <w:spacing w:after="0"/>
              <w:rPr>
                <w:sz w:val="1"/>
                <w:szCs w:val="1"/>
                <w:color w:val="auto"/>
              </w:rPr>
            </w:pPr>
          </w:p>
        </w:tc>
      </w:tr>
      <w:tr>
        <w:trPr>
          <w:trHeight w:val="216"/>
        </w:trPr>
        <w:tc>
          <w:tcPr>
            <w:tcW w:w="578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4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rPr>
              <w:t>Average</w:t>
            </w:r>
          </w:p>
        </w:tc>
        <w:tc>
          <w:tcPr>
            <w:tcW w:w="0" w:type="dxa"/>
            <w:vAlign w:val="bottom"/>
          </w:tcPr>
          <w:p>
            <w:pPr>
              <w:spacing w:after="0"/>
              <w:rPr>
                <w:sz w:val="1"/>
                <w:szCs w:val="1"/>
                <w:color w:val="auto"/>
              </w:rPr>
            </w:pPr>
          </w:p>
        </w:tc>
      </w:tr>
      <w:tr>
        <w:trPr>
          <w:trHeight w:val="216"/>
        </w:trPr>
        <w:tc>
          <w:tcPr>
            <w:tcW w:w="57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Nonvested Performance-Based Share Units</w:t>
            </w:r>
          </w:p>
        </w:tc>
        <w:tc>
          <w:tcPr>
            <w:tcW w:w="3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4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rPr>
              <w:t>Grant-Date</w:t>
            </w:r>
          </w:p>
        </w:tc>
        <w:tc>
          <w:tcPr>
            <w:tcW w:w="0" w:type="dxa"/>
            <w:vAlign w:val="bottom"/>
          </w:tcPr>
          <w:p>
            <w:pPr>
              <w:spacing w:after="0"/>
              <w:rPr>
                <w:sz w:val="1"/>
                <w:szCs w:val="1"/>
                <w:color w:val="auto"/>
              </w:rPr>
            </w:pPr>
          </w:p>
        </w:tc>
      </w:tr>
      <w:tr>
        <w:trPr>
          <w:trHeight w:val="234"/>
        </w:trPr>
        <w:tc>
          <w:tcPr>
            <w:tcW w:w="5780" w:type="dxa"/>
            <w:vAlign w:val="bottom"/>
            <w:tcBorders>
              <w:bottom w:val="single" w:sz="8" w:color="auto"/>
            </w:tcBorders>
            <w:vMerge w:val="continue"/>
          </w:tcPr>
          <w:p>
            <w:pPr>
              <w:spacing w:after="0"/>
              <w:rPr>
                <w:sz w:val="20"/>
                <w:szCs w:val="20"/>
                <w:color w:val="auto"/>
              </w:rPr>
            </w:pPr>
          </w:p>
        </w:tc>
        <w:tc>
          <w:tcPr>
            <w:tcW w:w="368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color w:val="auto"/>
              </w:rPr>
              <w:t>Shares</w:t>
            </w:r>
          </w:p>
        </w:tc>
        <w:tc>
          <w:tcPr>
            <w:tcW w:w="3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center"/>
              <w:ind w:right="250"/>
              <w:spacing w:after="0"/>
              <w:rPr>
                <w:sz w:val="20"/>
                <w:szCs w:val="20"/>
                <w:color w:val="auto"/>
              </w:rPr>
            </w:pPr>
            <w:r>
              <w:rPr>
                <w:rFonts w:ascii="Times New Roman" w:cs="Times New Roman" w:eastAsia="Times New Roman" w:hAnsi="Times New Roman"/>
                <w:sz w:val="18"/>
                <w:szCs w:val="18"/>
                <w:color w:val="auto"/>
              </w:rPr>
              <w:t>Fair Value</w:t>
            </w:r>
          </w:p>
        </w:tc>
        <w:tc>
          <w:tcPr>
            <w:tcW w:w="0" w:type="dxa"/>
            <w:vAlign w:val="bottom"/>
          </w:tcPr>
          <w:p>
            <w:pPr>
              <w:spacing w:after="0"/>
              <w:rPr>
                <w:sz w:val="1"/>
                <w:szCs w:val="1"/>
                <w:color w:val="auto"/>
              </w:rPr>
            </w:pPr>
          </w:p>
        </w:tc>
      </w:tr>
      <w:tr>
        <w:trPr>
          <w:trHeight w:val="210"/>
        </w:trPr>
        <w:tc>
          <w:tcPr>
            <w:tcW w:w="578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Nonvested at January 28, 2023</w:t>
            </w:r>
          </w:p>
        </w:tc>
        <w:tc>
          <w:tcPr>
            <w:tcW w:w="368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9"/>
        </w:trPr>
        <w:tc>
          <w:tcPr>
            <w:tcW w:w="5780" w:type="dxa"/>
            <w:vAlign w:val="bottom"/>
          </w:tcPr>
          <w:p>
            <w:pPr>
              <w:ind w:left="20"/>
              <w:spacing w:after="0" w:line="210" w:lineRule="exact"/>
              <w:rPr>
                <w:sz w:val="20"/>
                <w:szCs w:val="20"/>
                <w:color w:val="auto"/>
              </w:rPr>
            </w:pPr>
            <w:r>
              <w:rPr>
                <w:rFonts w:ascii="Times New Roman" w:cs="Times New Roman" w:eastAsia="Times New Roman" w:hAnsi="Times New Roman"/>
                <w:sz w:val="18"/>
                <w:szCs w:val="18"/>
                <w:color w:val="auto"/>
              </w:rPr>
              <w:t>Granted</w:t>
            </w:r>
            <w:r>
              <w:rPr>
                <w:rFonts w:ascii="Times New Roman" w:cs="Times New Roman" w:eastAsia="Times New Roman" w:hAnsi="Times New Roman"/>
                <w:sz w:val="24"/>
                <w:szCs w:val="24"/>
                <w:color w:val="auto"/>
                <w:vertAlign w:val="superscript"/>
              </w:rPr>
              <w:t>(1)</w:t>
            </w:r>
          </w:p>
        </w:tc>
        <w:tc>
          <w:tcPr>
            <w:tcW w:w="36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96,866</w:t>
            </w:r>
          </w:p>
        </w:tc>
        <w:tc>
          <w:tcPr>
            <w:tcW w:w="340" w:type="dxa"/>
            <w:vAlign w:val="bottom"/>
          </w:tcPr>
          <w:p>
            <w:pPr>
              <w:spacing w:after="0"/>
              <w:rPr>
                <w:sz w:val="18"/>
                <w:szCs w:val="18"/>
                <w:color w:val="auto"/>
              </w:rPr>
            </w:pP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37.22</w:t>
            </w:r>
          </w:p>
        </w:tc>
        <w:tc>
          <w:tcPr>
            <w:tcW w:w="0" w:type="dxa"/>
            <w:vAlign w:val="bottom"/>
          </w:tcPr>
          <w:p>
            <w:pPr>
              <w:spacing w:after="0"/>
              <w:rPr>
                <w:sz w:val="1"/>
                <w:szCs w:val="1"/>
                <w:color w:val="auto"/>
              </w:rPr>
            </w:pPr>
          </w:p>
        </w:tc>
      </w:tr>
      <w:tr>
        <w:trPr>
          <w:trHeight w:val="216"/>
        </w:trPr>
        <w:tc>
          <w:tcPr>
            <w:tcW w:w="5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368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Withheld for federal taxes</w:t>
            </w:r>
          </w:p>
        </w:tc>
        <w:tc>
          <w:tcPr>
            <w:tcW w:w="36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78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368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(7,612 )</w:t>
            </w:r>
          </w:p>
        </w:tc>
        <w:tc>
          <w:tcPr>
            <w:tcW w:w="34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37.22</w:t>
            </w:r>
          </w:p>
        </w:tc>
        <w:tc>
          <w:tcPr>
            <w:tcW w:w="0" w:type="dxa"/>
            <w:vAlign w:val="bottom"/>
          </w:tcPr>
          <w:p>
            <w:pPr>
              <w:spacing w:after="0"/>
              <w:rPr>
                <w:sz w:val="1"/>
                <w:szCs w:val="1"/>
                <w:color w:val="auto"/>
              </w:rPr>
            </w:pPr>
          </w:p>
        </w:tc>
      </w:tr>
      <w:tr>
        <w:trPr>
          <w:trHeight w:val="209"/>
        </w:trPr>
        <w:tc>
          <w:tcPr>
            <w:tcW w:w="5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Nonvested at February 3, 2024</w:t>
            </w:r>
          </w:p>
        </w:tc>
        <w:tc>
          <w:tcPr>
            <w:tcW w:w="36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89,254</w:t>
            </w:r>
          </w:p>
        </w:tc>
        <w:tc>
          <w:tcPr>
            <w:tcW w:w="3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37.22</w:t>
            </w:r>
          </w:p>
        </w:tc>
        <w:tc>
          <w:tcPr>
            <w:tcW w:w="0" w:type="dxa"/>
            <w:vAlign w:val="bottom"/>
          </w:tcPr>
          <w:p>
            <w:pPr>
              <w:spacing w:after="0"/>
              <w:rPr>
                <w:sz w:val="1"/>
                <w:szCs w:val="1"/>
                <w:color w:val="auto"/>
              </w:rPr>
            </w:pPr>
          </w:p>
        </w:tc>
      </w:tr>
      <w:tr>
        <w:trPr>
          <w:trHeight w:val="209"/>
        </w:trPr>
        <w:tc>
          <w:tcPr>
            <w:tcW w:w="5780" w:type="dxa"/>
            <w:vAlign w:val="bottom"/>
            <w:shd w:val="clear" w:color="auto" w:fill="CFF0FC"/>
          </w:tcPr>
          <w:p>
            <w:pPr>
              <w:ind w:left="20"/>
              <w:spacing w:after="0" w:line="210" w:lineRule="exact"/>
              <w:rPr>
                <w:sz w:val="20"/>
                <w:szCs w:val="20"/>
                <w:color w:val="auto"/>
              </w:rPr>
            </w:pPr>
            <w:r>
              <w:rPr>
                <w:rFonts w:ascii="Times New Roman" w:cs="Times New Roman" w:eastAsia="Times New Roman" w:hAnsi="Times New Roman"/>
                <w:sz w:val="18"/>
                <w:szCs w:val="18"/>
                <w:b w:val="1"/>
                <w:bCs w:val="1"/>
                <w:color w:val="auto"/>
              </w:rPr>
              <w:t>Granted</w:t>
            </w:r>
            <w:r>
              <w:rPr>
                <w:rFonts w:ascii="Times New Roman" w:cs="Times New Roman" w:eastAsia="Times New Roman" w:hAnsi="Times New Roman"/>
                <w:sz w:val="24"/>
                <w:szCs w:val="24"/>
                <w:b w:val="1"/>
                <w:bCs w:val="1"/>
                <w:color w:val="auto"/>
                <w:vertAlign w:val="superscript"/>
              </w:rPr>
              <w:t>(1)</w:t>
            </w:r>
          </w:p>
        </w:tc>
        <w:tc>
          <w:tcPr>
            <w:tcW w:w="368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153,602</w:t>
            </w:r>
          </w:p>
        </w:tc>
        <w:tc>
          <w:tcPr>
            <w:tcW w:w="34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26.91</w:t>
            </w:r>
          </w:p>
        </w:tc>
        <w:tc>
          <w:tcPr>
            <w:tcW w:w="0" w:type="dxa"/>
            <w:vAlign w:val="bottom"/>
          </w:tcPr>
          <w:p>
            <w:pPr>
              <w:spacing w:after="0"/>
              <w:rPr>
                <w:sz w:val="1"/>
                <w:szCs w:val="1"/>
                <w:color w:val="auto"/>
              </w:rPr>
            </w:pPr>
          </w:p>
        </w:tc>
      </w:tr>
      <w:tr>
        <w:trPr>
          <w:trHeight w:val="216"/>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Vested</w:t>
            </w:r>
          </w:p>
        </w:tc>
        <w:tc>
          <w:tcPr>
            <w:tcW w:w="36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Pr>
          <w:p>
            <w:pPr>
              <w:spacing w:after="0"/>
              <w:rPr>
                <w:sz w:val="18"/>
                <w:szCs w:val="18"/>
                <w:color w:val="auto"/>
              </w:rPr>
            </w:pP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5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Withheld for federal taxes</w:t>
            </w:r>
          </w:p>
        </w:tc>
        <w:tc>
          <w:tcPr>
            <w:tcW w:w="368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5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Forfeited</w:t>
            </w:r>
          </w:p>
        </w:tc>
        <w:tc>
          <w:tcPr>
            <w:tcW w:w="36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(5,446 )</w:t>
            </w:r>
          </w:p>
        </w:tc>
        <w:tc>
          <w:tcPr>
            <w:tcW w:w="3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30.98</w:t>
            </w:r>
          </w:p>
        </w:tc>
        <w:tc>
          <w:tcPr>
            <w:tcW w:w="0" w:type="dxa"/>
            <w:vAlign w:val="bottom"/>
          </w:tcPr>
          <w:p>
            <w:pPr>
              <w:spacing w:after="0"/>
              <w:rPr>
                <w:sz w:val="1"/>
                <w:szCs w:val="1"/>
                <w:color w:val="auto"/>
              </w:rPr>
            </w:pPr>
          </w:p>
        </w:tc>
      </w:tr>
      <w:tr>
        <w:trPr>
          <w:trHeight w:val="250"/>
        </w:trPr>
        <w:tc>
          <w:tcPr>
            <w:tcW w:w="578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Nonvested at February 1, 2025</w:t>
            </w:r>
          </w:p>
        </w:tc>
        <w:tc>
          <w:tcPr>
            <w:tcW w:w="368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237,410</w:t>
            </w:r>
          </w:p>
        </w:tc>
        <w:tc>
          <w:tcPr>
            <w:tcW w:w="3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30.69</w:t>
            </w:r>
          </w:p>
        </w:tc>
        <w:tc>
          <w:tcPr>
            <w:tcW w:w="0" w:type="dxa"/>
            <w:vAlign w:val="bottom"/>
          </w:tcPr>
          <w:p>
            <w:pPr>
              <w:spacing w:after="0"/>
              <w:rPr>
                <w:sz w:val="1"/>
                <w:szCs w:val="1"/>
                <w:color w:val="auto"/>
              </w:rPr>
            </w:pPr>
          </w:p>
        </w:tc>
      </w:tr>
    </w:tbl>
    <w:p>
      <w:pPr>
        <w:spacing w:after="0" w:line="164"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24"/>
          <w:szCs w:val="24"/>
          <w:color w:val="auto"/>
          <w:vertAlign w:val="superscript"/>
        </w:rPr>
        <w:t>(1)</w:t>
      </w:r>
      <w:r>
        <w:rPr>
          <w:rFonts w:ascii="Times New Roman" w:cs="Times New Roman" w:eastAsia="Times New Roman" w:hAnsi="Times New Roman"/>
          <w:sz w:val="16"/>
          <w:szCs w:val="16"/>
          <w:color w:val="auto"/>
        </w:rPr>
        <w:t>Assumes 100% target level achievement of the relative performance goal. The actual number of shares that will be issued, which may be higher or lower than the target, will be determined by the level of achievement of the relative performance goal.</w:t>
      </w:r>
    </w:p>
    <w:p>
      <w:pPr>
        <w:spacing w:after="0" w:line="17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February 1, 2025, we had $2.4 million of total unrecognized compensation expense related to non-vested PSUs discussed above. That cost is expected to be recognized over a weighted average period of 1.31 years. There were no modifications to PSUs in Fiscal 2025. No shares vested in the periods ended February 1, 2025 or February 3, 2024.</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Legal Proceedings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Matters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has legacy obligations including environmental monitoring and reporting costs related to: (i) a 2016 consent judgment entered into with the United States Environmental Protection Agency involving the site of a knitting mill operated by a former subsidiary of ours from 1965 to 1969 in Garden City, New York; and (ii) a 2010 consent decree with the Michigan Department of Natural Resources and Environment relating to our former Volunteer Leather Company facility in Whitehall, Michigan. We do not expect that future obligations related to either of these sites will have a material effect on our financial condition or results of operations.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fourth quarter of Fiscal 2025 and Fiscal 2024, we received insurance proceeds totaling $1.2 million ($0.9 million, net of tax) and $9.4 million ($7.2 million, net of tax), respectively, related to legacy environmental matters discussed above. The insurance proceeds are included in gain (loss) from discontinued operations, net of tax on the Consolidated Statements of Operations in Fiscal 2025 and Fiscal 2024.</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77" w:name="page78"/>
    <w:bookmarkEnd w:id="77"/>
    <w:p>
      <w:pPr>
        <w:jc w:val="center"/>
        <w:spacing w:after="0"/>
        <w:rPr>
          <w:sz w:val="20"/>
          <w:szCs w:val="20"/>
          <w:color w:val="auto"/>
        </w:rPr>
      </w:pPr>
      <w:r>
        <w:rPr>
          <w:rFonts w:ascii="Times New Roman" w:cs="Times New Roman" w:eastAsia="Times New Roman" w:hAnsi="Times New Roman"/>
          <w:sz w:val="18"/>
          <w:szCs w:val="18"/>
          <w:b w:val="1"/>
          <w:bCs w:val="1"/>
          <w:color w:val="auto"/>
        </w:rPr>
        <w:t>Genesco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Legal Proceedings, Continued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Accrual for Environmental Contingencies</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Related to all outstanding environmental contingencies, we had accrued $2.1 million as of February 1, 2025, $2.0 million as of February 3, 2024 and $1.7 million as of January 28, 2023. All such provisions reflect our estimates of the most likely cost (undiscounted, including both current and noncurrent portions) of resolving the contingencies, based on facts and circumstances as of the time they were made. There is no assurance that relevant facts and circumstances will not change, necessitating future changes to the provisions. Such contingent liabilities are included in the liability arising from provision for discontinued operations on the accompanying Consolidated Balance Sheets because it relates to former facilities operated by us. We have made pretax accruals for certain of these contingencies, including approximately $0.4 million in Fiscal 2025, $0.5 million in Fiscal 2024 and $0.4 million in Fiscal 2023. These charges are included in gain (loss) from discontinued operations, net in the Consolidated Statements of Operations and represent changes in estimates.</w:t>
      </w:r>
    </w:p>
    <w:p>
      <w:pPr>
        <w:spacing w:after="0" w:line="16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to the matters specifically described in this Note, we are a party to other legal and regulatory proceedings and claims arising in the ordinary course of our business. While management does not believe that our liability with respect to any of these other matters is likely to have a material effect on our financial statements, legal proceedings are subject to inherent uncertainties and unfavorable rulings could have a material adverse impact on our financial statements.</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Business Segment Information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accounting policies of the segments are the same as those described in the summary of significant accounting policies.</w:t>
      </w:r>
    </w:p>
    <w:p>
      <w:pPr>
        <w:spacing w:after="0" w:line="18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reportable segments are based on management's organization of the segments in order to make operating decisions and assess performance along types of products sold. Journeys Group and Schuh Group sell primarily branded products from other companies while Johnston &amp; Murphy Group and Genesco Brands Group sell primarily our owned and licensed brands. Our chief operating decision maker ("CODM") is our President and Chief Executive Officer. The CODM assesses performance of and allocates resources to each business segment based on segment results without allocating corporate expenses. These corporate expenses include corporate overhead, bank fees, interest expense, interest income, goodwill impairment, asset impairment charges and other, including severance, insurance gains, a gain on the termination of the pension plan, major litigation and major lease terminations. Reconciling items between segment operating income (loss) and earnings (loss) from continuing operations consist of unallocated corporate expenses. The CODM uses segment operating income (loss) as a measure of profit or loss.</w:t>
      </w:r>
    </w:p>
    <w:p>
      <w:pPr>
        <w:spacing w:after="0" w:line="19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measure of segment assets is reported on our Consolidated Balance Sheets as total assets. Corporate assets include cash, domestic prepaid rent expense, prepaid income taxes, deferred income taxes, deferred note expense on revolver debt, corporate fixed assets, corporate operating lease right of use assets and miscellaneous investments.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78" w:name="page79"/>
    <w:bookmarkEnd w:id="78"/>
    <w:p>
      <w:pPr>
        <w:jc w:val="center"/>
        <w:spacing w:after="0"/>
        <w:rPr>
          <w:sz w:val="20"/>
          <w:szCs w:val="20"/>
          <w:color w:val="auto"/>
        </w:rPr>
      </w:pPr>
      <w:r>
        <w:rPr>
          <w:rFonts w:ascii="Times New Roman" w:cs="Times New Roman" w:eastAsia="Times New Roman" w:hAnsi="Times New Roman"/>
          <w:sz w:val="18"/>
          <w:szCs w:val="18"/>
          <w:b w:val="1"/>
          <w:bCs w:val="1"/>
          <w:color w:val="auto"/>
        </w:rPr>
        <w:t>Genesco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Business Segment Information, Continued</w:t>
      </w:r>
    </w:p>
    <w:p>
      <w:pPr>
        <w:spacing w:after="0" w:line="200" w:lineRule="exact"/>
        <w:rPr>
          <w:sz w:val="20"/>
          <w:szCs w:val="20"/>
          <w:color w:val="auto"/>
        </w:rPr>
      </w:pPr>
    </w:p>
    <w:p>
      <w:pPr>
        <w:spacing w:after="0" w:line="20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Fiscal 2025</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368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jc w:val="center"/>
              <w:ind w:right="119"/>
              <w:spacing w:after="0" w:line="181" w:lineRule="exact"/>
              <w:rPr>
                <w:sz w:val="20"/>
                <w:szCs w:val="20"/>
                <w:color w:val="auto"/>
              </w:rPr>
            </w:pPr>
            <w:r>
              <w:rPr>
                <w:rFonts w:ascii="Times New Roman" w:cs="Times New Roman" w:eastAsia="Times New Roman" w:hAnsi="Times New Roman"/>
                <w:sz w:val="16"/>
                <w:szCs w:val="16"/>
                <w:b w:val="1"/>
                <w:bCs w:val="1"/>
                <w:color w:val="auto"/>
                <w:w w:val="99"/>
              </w:rPr>
              <w:t>Johnston</w:t>
            </w:r>
          </w:p>
        </w:tc>
        <w:tc>
          <w:tcPr>
            <w:tcW w:w="20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r>
      <w:tr>
        <w:trPr>
          <w:trHeight w:val="203"/>
        </w:trPr>
        <w:tc>
          <w:tcPr>
            <w:tcW w:w="36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2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Journeys</w:t>
            </w:r>
          </w:p>
        </w:tc>
        <w:tc>
          <w:tcPr>
            <w:tcW w:w="260" w:type="dxa"/>
            <w:vAlign w:val="bottom"/>
          </w:tcPr>
          <w:p>
            <w:pPr>
              <w:spacing w:after="0"/>
              <w:rPr>
                <w:sz w:val="17"/>
                <w:szCs w:val="17"/>
                <w:color w:val="auto"/>
              </w:rPr>
            </w:pPr>
          </w:p>
        </w:tc>
        <w:tc>
          <w:tcPr>
            <w:tcW w:w="94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Schuh</w:t>
            </w:r>
          </w:p>
        </w:tc>
        <w:tc>
          <w:tcPr>
            <w:tcW w:w="200" w:type="dxa"/>
            <w:vAlign w:val="bottom"/>
          </w:tcPr>
          <w:p>
            <w:pPr>
              <w:spacing w:after="0"/>
              <w:rPr>
                <w:sz w:val="17"/>
                <w:szCs w:val="17"/>
                <w:color w:val="auto"/>
              </w:rPr>
            </w:pPr>
          </w:p>
        </w:tc>
        <w:tc>
          <w:tcPr>
            <w:tcW w:w="1060" w:type="dxa"/>
            <w:vAlign w:val="bottom"/>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w w:val="99"/>
              </w:rPr>
              <w:t>&amp; Murphy</w:t>
            </w:r>
          </w:p>
        </w:tc>
        <w:tc>
          <w:tcPr>
            <w:tcW w:w="200" w:type="dxa"/>
            <w:vAlign w:val="bottom"/>
          </w:tcPr>
          <w:p>
            <w:pPr>
              <w:spacing w:after="0"/>
              <w:rPr>
                <w:sz w:val="17"/>
                <w:szCs w:val="17"/>
                <w:color w:val="auto"/>
              </w:rPr>
            </w:pPr>
          </w:p>
        </w:tc>
        <w:tc>
          <w:tcPr>
            <w:tcW w:w="96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Genesco</w:t>
            </w:r>
          </w:p>
        </w:tc>
        <w:tc>
          <w:tcPr>
            <w:tcW w:w="200" w:type="dxa"/>
            <w:vAlign w:val="bottom"/>
          </w:tcPr>
          <w:p>
            <w:pPr>
              <w:spacing w:after="0"/>
              <w:rPr>
                <w:sz w:val="17"/>
                <w:szCs w:val="17"/>
                <w:color w:val="auto"/>
              </w:rPr>
            </w:pPr>
          </w:p>
        </w:tc>
        <w:tc>
          <w:tcPr>
            <w:tcW w:w="106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Corporate</w:t>
            </w: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15"/>
        </w:trPr>
        <w:tc>
          <w:tcPr>
            <w:tcW w:w="3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4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Group</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Group</w:t>
            </w: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Group</w:t>
            </w:r>
          </w:p>
        </w:tc>
        <w:tc>
          <w:tcPr>
            <w:tcW w:w="116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Brands Group</w:t>
            </w: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&amp; Other</w:t>
            </w: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Consolidated</w:t>
            </w:r>
          </w:p>
        </w:tc>
      </w:tr>
      <w:tr>
        <w:trPr>
          <w:trHeight w:val="199"/>
        </w:trPr>
        <w:tc>
          <w:tcPr>
            <w:tcW w:w="3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Sales</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1,398,922</w:t>
            </w:r>
          </w:p>
        </w:tc>
        <w:tc>
          <w:tcPr>
            <w:tcW w:w="26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479,891</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320,208</w:t>
            </w:r>
          </w:p>
        </w:tc>
        <w:tc>
          <w:tcPr>
            <w:tcW w:w="2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b w:val="1"/>
                <w:bCs w:val="1"/>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124,131</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06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1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2,323,152</w:t>
            </w:r>
          </w:p>
        </w:tc>
      </w:tr>
      <w:tr>
        <w:trPr>
          <w:trHeight w:val="173"/>
        </w:trPr>
        <w:tc>
          <w:tcPr>
            <w:tcW w:w="3680" w:type="dxa"/>
            <w:vAlign w:val="bottom"/>
          </w:tcPr>
          <w:p>
            <w:pPr>
              <w:ind w:left="20"/>
              <w:spacing w:after="0" w:line="173" w:lineRule="exact"/>
              <w:rPr>
                <w:sz w:val="20"/>
                <w:szCs w:val="20"/>
                <w:color w:val="auto"/>
              </w:rPr>
            </w:pPr>
            <w:r>
              <w:rPr>
                <w:rFonts w:ascii="Times New Roman" w:cs="Times New Roman" w:eastAsia="Times New Roman" w:hAnsi="Times New Roman"/>
                <w:sz w:val="15"/>
                <w:szCs w:val="15"/>
                <w:color w:val="auto"/>
              </w:rPr>
              <w:t>Intercompany sales</w:t>
            </w:r>
            <w:r>
              <w:rPr>
                <w:rFonts w:ascii="Times New Roman" w:cs="Times New Roman" w:eastAsia="Times New Roman" w:hAnsi="Times New Roman"/>
                <w:sz w:val="20"/>
                <w:szCs w:val="20"/>
                <w:color w:val="auto"/>
                <w:vertAlign w:val="superscript"/>
              </w:rPr>
              <w:t>(1)</w:t>
            </w:r>
          </w:p>
        </w:tc>
        <w:tc>
          <w:tcPr>
            <w:tcW w:w="400" w:type="dxa"/>
            <w:vAlign w:val="bottom"/>
          </w:tcPr>
          <w:p>
            <w:pPr>
              <w:spacing w:after="0"/>
              <w:rPr>
                <w:sz w:val="15"/>
                <w:szCs w:val="15"/>
                <w:color w:val="auto"/>
              </w:rPr>
            </w:pPr>
          </w:p>
        </w:tc>
        <w:tc>
          <w:tcPr>
            <w:tcW w:w="1020" w:type="dxa"/>
            <w:vAlign w:val="bottom"/>
          </w:tcPr>
          <w:p>
            <w:pPr>
              <w:jc w:val="right"/>
              <w:spacing w:after="0" w:line="173" w:lineRule="exact"/>
              <w:rPr>
                <w:sz w:val="20"/>
                <w:szCs w:val="20"/>
                <w:color w:val="auto"/>
              </w:rPr>
            </w:pPr>
            <w:r>
              <w:rPr>
                <w:rFonts w:ascii="Times New Roman" w:cs="Times New Roman" w:eastAsia="Times New Roman" w:hAnsi="Times New Roman"/>
                <w:sz w:val="16"/>
                <w:szCs w:val="16"/>
                <w:b w:val="1"/>
                <w:bCs w:val="1"/>
                <w:color w:val="auto"/>
              </w:rPr>
              <w:t>—</w:t>
            </w:r>
          </w:p>
        </w:tc>
        <w:tc>
          <w:tcPr>
            <w:tcW w:w="260" w:type="dxa"/>
            <w:vAlign w:val="bottom"/>
          </w:tcPr>
          <w:p>
            <w:pPr>
              <w:spacing w:after="0"/>
              <w:rPr>
                <w:sz w:val="15"/>
                <w:szCs w:val="15"/>
                <w:color w:val="auto"/>
              </w:rPr>
            </w:pPr>
          </w:p>
        </w:tc>
        <w:tc>
          <w:tcPr>
            <w:tcW w:w="940" w:type="dxa"/>
            <w:vAlign w:val="bottom"/>
          </w:tcPr>
          <w:p>
            <w:pPr>
              <w:jc w:val="right"/>
              <w:spacing w:after="0" w:line="173" w:lineRule="exact"/>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Pr>
          <w:p>
            <w:pPr>
              <w:spacing w:after="0"/>
              <w:rPr>
                <w:sz w:val="15"/>
                <w:szCs w:val="15"/>
                <w:color w:val="auto"/>
              </w:rPr>
            </w:pPr>
          </w:p>
        </w:tc>
        <w:tc>
          <w:tcPr>
            <w:tcW w:w="1060" w:type="dxa"/>
            <w:vAlign w:val="bottom"/>
          </w:tcPr>
          <w:p>
            <w:pPr>
              <w:jc w:val="right"/>
              <w:spacing w:after="0" w:line="173" w:lineRule="exact"/>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Pr>
          <w:p>
            <w:pPr>
              <w:spacing w:after="0"/>
              <w:rPr>
                <w:sz w:val="15"/>
                <w:szCs w:val="15"/>
                <w:color w:val="auto"/>
              </w:rPr>
            </w:pPr>
          </w:p>
        </w:tc>
        <w:tc>
          <w:tcPr>
            <w:tcW w:w="960" w:type="dxa"/>
            <w:vAlign w:val="bottom"/>
          </w:tcPr>
          <w:p>
            <w:pPr>
              <w:jc w:val="right"/>
              <w:spacing w:after="0" w:line="173" w:lineRule="exact"/>
              <w:rPr>
                <w:sz w:val="20"/>
                <w:szCs w:val="20"/>
                <w:color w:val="auto"/>
              </w:rPr>
            </w:pPr>
            <w:r>
              <w:rPr>
                <w:rFonts w:ascii="Times New Roman" w:cs="Times New Roman" w:eastAsia="Times New Roman" w:hAnsi="Times New Roman"/>
                <w:sz w:val="16"/>
                <w:szCs w:val="16"/>
                <w:b w:val="1"/>
                <w:bCs w:val="1"/>
                <w:color w:val="auto"/>
              </w:rPr>
              <w:t>1,910</w:t>
            </w:r>
          </w:p>
        </w:tc>
        <w:tc>
          <w:tcPr>
            <w:tcW w:w="200" w:type="dxa"/>
            <w:vAlign w:val="bottom"/>
          </w:tcPr>
          <w:p>
            <w:pPr>
              <w:spacing w:after="0"/>
              <w:rPr>
                <w:sz w:val="15"/>
                <w:szCs w:val="15"/>
                <w:color w:val="auto"/>
              </w:rPr>
            </w:pPr>
          </w:p>
        </w:tc>
        <w:tc>
          <w:tcPr>
            <w:tcW w:w="1060" w:type="dxa"/>
            <w:vAlign w:val="bottom"/>
          </w:tcPr>
          <w:p>
            <w:pPr>
              <w:jc w:val="right"/>
              <w:ind w:right="19"/>
              <w:spacing w:after="0" w:line="173" w:lineRule="exact"/>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15"/>
                <w:szCs w:val="15"/>
                <w:color w:val="auto"/>
              </w:rPr>
            </w:pPr>
          </w:p>
        </w:tc>
        <w:tc>
          <w:tcPr>
            <w:tcW w:w="1140" w:type="dxa"/>
            <w:vAlign w:val="bottom"/>
          </w:tcPr>
          <w:p>
            <w:pPr>
              <w:jc w:val="right"/>
              <w:ind w:right="39"/>
              <w:spacing w:after="0" w:line="173" w:lineRule="exact"/>
              <w:rPr>
                <w:sz w:val="20"/>
                <w:szCs w:val="20"/>
                <w:color w:val="auto"/>
              </w:rPr>
            </w:pPr>
            <w:r>
              <w:rPr>
                <w:rFonts w:ascii="Times New Roman" w:cs="Times New Roman" w:eastAsia="Times New Roman" w:hAnsi="Times New Roman"/>
                <w:sz w:val="16"/>
                <w:szCs w:val="16"/>
                <w:b w:val="1"/>
                <w:bCs w:val="1"/>
                <w:color w:val="auto"/>
              </w:rPr>
              <w:t>1,910</w:t>
            </w:r>
          </w:p>
        </w:tc>
      </w:tr>
      <w:tr>
        <w:trPr>
          <w:trHeight w:val="246"/>
        </w:trPr>
        <w:tc>
          <w:tcPr>
            <w:tcW w:w="36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sales to external customers</w:t>
            </w:r>
            <w:r>
              <w:rPr>
                <w:rFonts w:ascii="Times New Roman" w:cs="Times New Roman" w:eastAsia="Times New Roman" w:hAnsi="Times New Roman"/>
                <w:sz w:val="21"/>
                <w:szCs w:val="21"/>
                <w:b w:val="1"/>
                <w:bCs w:val="1"/>
                <w:color w:val="auto"/>
                <w:vertAlign w:val="superscript"/>
              </w:rPr>
              <w:t>(2)</w:t>
            </w:r>
          </w:p>
        </w:tc>
        <w:tc>
          <w:tcPr>
            <w:tcW w:w="4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1,398,922</w:t>
            </w: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479,891</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320,208</w:t>
            </w: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126,041</w:t>
            </w:r>
          </w:p>
        </w:tc>
        <w:tc>
          <w:tcPr>
            <w:tcW w:w="200" w:type="dxa"/>
            <w:vAlign w:val="bottom"/>
          </w:tcPr>
          <w:p>
            <w:pPr>
              <w:spacing w:after="0"/>
              <w:rPr>
                <w:sz w:val="21"/>
                <w:szCs w:val="21"/>
                <w:color w:val="auto"/>
              </w:rPr>
            </w:pP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21"/>
                <w:szCs w:val="21"/>
                <w:color w:val="auto"/>
              </w:rPr>
            </w:pP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2,325,062</w:t>
            </w:r>
          </w:p>
        </w:tc>
      </w:tr>
      <w:tr>
        <w:trPr>
          <w:trHeight w:val="203"/>
        </w:trPr>
        <w:tc>
          <w:tcPr>
            <w:tcW w:w="3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Cost of sales</w:t>
            </w:r>
          </w:p>
        </w:tc>
        <w:tc>
          <w:tcPr>
            <w:tcW w:w="4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715,723</w:t>
            </w: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280,395</w:t>
            </w:r>
          </w:p>
        </w:tc>
        <w:tc>
          <w:tcPr>
            <w:tcW w:w="2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148,461</w:t>
            </w: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83,670</w:t>
            </w:r>
          </w:p>
        </w:tc>
        <w:tc>
          <w:tcPr>
            <w:tcW w:w="2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1,228,249</w:t>
            </w:r>
          </w:p>
        </w:tc>
      </w:tr>
      <w:tr>
        <w:trPr>
          <w:trHeight w:val="196"/>
        </w:trPr>
        <w:tc>
          <w:tcPr>
            <w:tcW w:w="3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Gross margin</w:t>
            </w:r>
          </w:p>
        </w:tc>
        <w:tc>
          <w:tcPr>
            <w:tcW w:w="40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683,199</w:t>
            </w:r>
          </w:p>
        </w:tc>
        <w:tc>
          <w:tcPr>
            <w:tcW w:w="26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199,496</w:t>
            </w:r>
          </w:p>
        </w:tc>
        <w:tc>
          <w:tcPr>
            <w:tcW w:w="20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171,747</w:t>
            </w:r>
          </w:p>
        </w:tc>
        <w:tc>
          <w:tcPr>
            <w:tcW w:w="20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42,371</w:t>
            </w:r>
          </w:p>
        </w:tc>
        <w:tc>
          <w:tcPr>
            <w:tcW w:w="20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1,096,813</w:t>
            </w:r>
          </w:p>
        </w:tc>
      </w:tr>
      <w:tr>
        <w:trPr>
          <w:trHeight w:val="203"/>
        </w:trPr>
        <w:tc>
          <w:tcPr>
            <w:tcW w:w="3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Selling and administrative expenses</w:t>
            </w:r>
          </w:p>
        </w:tc>
        <w:tc>
          <w:tcPr>
            <w:tcW w:w="4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656,854</w:t>
            </w: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189,297</w:t>
            </w:r>
          </w:p>
        </w:tc>
        <w:tc>
          <w:tcPr>
            <w:tcW w:w="2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163,331</w:t>
            </w: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35,565</w:t>
            </w:r>
          </w:p>
        </w:tc>
        <w:tc>
          <w:tcPr>
            <w:tcW w:w="2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34,606</w:t>
            </w:r>
          </w:p>
        </w:tc>
        <w:tc>
          <w:tcPr>
            <w:tcW w:w="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1,079,653</w:t>
            </w:r>
          </w:p>
        </w:tc>
      </w:tr>
      <w:tr>
        <w:trPr>
          <w:trHeight w:val="196"/>
        </w:trPr>
        <w:tc>
          <w:tcPr>
            <w:tcW w:w="3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Segment operating income (loss)</w:t>
            </w:r>
          </w:p>
        </w:tc>
        <w:tc>
          <w:tcPr>
            <w:tcW w:w="40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26,345</w:t>
            </w:r>
          </w:p>
        </w:tc>
        <w:tc>
          <w:tcPr>
            <w:tcW w:w="26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10,199</w:t>
            </w:r>
          </w:p>
        </w:tc>
        <w:tc>
          <w:tcPr>
            <w:tcW w:w="20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8,416</w:t>
            </w:r>
          </w:p>
        </w:tc>
        <w:tc>
          <w:tcPr>
            <w:tcW w:w="20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6,806</w:t>
            </w:r>
          </w:p>
        </w:tc>
        <w:tc>
          <w:tcPr>
            <w:tcW w:w="20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(34,606 )</w:t>
            </w:r>
          </w:p>
        </w:tc>
        <w:tc>
          <w:tcPr>
            <w:tcW w:w="12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17,160</w:t>
            </w:r>
          </w:p>
        </w:tc>
      </w:tr>
      <w:tr>
        <w:trPr>
          <w:trHeight w:val="203"/>
        </w:trPr>
        <w:tc>
          <w:tcPr>
            <w:tcW w:w="3680" w:type="dxa"/>
            <w:vAlign w:val="bottom"/>
            <w:tcBorders>
              <w:bottom w:val="single" w:sz="8" w:color="auto"/>
            </w:tcBorders>
          </w:tcPr>
          <w:p>
            <w:pPr>
              <w:ind w:left="20"/>
              <w:spacing w:after="0" w:line="203" w:lineRule="exact"/>
              <w:rPr>
                <w:sz w:val="20"/>
                <w:szCs w:val="20"/>
                <w:color w:val="auto"/>
              </w:rPr>
            </w:pPr>
            <w:r>
              <w:rPr>
                <w:rFonts w:ascii="Times New Roman" w:cs="Times New Roman" w:eastAsia="Times New Roman" w:hAnsi="Times New Roman"/>
                <w:sz w:val="16"/>
                <w:szCs w:val="16"/>
                <w:color w:val="auto"/>
              </w:rPr>
              <w:t>Asset impairments and other</w:t>
            </w:r>
            <w:r>
              <w:rPr>
                <w:rFonts w:ascii="Times New Roman" w:cs="Times New Roman" w:eastAsia="Times New Roman" w:hAnsi="Times New Roman"/>
                <w:sz w:val="21"/>
                <w:szCs w:val="21"/>
                <w:color w:val="auto"/>
                <w:vertAlign w:val="superscript"/>
              </w:rPr>
              <w:t>(3)</w:t>
            </w:r>
          </w:p>
        </w:tc>
        <w:tc>
          <w:tcPr>
            <w:tcW w:w="4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3,235</w:t>
            </w:r>
          </w:p>
        </w:tc>
        <w:tc>
          <w:tcPr>
            <w:tcW w:w="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3,235</w:t>
            </w:r>
          </w:p>
        </w:tc>
      </w:tr>
      <w:tr>
        <w:trPr>
          <w:trHeight w:val="196"/>
        </w:trPr>
        <w:tc>
          <w:tcPr>
            <w:tcW w:w="3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income (loss)</w:t>
            </w:r>
          </w:p>
        </w:tc>
        <w:tc>
          <w:tcPr>
            <w:tcW w:w="40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26,345</w:t>
            </w:r>
          </w:p>
        </w:tc>
        <w:tc>
          <w:tcPr>
            <w:tcW w:w="26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10,199</w:t>
            </w:r>
          </w:p>
        </w:tc>
        <w:tc>
          <w:tcPr>
            <w:tcW w:w="20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8,416</w:t>
            </w:r>
          </w:p>
        </w:tc>
        <w:tc>
          <w:tcPr>
            <w:tcW w:w="20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6,806</w:t>
            </w:r>
          </w:p>
        </w:tc>
        <w:tc>
          <w:tcPr>
            <w:tcW w:w="20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(37,841 )</w:t>
            </w:r>
          </w:p>
        </w:tc>
        <w:tc>
          <w:tcPr>
            <w:tcW w:w="12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13,925</w:t>
            </w:r>
          </w:p>
        </w:tc>
      </w:tr>
      <w:tr>
        <w:trPr>
          <w:trHeight w:val="203"/>
        </w:trPr>
        <w:tc>
          <w:tcPr>
            <w:tcW w:w="3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components of net periodic benefit cost</w:t>
            </w:r>
          </w:p>
        </w:tc>
        <w:tc>
          <w:tcPr>
            <w:tcW w:w="4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Pr>
          <w:p>
            <w:pPr>
              <w:spacing w:after="0"/>
              <w:rPr>
                <w:sz w:val="17"/>
                <w:szCs w:val="17"/>
                <w:color w:val="auto"/>
              </w:rPr>
            </w:pP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367</w:t>
            </w:r>
          </w:p>
        </w:tc>
        <w:tc>
          <w:tcPr>
            <w:tcW w:w="120" w:type="dxa"/>
            <w:vAlign w:val="bottom"/>
          </w:tcPr>
          <w:p>
            <w:pPr>
              <w:spacing w:after="0"/>
              <w:rPr>
                <w:sz w:val="17"/>
                <w:szCs w:val="17"/>
                <w:color w:val="auto"/>
              </w:rPr>
            </w:pP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367</w:t>
            </w:r>
          </w:p>
        </w:tc>
      </w:tr>
      <w:tr>
        <w:trPr>
          <w:trHeight w:val="203"/>
        </w:trPr>
        <w:tc>
          <w:tcPr>
            <w:tcW w:w="368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Interest expense, net</w:t>
            </w:r>
          </w:p>
        </w:tc>
        <w:tc>
          <w:tcPr>
            <w:tcW w:w="40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6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4,250</w:t>
            </w:r>
          </w:p>
        </w:tc>
        <w:tc>
          <w:tcPr>
            <w:tcW w:w="12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4,250</w:t>
            </w:r>
          </w:p>
        </w:tc>
      </w:tr>
      <w:tr>
        <w:trPr>
          <w:trHeight w:val="180"/>
        </w:trPr>
        <w:tc>
          <w:tcPr>
            <w:tcW w:w="3680" w:type="dxa"/>
            <w:vAlign w:val="bottom"/>
          </w:tcPr>
          <w:p>
            <w:pPr>
              <w:ind w:left="20"/>
              <w:spacing w:after="0" w:line="181" w:lineRule="exact"/>
              <w:rPr>
                <w:sz w:val="20"/>
                <w:szCs w:val="20"/>
                <w:color w:val="auto"/>
              </w:rPr>
            </w:pPr>
            <w:r>
              <w:rPr>
                <w:rFonts w:ascii="Times New Roman" w:cs="Times New Roman" w:eastAsia="Times New Roman" w:hAnsi="Times New Roman"/>
                <w:sz w:val="16"/>
                <w:szCs w:val="16"/>
                <w:b w:val="1"/>
                <w:bCs w:val="1"/>
                <w:color w:val="auto"/>
              </w:rPr>
              <w:t>Earnings (loss) from continuing operations before</w:t>
            </w:r>
          </w:p>
        </w:tc>
        <w:tc>
          <w:tcPr>
            <w:tcW w:w="4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215"/>
        </w:trPr>
        <w:tc>
          <w:tcPr>
            <w:tcW w:w="3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income taxes</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26,345</w:t>
            </w:r>
          </w:p>
        </w:tc>
        <w:tc>
          <w:tcPr>
            <w:tcW w:w="2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10,199</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8,416</w:t>
            </w:r>
          </w:p>
        </w:tc>
        <w:tc>
          <w:tcPr>
            <w:tcW w:w="2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b w:val="1"/>
                <w:bCs w:val="1"/>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6,806</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1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(42,458 ) $</w:t>
            </w:r>
          </w:p>
        </w:tc>
        <w:tc>
          <w:tcPr>
            <w:tcW w:w="11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9,308</w:t>
            </w:r>
          </w:p>
        </w:tc>
      </w:tr>
      <w:tr>
        <w:trPr>
          <w:trHeight w:val="20"/>
        </w:trPr>
        <w:tc>
          <w:tcPr>
            <w:tcW w:w="36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86"/>
        </w:trPr>
        <w:tc>
          <w:tcPr>
            <w:tcW w:w="3680" w:type="dxa"/>
            <w:vAlign w:val="bottom"/>
            <w:shd w:val="clear" w:color="auto" w:fill="CFF0FC"/>
          </w:tcPr>
          <w:p>
            <w:pPr>
              <w:ind w:left="20"/>
              <w:spacing w:after="0" w:line="186" w:lineRule="exact"/>
              <w:rPr>
                <w:sz w:val="20"/>
                <w:szCs w:val="20"/>
                <w:color w:val="auto"/>
              </w:rPr>
            </w:pPr>
            <w:r>
              <w:rPr>
                <w:rFonts w:ascii="Times New Roman" w:cs="Times New Roman" w:eastAsia="Times New Roman" w:hAnsi="Times New Roman"/>
                <w:sz w:val="16"/>
                <w:szCs w:val="16"/>
                <w:color w:val="auto"/>
              </w:rPr>
              <w:t>Total assets at fiscal year end</w:t>
            </w:r>
            <w:r>
              <w:rPr>
                <w:rFonts w:ascii="Times New Roman" w:cs="Times New Roman" w:eastAsia="Times New Roman" w:hAnsi="Times New Roman"/>
                <w:sz w:val="21"/>
                <w:szCs w:val="21"/>
                <w:color w:val="auto"/>
                <w:vertAlign w:val="superscript"/>
              </w:rPr>
              <w:t>(4)</w:t>
            </w: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673,560</w:t>
            </w:r>
          </w:p>
        </w:tc>
        <w:tc>
          <w:tcPr>
            <w:tcW w:w="26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189,103</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183,118</w:t>
            </w:r>
          </w:p>
        </w:tc>
        <w:tc>
          <w:tcPr>
            <w:tcW w:w="2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6"/>
                <w:szCs w:val="16"/>
                <w:b w:val="1"/>
                <w:bCs w:val="1"/>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77,154</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06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212,601</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1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1,335,536</w:t>
            </w:r>
          </w:p>
        </w:tc>
      </w:tr>
      <w:tr>
        <w:trPr>
          <w:trHeight w:val="203"/>
        </w:trPr>
        <w:tc>
          <w:tcPr>
            <w:tcW w:w="3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4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33,785</w:t>
            </w: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7,545</w:t>
            </w:r>
          </w:p>
        </w:tc>
        <w:tc>
          <w:tcPr>
            <w:tcW w:w="2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5,678</w:t>
            </w: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1,313</w:t>
            </w:r>
          </w:p>
        </w:tc>
        <w:tc>
          <w:tcPr>
            <w:tcW w:w="200" w:type="dxa"/>
            <w:vAlign w:val="bottom"/>
          </w:tcPr>
          <w:p>
            <w:pPr>
              <w:spacing w:after="0"/>
              <w:rPr>
                <w:sz w:val="17"/>
                <w:szCs w:val="17"/>
                <w:color w:val="auto"/>
              </w:rPr>
            </w:pP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4,143</w:t>
            </w:r>
          </w:p>
        </w:tc>
        <w:tc>
          <w:tcPr>
            <w:tcW w:w="120" w:type="dxa"/>
            <w:vAlign w:val="bottom"/>
          </w:tcPr>
          <w:p>
            <w:pPr>
              <w:spacing w:after="0"/>
              <w:rPr>
                <w:sz w:val="17"/>
                <w:szCs w:val="17"/>
                <w:color w:val="auto"/>
              </w:rPr>
            </w:pP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52,464</w:t>
            </w:r>
          </w:p>
        </w:tc>
      </w:tr>
      <w:tr>
        <w:trPr>
          <w:trHeight w:val="243"/>
        </w:trPr>
        <w:tc>
          <w:tcPr>
            <w:tcW w:w="368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Capital expenditures</w:t>
            </w:r>
          </w:p>
        </w:tc>
        <w:tc>
          <w:tcPr>
            <w:tcW w:w="40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20,478</w:t>
            </w:r>
          </w:p>
        </w:tc>
        <w:tc>
          <w:tcPr>
            <w:tcW w:w="26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9,223</w:t>
            </w:r>
          </w:p>
        </w:tc>
        <w:tc>
          <w:tcPr>
            <w:tcW w:w="20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9,555</w:t>
            </w:r>
          </w:p>
        </w:tc>
        <w:tc>
          <w:tcPr>
            <w:tcW w:w="20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785</w:t>
            </w:r>
          </w:p>
        </w:tc>
        <w:tc>
          <w:tcPr>
            <w:tcW w:w="20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1,091</w:t>
            </w:r>
          </w:p>
        </w:tc>
        <w:tc>
          <w:tcPr>
            <w:tcW w:w="12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41,132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-1893570</wp:posOffset>
            </wp:positionV>
            <wp:extent cx="7132320" cy="13716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8" w:lineRule="exact"/>
        <w:rPr>
          <w:sz w:val="20"/>
          <w:szCs w:val="20"/>
          <w:color w:val="auto"/>
        </w:rPr>
      </w:pPr>
    </w:p>
    <w:p>
      <w:pPr>
        <w:ind w:left="320" w:hanging="312"/>
        <w:spacing w:after="0"/>
        <w:tabs>
          <w:tab w:leader="none" w:pos="320" w:val="left"/>
        </w:tabs>
        <w:numPr>
          <w:ilvl w:val="0"/>
          <w:numId w:val="1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Intercompany sales for Fiscal 2025 reflect net intercompany returns.</w:t>
      </w:r>
    </w:p>
    <w:p>
      <w:pPr>
        <w:spacing w:after="0" w:line="25" w:lineRule="exact"/>
        <w:rPr>
          <w:rFonts w:ascii="Times New Roman" w:cs="Times New Roman" w:eastAsia="Times New Roman" w:hAnsi="Times New Roman"/>
          <w:sz w:val="23"/>
          <w:szCs w:val="23"/>
          <w:color w:val="auto"/>
          <w:vertAlign w:val="superscript"/>
        </w:rPr>
      </w:pPr>
    </w:p>
    <w:p>
      <w:pPr>
        <w:ind w:left="380" w:hanging="372"/>
        <w:spacing w:after="0" w:line="212" w:lineRule="auto"/>
        <w:tabs>
          <w:tab w:leader="none" w:pos="295" w:val="left"/>
        </w:tabs>
        <w:numPr>
          <w:ilvl w:val="0"/>
          <w:numId w:val="1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Net sales in North America and in the United Kingdom, which includes the Republic of Ireland, accounted for 79% and 21%, respectively, of our net sales for Fiscal 2025.</w:t>
      </w:r>
    </w:p>
    <w:p>
      <w:pPr>
        <w:spacing w:after="0" w:line="7" w:lineRule="exact"/>
        <w:rPr>
          <w:rFonts w:ascii="Times New Roman" w:cs="Times New Roman" w:eastAsia="Times New Roman" w:hAnsi="Times New Roman"/>
          <w:sz w:val="23"/>
          <w:szCs w:val="23"/>
          <w:color w:val="auto"/>
          <w:vertAlign w:val="superscript"/>
        </w:rPr>
      </w:pPr>
    </w:p>
    <w:p>
      <w:pPr>
        <w:ind w:left="380" w:right="20" w:hanging="372"/>
        <w:spacing w:after="0" w:line="221" w:lineRule="auto"/>
        <w:tabs>
          <w:tab w:leader="none" w:pos="252" w:val="left"/>
        </w:tabs>
        <w:numPr>
          <w:ilvl w:val="0"/>
          <w:numId w:val="1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Asset impairments and other includes $1.8 million for severance and a $1.4 million charge for asset impairments, of which $0.8 million is in Journeys Group and $0.6 million is in Schuh Group.</w:t>
      </w:r>
    </w:p>
    <w:p>
      <w:pPr>
        <w:spacing w:after="0" w:line="1" w:lineRule="exact"/>
        <w:rPr>
          <w:rFonts w:ascii="Times New Roman" w:cs="Times New Roman" w:eastAsia="Times New Roman" w:hAnsi="Times New Roman"/>
          <w:sz w:val="23"/>
          <w:szCs w:val="23"/>
          <w:color w:val="auto"/>
          <w:vertAlign w:val="superscript"/>
        </w:rPr>
      </w:pPr>
    </w:p>
    <w:p>
      <w:pPr>
        <w:ind w:left="220" w:hanging="212"/>
        <w:spacing w:after="0" w:line="208" w:lineRule="auto"/>
        <w:tabs>
          <w:tab w:leader="none" w:pos="220" w:val="left"/>
        </w:tabs>
        <w:numPr>
          <w:ilvl w:val="0"/>
          <w:numId w:val="1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Of our $666.3 million of long-lived assets, $90.3 million and $9.3 million relate to long-lived assets in the U.K. and Canada, respectively.</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79" w:name="page80"/>
    <w:bookmarkEnd w:id="79"/>
    <w:p>
      <w:pPr>
        <w:jc w:val="center"/>
        <w:spacing w:after="0"/>
        <w:rPr>
          <w:sz w:val="20"/>
          <w:szCs w:val="20"/>
          <w:color w:val="auto"/>
        </w:rPr>
      </w:pPr>
      <w:r>
        <w:rPr>
          <w:rFonts w:ascii="Times New Roman" w:cs="Times New Roman" w:eastAsia="Times New Roman" w:hAnsi="Times New Roman"/>
          <w:sz w:val="18"/>
          <w:szCs w:val="18"/>
          <w:b w:val="1"/>
          <w:bCs w:val="1"/>
          <w:color w:val="auto"/>
        </w:rPr>
        <w:t>Genesco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Business Segment Information, Continued</w:t>
      </w:r>
    </w:p>
    <w:p>
      <w:pPr>
        <w:spacing w:after="0" w:line="200" w:lineRule="exact"/>
        <w:rPr>
          <w:sz w:val="20"/>
          <w:szCs w:val="20"/>
          <w:color w:val="auto"/>
        </w:rPr>
      </w:pPr>
    </w:p>
    <w:p>
      <w:pPr>
        <w:spacing w:after="0" w:line="20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Fiscal 2024</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3680" w:type="dxa"/>
            <w:vAlign w:val="bottom"/>
            <w:tcBorders>
              <w:top w:val="single" w:sz="8" w:color="auto"/>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jc w:val="center"/>
              <w:ind w:right="139"/>
              <w:spacing w:after="0" w:line="181" w:lineRule="exact"/>
              <w:rPr>
                <w:sz w:val="20"/>
                <w:szCs w:val="20"/>
                <w:color w:val="auto"/>
              </w:rPr>
            </w:pPr>
            <w:r>
              <w:rPr>
                <w:rFonts w:ascii="Times New Roman" w:cs="Times New Roman" w:eastAsia="Times New Roman" w:hAnsi="Times New Roman"/>
                <w:sz w:val="16"/>
                <w:szCs w:val="16"/>
                <w:b w:val="1"/>
                <w:bCs w:val="1"/>
                <w:color w:val="auto"/>
              </w:rPr>
              <w:t>Johnston</w:t>
            </w:r>
          </w:p>
        </w:tc>
        <w:tc>
          <w:tcPr>
            <w:tcW w:w="18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spacing w:after="0"/>
              <w:rPr>
                <w:sz w:val="15"/>
                <w:szCs w:val="15"/>
                <w:color w:val="auto"/>
              </w:rPr>
            </w:pPr>
          </w:p>
        </w:tc>
      </w:tr>
      <w:tr>
        <w:trPr>
          <w:trHeight w:val="203"/>
        </w:trPr>
        <w:tc>
          <w:tcPr>
            <w:tcW w:w="36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6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Journeys</w:t>
            </w:r>
          </w:p>
        </w:tc>
        <w:tc>
          <w:tcPr>
            <w:tcW w:w="260" w:type="dxa"/>
            <w:vAlign w:val="bottom"/>
          </w:tcPr>
          <w:p>
            <w:pPr>
              <w:spacing w:after="0"/>
              <w:rPr>
                <w:sz w:val="17"/>
                <w:szCs w:val="17"/>
                <w:color w:val="auto"/>
              </w:rPr>
            </w:pPr>
          </w:p>
        </w:tc>
        <w:tc>
          <w:tcPr>
            <w:tcW w:w="90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Schuh</w:t>
            </w:r>
          </w:p>
        </w:tc>
        <w:tc>
          <w:tcPr>
            <w:tcW w:w="180" w:type="dxa"/>
            <w:vAlign w:val="bottom"/>
          </w:tcPr>
          <w:p>
            <w:pPr>
              <w:spacing w:after="0"/>
              <w:rPr>
                <w:sz w:val="17"/>
                <w:szCs w:val="17"/>
                <w:color w:val="auto"/>
              </w:rPr>
            </w:pPr>
          </w:p>
        </w:tc>
        <w:tc>
          <w:tcPr>
            <w:tcW w:w="1060" w:type="dxa"/>
            <w:vAlign w:val="bottom"/>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&amp; Murphy</w:t>
            </w:r>
          </w:p>
        </w:tc>
        <w:tc>
          <w:tcPr>
            <w:tcW w:w="180" w:type="dxa"/>
            <w:vAlign w:val="bottom"/>
          </w:tcPr>
          <w:p>
            <w:pPr>
              <w:spacing w:after="0"/>
              <w:rPr>
                <w:sz w:val="17"/>
                <w:szCs w:val="17"/>
                <w:color w:val="auto"/>
              </w:rPr>
            </w:pPr>
          </w:p>
        </w:tc>
        <w:tc>
          <w:tcPr>
            <w:tcW w:w="98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Genesco</w:t>
            </w:r>
          </w:p>
        </w:tc>
        <w:tc>
          <w:tcPr>
            <w:tcW w:w="160" w:type="dxa"/>
            <w:vAlign w:val="bottom"/>
          </w:tcPr>
          <w:p>
            <w:pPr>
              <w:spacing w:after="0"/>
              <w:rPr>
                <w:sz w:val="17"/>
                <w:szCs w:val="17"/>
                <w:color w:val="auto"/>
              </w:rPr>
            </w:pPr>
          </w:p>
        </w:tc>
        <w:tc>
          <w:tcPr>
            <w:tcW w:w="108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Corporate</w:t>
            </w: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15"/>
        </w:trPr>
        <w:tc>
          <w:tcPr>
            <w:tcW w:w="3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3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Group</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Group</w:t>
            </w: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w w:val="96"/>
              </w:rPr>
              <w:t>Group</w:t>
            </w:r>
          </w:p>
        </w:tc>
        <w:tc>
          <w:tcPr>
            <w:tcW w:w="116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Brands Group</w:t>
            </w: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&amp; Other</w:t>
            </w: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Consolidated</w:t>
            </w:r>
          </w:p>
        </w:tc>
      </w:tr>
      <w:tr>
        <w:trPr>
          <w:trHeight w:val="199"/>
        </w:trPr>
        <w:tc>
          <w:tcPr>
            <w:tcW w:w="3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Sales</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1,363,835</w:t>
            </w:r>
          </w:p>
        </w:tc>
        <w:tc>
          <w:tcPr>
            <w:tcW w:w="26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480,164</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339,460</w:t>
            </w:r>
          </w:p>
        </w:tc>
        <w:tc>
          <w:tcPr>
            <w:tcW w:w="1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145,224</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2,328,683</w:t>
            </w:r>
          </w:p>
        </w:tc>
      </w:tr>
      <w:tr>
        <w:trPr>
          <w:trHeight w:val="173"/>
        </w:trPr>
        <w:tc>
          <w:tcPr>
            <w:tcW w:w="3680" w:type="dxa"/>
            <w:vAlign w:val="bottom"/>
          </w:tcPr>
          <w:p>
            <w:pPr>
              <w:ind w:left="20"/>
              <w:spacing w:after="0" w:line="173" w:lineRule="exact"/>
              <w:rPr>
                <w:sz w:val="20"/>
                <w:szCs w:val="20"/>
                <w:color w:val="auto"/>
              </w:rPr>
            </w:pPr>
            <w:r>
              <w:rPr>
                <w:rFonts w:ascii="Times New Roman" w:cs="Times New Roman" w:eastAsia="Times New Roman" w:hAnsi="Times New Roman"/>
                <w:sz w:val="16"/>
                <w:szCs w:val="16"/>
                <w:color w:val="auto"/>
              </w:rPr>
              <w:t>Intercompany sales</w:t>
            </w:r>
          </w:p>
        </w:tc>
        <w:tc>
          <w:tcPr>
            <w:tcW w:w="380" w:type="dxa"/>
            <w:vAlign w:val="bottom"/>
          </w:tcPr>
          <w:p>
            <w:pPr>
              <w:spacing w:after="0"/>
              <w:rPr>
                <w:sz w:val="15"/>
                <w:szCs w:val="15"/>
                <w:color w:val="auto"/>
              </w:rPr>
            </w:pPr>
          </w:p>
        </w:tc>
        <w:tc>
          <w:tcPr>
            <w:tcW w:w="1060" w:type="dxa"/>
            <w:vAlign w:val="bottom"/>
          </w:tcPr>
          <w:p>
            <w:pPr>
              <w:jc w:val="right"/>
              <w:spacing w:after="0" w:line="173" w:lineRule="exact"/>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5"/>
                <w:szCs w:val="15"/>
                <w:color w:val="auto"/>
              </w:rPr>
            </w:pPr>
          </w:p>
        </w:tc>
        <w:tc>
          <w:tcPr>
            <w:tcW w:w="900" w:type="dxa"/>
            <w:vAlign w:val="bottom"/>
          </w:tcPr>
          <w:p>
            <w:pPr>
              <w:jc w:val="right"/>
              <w:spacing w:after="0" w:line="173"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5"/>
                <w:szCs w:val="15"/>
                <w:color w:val="auto"/>
              </w:rPr>
            </w:pPr>
          </w:p>
        </w:tc>
        <w:tc>
          <w:tcPr>
            <w:tcW w:w="1060" w:type="dxa"/>
            <w:vAlign w:val="bottom"/>
          </w:tcPr>
          <w:p>
            <w:pPr>
              <w:jc w:val="right"/>
              <w:spacing w:after="0" w:line="173" w:lineRule="exact"/>
              <w:rPr>
                <w:sz w:val="20"/>
                <w:szCs w:val="20"/>
                <w:color w:val="auto"/>
              </w:rPr>
            </w:pPr>
            <w:r>
              <w:rPr>
                <w:rFonts w:ascii="Times New Roman" w:cs="Times New Roman" w:eastAsia="Times New Roman" w:hAnsi="Times New Roman"/>
                <w:sz w:val="16"/>
                <w:szCs w:val="16"/>
                <w:color w:val="auto"/>
              </w:rPr>
              <w:t>(14 )</w:t>
            </w:r>
          </w:p>
        </w:tc>
        <w:tc>
          <w:tcPr>
            <w:tcW w:w="180" w:type="dxa"/>
            <w:vAlign w:val="bottom"/>
          </w:tcPr>
          <w:p>
            <w:pPr>
              <w:spacing w:after="0"/>
              <w:rPr>
                <w:sz w:val="15"/>
                <w:szCs w:val="15"/>
                <w:color w:val="auto"/>
              </w:rPr>
            </w:pPr>
          </w:p>
        </w:tc>
        <w:tc>
          <w:tcPr>
            <w:tcW w:w="980" w:type="dxa"/>
            <w:vAlign w:val="bottom"/>
          </w:tcPr>
          <w:p>
            <w:pPr>
              <w:jc w:val="right"/>
              <w:spacing w:after="0" w:line="173" w:lineRule="exact"/>
              <w:rPr>
                <w:sz w:val="20"/>
                <w:szCs w:val="20"/>
                <w:color w:val="auto"/>
              </w:rPr>
            </w:pPr>
            <w:r>
              <w:rPr>
                <w:rFonts w:ascii="Times New Roman" w:cs="Times New Roman" w:eastAsia="Times New Roman" w:hAnsi="Times New Roman"/>
                <w:sz w:val="16"/>
                <w:szCs w:val="16"/>
                <w:color w:val="auto"/>
              </w:rPr>
              <w:t>(4,045 )</w:t>
            </w:r>
          </w:p>
        </w:tc>
        <w:tc>
          <w:tcPr>
            <w:tcW w:w="160" w:type="dxa"/>
            <w:vAlign w:val="bottom"/>
          </w:tcPr>
          <w:p>
            <w:pPr>
              <w:spacing w:after="0"/>
              <w:rPr>
                <w:sz w:val="15"/>
                <w:szCs w:val="15"/>
                <w:color w:val="auto"/>
              </w:rPr>
            </w:pPr>
          </w:p>
        </w:tc>
        <w:tc>
          <w:tcPr>
            <w:tcW w:w="1080" w:type="dxa"/>
            <w:vAlign w:val="bottom"/>
          </w:tcPr>
          <w:p>
            <w:pPr>
              <w:jc w:val="right"/>
              <w:ind w:right="39"/>
              <w:spacing w:after="0" w:line="173"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5"/>
                <w:szCs w:val="15"/>
                <w:color w:val="auto"/>
              </w:rPr>
            </w:pPr>
          </w:p>
        </w:tc>
        <w:tc>
          <w:tcPr>
            <w:tcW w:w="1180" w:type="dxa"/>
            <w:vAlign w:val="bottom"/>
          </w:tcPr>
          <w:p>
            <w:pPr>
              <w:jc w:val="right"/>
              <w:spacing w:after="0" w:line="173" w:lineRule="exact"/>
              <w:rPr>
                <w:sz w:val="20"/>
                <w:szCs w:val="20"/>
                <w:color w:val="auto"/>
              </w:rPr>
            </w:pPr>
            <w:r>
              <w:rPr>
                <w:rFonts w:ascii="Times New Roman" w:cs="Times New Roman" w:eastAsia="Times New Roman" w:hAnsi="Times New Roman"/>
                <w:sz w:val="16"/>
                <w:szCs w:val="16"/>
                <w:color w:val="auto"/>
              </w:rPr>
              <w:t>(4,059 )</w:t>
            </w:r>
          </w:p>
        </w:tc>
      </w:tr>
      <w:tr>
        <w:trPr>
          <w:trHeight w:val="246"/>
        </w:trPr>
        <w:tc>
          <w:tcPr>
            <w:tcW w:w="36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sales to external customers</w:t>
            </w:r>
            <w:r>
              <w:rPr>
                <w:rFonts w:ascii="Times New Roman" w:cs="Times New Roman" w:eastAsia="Times New Roman" w:hAnsi="Times New Roman"/>
                <w:sz w:val="21"/>
                <w:szCs w:val="21"/>
                <w:b w:val="1"/>
                <w:bCs w:val="1"/>
                <w:color w:val="auto"/>
                <w:vertAlign w:val="superscript"/>
              </w:rPr>
              <w:t>(1)</w:t>
            </w:r>
          </w:p>
        </w:tc>
        <w:tc>
          <w:tcPr>
            <w:tcW w:w="3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1,363,835</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480,164</w:t>
            </w:r>
          </w:p>
        </w:tc>
        <w:tc>
          <w:tcPr>
            <w:tcW w:w="180" w:type="dxa"/>
            <w:vAlign w:val="bottom"/>
          </w:tcPr>
          <w:p>
            <w:pPr>
              <w:spacing w:after="0"/>
              <w:rPr>
                <w:sz w:val="21"/>
                <w:szCs w:val="21"/>
                <w:color w:val="auto"/>
              </w:rPr>
            </w:pP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339,446</w:t>
            </w:r>
          </w:p>
        </w:tc>
        <w:tc>
          <w:tcPr>
            <w:tcW w:w="180" w:type="dxa"/>
            <w:vAlign w:val="bottom"/>
          </w:tcPr>
          <w:p>
            <w:pPr>
              <w:spacing w:after="0"/>
              <w:rPr>
                <w:sz w:val="21"/>
                <w:szCs w:val="21"/>
                <w:color w:val="auto"/>
              </w:rPr>
            </w:pPr>
          </w:p>
        </w:tc>
        <w:tc>
          <w:tcPr>
            <w:tcW w:w="9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141,179</w:t>
            </w:r>
          </w:p>
        </w:tc>
        <w:tc>
          <w:tcPr>
            <w:tcW w:w="160" w:type="dxa"/>
            <w:vAlign w:val="bottom"/>
          </w:tcPr>
          <w:p>
            <w:pPr>
              <w:spacing w:after="0"/>
              <w:rPr>
                <w:sz w:val="21"/>
                <w:szCs w:val="21"/>
                <w:color w:val="auto"/>
              </w:rPr>
            </w:pPr>
          </w:p>
        </w:tc>
        <w:tc>
          <w:tcPr>
            <w:tcW w:w="10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1"/>
                <w:szCs w:val="21"/>
                <w:color w:val="auto"/>
              </w:rPr>
            </w:pP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2,324,624</w:t>
            </w:r>
          </w:p>
        </w:tc>
      </w:tr>
      <w:tr>
        <w:trPr>
          <w:trHeight w:val="203"/>
        </w:trPr>
        <w:tc>
          <w:tcPr>
            <w:tcW w:w="3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Cost of sales</w:t>
            </w:r>
          </w:p>
        </w:tc>
        <w:tc>
          <w:tcPr>
            <w:tcW w:w="3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696,351</w:t>
            </w: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273,588</w:t>
            </w: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160,461</w:t>
            </w:r>
          </w:p>
        </w:tc>
        <w:tc>
          <w:tcPr>
            <w:tcW w:w="1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95,404</w:t>
            </w: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1,225,804</w:t>
            </w:r>
          </w:p>
        </w:tc>
      </w:tr>
      <w:tr>
        <w:trPr>
          <w:trHeight w:val="196"/>
        </w:trPr>
        <w:tc>
          <w:tcPr>
            <w:tcW w:w="3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Gross margin</w:t>
            </w:r>
          </w:p>
        </w:tc>
        <w:tc>
          <w:tcPr>
            <w:tcW w:w="38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667,484</w:t>
            </w:r>
          </w:p>
        </w:tc>
        <w:tc>
          <w:tcPr>
            <w:tcW w:w="26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206,576</w:t>
            </w:r>
          </w:p>
        </w:tc>
        <w:tc>
          <w:tcPr>
            <w:tcW w:w="18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178,985</w:t>
            </w:r>
          </w:p>
        </w:tc>
        <w:tc>
          <w:tcPr>
            <w:tcW w:w="180" w:type="dxa"/>
            <w:vAlign w:val="bottom"/>
            <w:shd w:val="clear" w:color="auto" w:fill="CFF0FC"/>
          </w:tcPr>
          <w:p>
            <w:pPr>
              <w:spacing w:after="0"/>
              <w:rPr>
                <w:sz w:val="17"/>
                <w:szCs w:val="17"/>
                <w:color w:val="auto"/>
              </w:rPr>
            </w:pPr>
          </w:p>
        </w:tc>
        <w:tc>
          <w:tcPr>
            <w:tcW w:w="9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45,775</w:t>
            </w:r>
          </w:p>
        </w:tc>
        <w:tc>
          <w:tcPr>
            <w:tcW w:w="160" w:type="dxa"/>
            <w:vAlign w:val="bottom"/>
            <w:shd w:val="clear" w:color="auto" w:fill="CFF0FC"/>
          </w:tcPr>
          <w:p>
            <w:pPr>
              <w:spacing w:after="0"/>
              <w:rPr>
                <w:sz w:val="17"/>
                <w:szCs w:val="17"/>
                <w:color w:val="auto"/>
              </w:rPr>
            </w:pPr>
          </w:p>
        </w:tc>
        <w:tc>
          <w:tcPr>
            <w:tcW w:w="10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7"/>
                <w:szCs w:val="17"/>
                <w:color w:val="auto"/>
              </w:rPr>
            </w:pPr>
          </w:p>
        </w:tc>
        <w:tc>
          <w:tcPr>
            <w:tcW w:w="11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1,098,820</w:t>
            </w:r>
          </w:p>
        </w:tc>
      </w:tr>
      <w:tr>
        <w:trPr>
          <w:trHeight w:val="203"/>
        </w:trPr>
        <w:tc>
          <w:tcPr>
            <w:tcW w:w="3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Selling and administrative expenses</w:t>
            </w:r>
          </w:p>
        </w:tc>
        <w:tc>
          <w:tcPr>
            <w:tcW w:w="3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656,412</w:t>
            </w: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185,141</w:t>
            </w: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162,671</w:t>
            </w:r>
          </w:p>
        </w:tc>
        <w:tc>
          <w:tcPr>
            <w:tcW w:w="1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45,783</w:t>
            </w: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32,033</w:t>
            </w:r>
          </w:p>
        </w:tc>
        <w:tc>
          <w:tcPr>
            <w:tcW w:w="1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1,082,040</w:t>
            </w:r>
          </w:p>
        </w:tc>
      </w:tr>
      <w:tr>
        <w:trPr>
          <w:trHeight w:val="196"/>
        </w:trPr>
        <w:tc>
          <w:tcPr>
            <w:tcW w:w="3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Segment operating income (loss)</w:t>
            </w:r>
          </w:p>
        </w:tc>
        <w:tc>
          <w:tcPr>
            <w:tcW w:w="38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11,072</w:t>
            </w:r>
          </w:p>
        </w:tc>
        <w:tc>
          <w:tcPr>
            <w:tcW w:w="26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21,435</w:t>
            </w:r>
          </w:p>
        </w:tc>
        <w:tc>
          <w:tcPr>
            <w:tcW w:w="18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16,314</w:t>
            </w:r>
          </w:p>
        </w:tc>
        <w:tc>
          <w:tcPr>
            <w:tcW w:w="18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(8 )</w:t>
            </w:r>
          </w:p>
        </w:tc>
        <w:tc>
          <w:tcPr>
            <w:tcW w:w="16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(32,033 )</w:t>
            </w:r>
          </w:p>
        </w:tc>
        <w:tc>
          <w:tcPr>
            <w:tcW w:w="140" w:type="dxa"/>
            <w:vAlign w:val="bottom"/>
            <w:shd w:val="clear" w:color="auto" w:fill="CFF0FC"/>
          </w:tcPr>
          <w:p>
            <w:pPr>
              <w:spacing w:after="0"/>
              <w:rPr>
                <w:sz w:val="17"/>
                <w:szCs w:val="17"/>
                <w:color w:val="auto"/>
              </w:rPr>
            </w:pPr>
          </w:p>
        </w:tc>
        <w:tc>
          <w:tcPr>
            <w:tcW w:w="11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16,780</w:t>
            </w:r>
          </w:p>
        </w:tc>
      </w:tr>
      <w:tr>
        <w:trPr>
          <w:trHeight w:val="203"/>
        </w:trPr>
        <w:tc>
          <w:tcPr>
            <w:tcW w:w="3680" w:type="dxa"/>
            <w:vAlign w:val="bottom"/>
          </w:tcPr>
          <w:p>
            <w:pPr>
              <w:ind w:left="20"/>
              <w:spacing w:after="0" w:line="203" w:lineRule="exact"/>
              <w:rPr>
                <w:sz w:val="20"/>
                <w:szCs w:val="20"/>
                <w:color w:val="auto"/>
              </w:rPr>
            </w:pPr>
            <w:r>
              <w:rPr>
                <w:rFonts w:ascii="Times New Roman" w:cs="Times New Roman" w:eastAsia="Times New Roman" w:hAnsi="Times New Roman"/>
                <w:sz w:val="16"/>
                <w:szCs w:val="16"/>
                <w:color w:val="auto"/>
              </w:rPr>
              <w:t xml:space="preserve">Goodwill impairment </w:t>
            </w:r>
            <w:r>
              <w:rPr>
                <w:rFonts w:ascii="Times New Roman" w:cs="Times New Roman" w:eastAsia="Times New Roman" w:hAnsi="Times New Roman"/>
                <w:sz w:val="21"/>
                <w:szCs w:val="21"/>
                <w:color w:val="auto"/>
                <w:vertAlign w:val="superscript"/>
              </w:rPr>
              <w:t>(2)</w:t>
            </w:r>
          </w:p>
        </w:tc>
        <w:tc>
          <w:tcPr>
            <w:tcW w:w="3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9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0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28,453</w:t>
            </w:r>
          </w:p>
        </w:tc>
        <w:tc>
          <w:tcPr>
            <w:tcW w:w="140" w:type="dxa"/>
            <w:vAlign w:val="bottom"/>
          </w:tcPr>
          <w:p>
            <w:pPr>
              <w:spacing w:after="0"/>
              <w:rPr>
                <w:sz w:val="17"/>
                <w:szCs w:val="17"/>
                <w:color w:val="auto"/>
              </w:rPr>
            </w:pP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28,453</w:t>
            </w:r>
          </w:p>
        </w:tc>
      </w:tr>
      <w:tr>
        <w:trPr>
          <w:trHeight w:val="203"/>
        </w:trPr>
        <w:tc>
          <w:tcPr>
            <w:tcW w:w="3680" w:type="dxa"/>
            <w:vAlign w:val="bottom"/>
            <w:tcBorders>
              <w:bottom w:val="single" w:sz="8" w:color="auto"/>
            </w:tcBorders>
            <w:shd w:val="clear" w:color="auto" w:fill="CFF0FC"/>
          </w:tcPr>
          <w:p>
            <w:pPr>
              <w:ind w:left="20"/>
              <w:spacing w:after="0" w:line="203" w:lineRule="exact"/>
              <w:rPr>
                <w:sz w:val="20"/>
                <w:szCs w:val="20"/>
                <w:color w:val="auto"/>
              </w:rPr>
            </w:pPr>
            <w:r>
              <w:rPr>
                <w:rFonts w:ascii="Times New Roman" w:cs="Times New Roman" w:eastAsia="Times New Roman" w:hAnsi="Times New Roman"/>
                <w:sz w:val="16"/>
                <w:szCs w:val="16"/>
                <w:color w:val="auto"/>
              </w:rPr>
              <w:t>Asset impairments and other</w:t>
            </w:r>
            <w:r>
              <w:rPr>
                <w:rFonts w:ascii="Times New Roman" w:cs="Times New Roman" w:eastAsia="Times New Roman" w:hAnsi="Times New Roman"/>
                <w:sz w:val="21"/>
                <w:szCs w:val="21"/>
                <w:color w:val="auto"/>
                <w:vertAlign w:val="superscript"/>
              </w:rPr>
              <w:t>(3)</w:t>
            </w:r>
          </w:p>
        </w:tc>
        <w:tc>
          <w:tcPr>
            <w:tcW w:w="38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1,787</w:t>
            </w:r>
          </w:p>
        </w:tc>
        <w:tc>
          <w:tcPr>
            <w:tcW w:w="140" w:type="dxa"/>
            <w:vAlign w:val="bottom"/>
            <w:tcBorders>
              <w:bottom w:val="single" w:sz="8" w:color="auto"/>
            </w:tcBorders>
            <w:shd w:val="clear" w:color="auto" w:fill="CFF0FC"/>
          </w:tcPr>
          <w:p>
            <w:pPr>
              <w:spacing w:after="0"/>
              <w:rPr>
                <w:sz w:val="17"/>
                <w:szCs w:val="17"/>
                <w:color w:val="auto"/>
              </w:rPr>
            </w:pPr>
          </w:p>
        </w:tc>
        <w:tc>
          <w:tcPr>
            <w:tcW w:w="11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1,787</w:t>
            </w:r>
          </w:p>
        </w:tc>
      </w:tr>
      <w:tr>
        <w:trPr>
          <w:trHeight w:val="196"/>
        </w:trPr>
        <w:tc>
          <w:tcPr>
            <w:tcW w:w="36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income (loss)</w:t>
            </w:r>
          </w:p>
        </w:tc>
        <w:tc>
          <w:tcPr>
            <w:tcW w:w="3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11,072</w:t>
            </w: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21,435</w:t>
            </w:r>
          </w:p>
        </w:tc>
        <w:tc>
          <w:tcPr>
            <w:tcW w:w="180" w:type="dxa"/>
            <w:vAlign w:val="bottom"/>
          </w:tcPr>
          <w:p>
            <w:pPr>
              <w:spacing w:after="0"/>
              <w:rPr>
                <w:sz w:val="17"/>
                <w:szCs w:val="17"/>
                <w:color w:val="auto"/>
              </w:rPr>
            </w:pP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16,314</w:t>
            </w: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(8 )</w:t>
            </w: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(62,273 )</w:t>
            </w:r>
          </w:p>
        </w:tc>
        <w:tc>
          <w:tcPr>
            <w:tcW w:w="1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(13,460 )</w:t>
            </w:r>
          </w:p>
        </w:tc>
      </w:tr>
      <w:tr>
        <w:trPr>
          <w:trHeight w:val="203"/>
        </w:trPr>
        <w:tc>
          <w:tcPr>
            <w:tcW w:w="3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Other components of net periodic benefit cost</w:t>
            </w:r>
          </w:p>
        </w:tc>
        <w:tc>
          <w:tcPr>
            <w:tcW w:w="38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7"/>
                <w:szCs w:val="17"/>
                <w:color w:val="auto"/>
              </w:rPr>
            </w:pPr>
          </w:p>
        </w:tc>
        <w:tc>
          <w:tcPr>
            <w:tcW w:w="9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7"/>
                <w:szCs w:val="17"/>
                <w:color w:val="auto"/>
              </w:rPr>
            </w:pPr>
          </w:p>
        </w:tc>
        <w:tc>
          <w:tcPr>
            <w:tcW w:w="10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537</w:t>
            </w:r>
          </w:p>
        </w:tc>
        <w:tc>
          <w:tcPr>
            <w:tcW w:w="140" w:type="dxa"/>
            <w:vAlign w:val="bottom"/>
            <w:shd w:val="clear" w:color="auto" w:fill="CFF0FC"/>
          </w:tcPr>
          <w:p>
            <w:pPr>
              <w:spacing w:after="0"/>
              <w:rPr>
                <w:sz w:val="17"/>
                <w:szCs w:val="17"/>
                <w:color w:val="auto"/>
              </w:rPr>
            </w:pPr>
          </w:p>
        </w:tc>
        <w:tc>
          <w:tcPr>
            <w:tcW w:w="11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537</w:t>
            </w:r>
          </w:p>
        </w:tc>
      </w:tr>
      <w:tr>
        <w:trPr>
          <w:trHeight w:val="202"/>
        </w:trPr>
        <w:tc>
          <w:tcPr>
            <w:tcW w:w="3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Interest expense, net</w:t>
            </w:r>
          </w:p>
        </w:tc>
        <w:tc>
          <w:tcPr>
            <w:tcW w:w="3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7,777</w:t>
            </w:r>
          </w:p>
        </w:tc>
        <w:tc>
          <w:tcPr>
            <w:tcW w:w="1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7,777</w:t>
            </w:r>
          </w:p>
        </w:tc>
      </w:tr>
      <w:tr>
        <w:trPr>
          <w:trHeight w:val="180"/>
        </w:trPr>
        <w:tc>
          <w:tcPr>
            <w:tcW w:w="3680" w:type="dxa"/>
            <w:vAlign w:val="bottom"/>
            <w:shd w:val="clear" w:color="auto" w:fill="CFF0FC"/>
          </w:tcPr>
          <w:p>
            <w:pPr>
              <w:ind w:left="20"/>
              <w:spacing w:after="0" w:line="181" w:lineRule="exact"/>
              <w:rPr>
                <w:sz w:val="20"/>
                <w:szCs w:val="20"/>
                <w:color w:val="auto"/>
              </w:rPr>
            </w:pPr>
            <w:r>
              <w:rPr>
                <w:rFonts w:ascii="Times New Roman" w:cs="Times New Roman" w:eastAsia="Times New Roman" w:hAnsi="Times New Roman"/>
                <w:sz w:val="16"/>
                <w:szCs w:val="16"/>
                <w:b w:val="1"/>
                <w:bCs w:val="1"/>
                <w:color w:val="auto"/>
              </w:rPr>
              <w:t>Earnings (loss) from continuing operations before</w:t>
            </w:r>
          </w:p>
        </w:tc>
        <w:tc>
          <w:tcPr>
            <w:tcW w:w="38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r>
      <w:tr>
        <w:trPr>
          <w:trHeight w:val="255"/>
        </w:trPr>
        <w:tc>
          <w:tcPr>
            <w:tcW w:w="368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income taxes</w:t>
            </w:r>
          </w:p>
        </w:tc>
        <w:tc>
          <w:tcPr>
            <w:tcW w:w="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11,072</w:t>
            </w:r>
          </w:p>
        </w:tc>
        <w:tc>
          <w:tcPr>
            <w:tcW w:w="26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21,435</w:t>
            </w: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16,314</w:t>
            </w:r>
          </w:p>
        </w:tc>
        <w:tc>
          <w:tcPr>
            <w:tcW w:w="180" w:type="dxa"/>
            <w:vAlign w:val="bottom"/>
            <w:tcBorders>
              <w:bottom w:val="single" w:sz="8" w:color="auto"/>
            </w:tcBorders>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(8 ) $</w:t>
            </w:r>
          </w:p>
        </w:tc>
        <w:tc>
          <w:tcPr>
            <w:tcW w:w="122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(70,587 ) $</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(21,774 )</w:t>
            </w:r>
          </w:p>
        </w:tc>
      </w:tr>
      <w:tr>
        <w:trPr>
          <w:trHeight w:val="186"/>
        </w:trPr>
        <w:tc>
          <w:tcPr>
            <w:tcW w:w="3680" w:type="dxa"/>
            <w:vAlign w:val="bottom"/>
          </w:tcPr>
          <w:p>
            <w:pPr>
              <w:ind w:left="20"/>
              <w:spacing w:after="0" w:line="186" w:lineRule="exact"/>
              <w:rPr>
                <w:sz w:val="20"/>
                <w:szCs w:val="20"/>
                <w:color w:val="auto"/>
              </w:rPr>
            </w:pPr>
            <w:r>
              <w:rPr>
                <w:rFonts w:ascii="Times New Roman" w:cs="Times New Roman" w:eastAsia="Times New Roman" w:hAnsi="Times New Roman"/>
                <w:sz w:val="16"/>
                <w:szCs w:val="16"/>
                <w:color w:val="auto"/>
              </w:rPr>
              <w:t>Total assets at fiscal year end</w:t>
            </w:r>
            <w:r>
              <w:rPr>
                <w:rFonts w:ascii="Times New Roman" w:cs="Times New Roman" w:eastAsia="Times New Roman" w:hAnsi="Times New Roman"/>
                <w:sz w:val="21"/>
                <w:szCs w:val="21"/>
                <w:color w:val="auto"/>
                <w:vertAlign w:val="superscript"/>
              </w:rPr>
              <w:t>(4)</w:t>
            </w: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659,150</w:t>
            </w:r>
          </w:p>
        </w:tc>
        <w:tc>
          <w:tcPr>
            <w:tcW w:w="2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200,482</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165,217</w:t>
            </w:r>
          </w:p>
        </w:tc>
        <w:tc>
          <w:tcPr>
            <w:tcW w:w="1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59,630</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245,411</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1,329,890</w:t>
            </w:r>
          </w:p>
        </w:tc>
      </w:tr>
      <w:tr>
        <w:trPr>
          <w:trHeight w:val="203"/>
        </w:trPr>
        <w:tc>
          <w:tcPr>
            <w:tcW w:w="3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8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32,419</w:t>
            </w:r>
          </w:p>
        </w:tc>
        <w:tc>
          <w:tcPr>
            <w:tcW w:w="26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6,636</w:t>
            </w:r>
          </w:p>
        </w:tc>
        <w:tc>
          <w:tcPr>
            <w:tcW w:w="18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5,113</w:t>
            </w:r>
          </w:p>
        </w:tc>
        <w:tc>
          <w:tcPr>
            <w:tcW w:w="180" w:type="dxa"/>
            <w:vAlign w:val="bottom"/>
            <w:shd w:val="clear" w:color="auto" w:fill="CFF0FC"/>
          </w:tcPr>
          <w:p>
            <w:pPr>
              <w:spacing w:after="0"/>
              <w:rPr>
                <w:sz w:val="17"/>
                <w:szCs w:val="17"/>
                <w:color w:val="auto"/>
              </w:rPr>
            </w:pPr>
          </w:p>
        </w:tc>
        <w:tc>
          <w:tcPr>
            <w:tcW w:w="9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984</w:t>
            </w:r>
          </w:p>
        </w:tc>
        <w:tc>
          <w:tcPr>
            <w:tcW w:w="160" w:type="dxa"/>
            <w:vAlign w:val="bottom"/>
            <w:shd w:val="clear" w:color="auto" w:fill="CFF0FC"/>
          </w:tcPr>
          <w:p>
            <w:pPr>
              <w:spacing w:after="0"/>
              <w:rPr>
                <w:sz w:val="17"/>
                <w:szCs w:val="17"/>
                <w:color w:val="auto"/>
              </w:rPr>
            </w:pPr>
          </w:p>
        </w:tc>
        <w:tc>
          <w:tcPr>
            <w:tcW w:w="10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4,289</w:t>
            </w:r>
          </w:p>
        </w:tc>
        <w:tc>
          <w:tcPr>
            <w:tcW w:w="140" w:type="dxa"/>
            <w:vAlign w:val="bottom"/>
            <w:shd w:val="clear" w:color="auto" w:fill="CFF0FC"/>
          </w:tcPr>
          <w:p>
            <w:pPr>
              <w:spacing w:after="0"/>
              <w:rPr>
                <w:sz w:val="17"/>
                <w:szCs w:val="17"/>
                <w:color w:val="auto"/>
              </w:rPr>
            </w:pPr>
          </w:p>
        </w:tc>
        <w:tc>
          <w:tcPr>
            <w:tcW w:w="11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49,441</w:t>
            </w:r>
          </w:p>
        </w:tc>
      </w:tr>
      <w:tr>
        <w:trPr>
          <w:trHeight w:val="203"/>
        </w:trPr>
        <w:tc>
          <w:tcPr>
            <w:tcW w:w="3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Capital expenditures</w:t>
            </w:r>
          </w:p>
        </w:tc>
        <w:tc>
          <w:tcPr>
            <w:tcW w:w="3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38,093</w:t>
            </w: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12,183</w:t>
            </w: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6,785</w:t>
            </w:r>
          </w:p>
        </w:tc>
        <w:tc>
          <w:tcPr>
            <w:tcW w:w="1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2,214</w:t>
            </w: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1,028</w:t>
            </w:r>
          </w:p>
        </w:tc>
        <w:tc>
          <w:tcPr>
            <w:tcW w:w="1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60,303</w:t>
            </w:r>
          </w:p>
        </w:tc>
      </w:tr>
      <w:tr>
        <w:trPr>
          <w:trHeight w:val="20"/>
        </w:trPr>
        <w:tc>
          <w:tcPr>
            <w:tcW w:w="36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-2022475</wp:posOffset>
            </wp:positionV>
            <wp:extent cx="7132320" cy="13716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74" w:lineRule="exact"/>
        <w:rPr>
          <w:sz w:val="20"/>
          <w:szCs w:val="20"/>
          <w:color w:val="auto"/>
        </w:rPr>
      </w:pPr>
    </w:p>
    <w:p>
      <w:pPr>
        <w:ind w:left="380" w:hanging="372"/>
        <w:spacing w:after="0" w:line="220" w:lineRule="auto"/>
        <w:tabs>
          <w:tab w:leader="none" w:pos="380" w:val="left"/>
        </w:tabs>
        <w:numPr>
          <w:ilvl w:val="0"/>
          <w:numId w:val="1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Net sales in North America and in the United Kingdom, which includes the Republic of Ireland, accounted for 79% and 21%, respectively, of our net sales for Fiscal 2024.</w:t>
      </w:r>
    </w:p>
    <w:p>
      <w:pPr>
        <w:spacing w:after="0" w:line="1" w:lineRule="exact"/>
        <w:rPr>
          <w:rFonts w:ascii="Times New Roman" w:cs="Times New Roman" w:eastAsia="Times New Roman" w:hAnsi="Times New Roman"/>
          <w:sz w:val="23"/>
          <w:szCs w:val="23"/>
          <w:color w:val="auto"/>
          <w:vertAlign w:val="superscript"/>
        </w:rPr>
      </w:pPr>
    </w:p>
    <w:p>
      <w:pPr>
        <w:ind w:left="380" w:hanging="372"/>
        <w:spacing w:after="0" w:line="183" w:lineRule="auto"/>
        <w:tabs>
          <w:tab w:leader="none" w:pos="380" w:val="left"/>
        </w:tabs>
        <w:numPr>
          <w:ilvl w:val="0"/>
          <w:numId w:val="1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Goodwill impairment of $28.5 million is related to Genesco Brands Group.</w:t>
      </w:r>
    </w:p>
    <w:p>
      <w:pPr>
        <w:ind w:left="380" w:right="20" w:hanging="372"/>
        <w:spacing w:after="0" w:line="212" w:lineRule="auto"/>
        <w:tabs>
          <w:tab w:leader="none" w:pos="380" w:val="left"/>
        </w:tabs>
        <w:numPr>
          <w:ilvl w:val="0"/>
          <w:numId w:val="1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Asset impairments and other includes $1.1 million for severance and $1.0 million charge for asset impairments in the Journeys Group, partially offset by a $0.3 million insurance gain.</w:t>
      </w:r>
    </w:p>
    <w:p>
      <w:pPr>
        <w:spacing w:after="0"/>
        <w:tabs>
          <w:tab w:leader="none" w:pos="260" w:val="left"/>
          <w:tab w:leader="none" w:pos="9120" w:val="left"/>
        </w:tabs>
        <w:rPr>
          <w:sz w:val="20"/>
          <w:szCs w:val="20"/>
          <w:color w:val="auto"/>
        </w:rPr>
      </w:pPr>
      <w:r>
        <w:rPr>
          <w:rFonts w:ascii="Times New Roman" w:cs="Times New Roman" w:eastAsia="Times New Roman" w:hAnsi="Times New Roman"/>
          <w:sz w:val="23"/>
          <w:szCs w:val="23"/>
          <w:color w:val="auto"/>
          <w:vertAlign w:val="superscript"/>
        </w:rPr>
        <w:t>(4)</w:t>
      </w:r>
      <w:r>
        <w:rPr>
          <w:sz w:val="20"/>
          <w:szCs w:val="20"/>
          <w:color w:val="auto"/>
        </w:rPr>
        <w:tab/>
      </w:r>
      <w:r>
        <w:rPr>
          <w:rFonts w:ascii="Times New Roman" w:cs="Times New Roman" w:eastAsia="Times New Roman" w:hAnsi="Times New Roman"/>
          <w:sz w:val="17"/>
          <w:szCs w:val="17"/>
          <w:color w:val="auto"/>
        </w:rPr>
        <w:t>Of our $677.2 million of long-lived assets, $89.4 million and $12.3 million relate to long-lived assets in the U.K. and Canada,</w:t>
        <w:tab/>
        <w:t>respectively.</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80" w:name="page81"/>
    <w:bookmarkEnd w:id="80"/>
    <w:p>
      <w:pPr>
        <w:jc w:val="center"/>
        <w:spacing w:after="0"/>
        <w:rPr>
          <w:sz w:val="20"/>
          <w:szCs w:val="20"/>
          <w:color w:val="auto"/>
        </w:rPr>
      </w:pPr>
      <w:r>
        <w:rPr>
          <w:rFonts w:ascii="Times New Roman" w:cs="Times New Roman" w:eastAsia="Times New Roman" w:hAnsi="Times New Roman"/>
          <w:sz w:val="18"/>
          <w:szCs w:val="18"/>
          <w:b w:val="1"/>
          <w:bCs w:val="1"/>
          <w:color w:val="auto"/>
        </w:rPr>
        <w:t>Genesco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Business Segment Information, Continued</w:t>
      </w:r>
    </w:p>
    <w:p>
      <w:pPr>
        <w:spacing w:after="0" w:line="200" w:lineRule="exact"/>
        <w:rPr>
          <w:sz w:val="20"/>
          <w:szCs w:val="20"/>
          <w:color w:val="auto"/>
        </w:rPr>
      </w:pPr>
    </w:p>
    <w:p>
      <w:pPr>
        <w:spacing w:after="0" w:line="20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Fiscal 2023</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3660" w:type="dxa"/>
            <w:vAlign w:val="bottom"/>
            <w:tcBorders>
              <w:top w:val="single" w:sz="8" w:color="auto"/>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jc w:val="center"/>
              <w:ind w:right="99"/>
              <w:spacing w:after="0" w:line="181" w:lineRule="exact"/>
              <w:rPr>
                <w:sz w:val="20"/>
                <w:szCs w:val="20"/>
                <w:color w:val="auto"/>
              </w:rPr>
            </w:pPr>
            <w:r>
              <w:rPr>
                <w:rFonts w:ascii="Times New Roman" w:cs="Times New Roman" w:eastAsia="Times New Roman" w:hAnsi="Times New Roman"/>
                <w:sz w:val="16"/>
                <w:szCs w:val="16"/>
                <w:b w:val="1"/>
                <w:bCs w:val="1"/>
                <w:color w:val="auto"/>
              </w:rPr>
              <w:t>Johnston</w:t>
            </w:r>
          </w:p>
        </w:tc>
        <w:tc>
          <w:tcPr>
            <w:tcW w:w="22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spacing w:after="0"/>
              <w:rPr>
                <w:sz w:val="15"/>
                <w:szCs w:val="15"/>
                <w:color w:val="auto"/>
              </w:rPr>
            </w:pPr>
          </w:p>
        </w:tc>
      </w:tr>
      <w:tr>
        <w:trPr>
          <w:trHeight w:val="203"/>
        </w:trPr>
        <w:tc>
          <w:tcPr>
            <w:tcW w:w="36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8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Journeys</w:t>
            </w:r>
          </w:p>
        </w:tc>
        <w:tc>
          <w:tcPr>
            <w:tcW w:w="260" w:type="dxa"/>
            <w:vAlign w:val="bottom"/>
          </w:tcPr>
          <w:p>
            <w:pPr>
              <w:spacing w:after="0"/>
              <w:rPr>
                <w:sz w:val="17"/>
                <w:szCs w:val="17"/>
                <w:color w:val="auto"/>
              </w:rPr>
            </w:pPr>
          </w:p>
        </w:tc>
        <w:tc>
          <w:tcPr>
            <w:tcW w:w="92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Schuh</w:t>
            </w:r>
          </w:p>
        </w:tc>
        <w:tc>
          <w:tcPr>
            <w:tcW w:w="200" w:type="dxa"/>
            <w:vAlign w:val="bottom"/>
          </w:tcPr>
          <w:p>
            <w:pPr>
              <w:spacing w:after="0"/>
              <w:rPr>
                <w:sz w:val="17"/>
                <w:szCs w:val="17"/>
                <w:color w:val="auto"/>
              </w:rPr>
            </w:pPr>
          </w:p>
        </w:tc>
        <w:tc>
          <w:tcPr>
            <w:tcW w:w="1020" w:type="dxa"/>
            <w:vAlign w:val="bottom"/>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&amp; Murphy</w:t>
            </w:r>
          </w:p>
        </w:tc>
        <w:tc>
          <w:tcPr>
            <w:tcW w:w="220" w:type="dxa"/>
            <w:vAlign w:val="bottom"/>
          </w:tcPr>
          <w:p>
            <w:pPr>
              <w:spacing w:after="0"/>
              <w:rPr>
                <w:sz w:val="17"/>
                <w:szCs w:val="17"/>
                <w:color w:val="auto"/>
              </w:rPr>
            </w:pPr>
          </w:p>
        </w:tc>
        <w:tc>
          <w:tcPr>
            <w:tcW w:w="98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Genesco</w:t>
            </w:r>
          </w:p>
        </w:tc>
        <w:tc>
          <w:tcPr>
            <w:tcW w:w="160" w:type="dxa"/>
            <w:vAlign w:val="bottom"/>
          </w:tcPr>
          <w:p>
            <w:pPr>
              <w:spacing w:after="0"/>
              <w:rPr>
                <w:sz w:val="17"/>
                <w:szCs w:val="17"/>
                <w:color w:val="auto"/>
              </w:rPr>
            </w:pPr>
          </w:p>
        </w:tc>
        <w:tc>
          <w:tcPr>
            <w:tcW w:w="106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Corporate</w:t>
            </w: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15"/>
        </w:trPr>
        <w:tc>
          <w:tcPr>
            <w:tcW w:w="3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3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Group</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Group</w:t>
            </w: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w w:val="96"/>
              </w:rPr>
              <w:t>Group</w:t>
            </w:r>
          </w:p>
        </w:tc>
        <w:tc>
          <w:tcPr>
            <w:tcW w:w="120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Brands Group</w:t>
            </w: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&amp; Other</w:t>
            </w: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Consolidated</w:t>
            </w:r>
          </w:p>
        </w:tc>
      </w:tr>
      <w:tr>
        <w:trPr>
          <w:trHeight w:val="199"/>
        </w:trPr>
        <w:tc>
          <w:tcPr>
            <w:tcW w:w="3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Sales</w:t>
            </w:r>
          </w:p>
        </w:tc>
        <w:tc>
          <w:tcPr>
            <w:tcW w:w="3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1,482,203</w:t>
            </w:r>
          </w:p>
        </w:tc>
        <w:tc>
          <w:tcPr>
            <w:tcW w:w="26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432,002</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314,759</w:t>
            </w:r>
          </w:p>
        </w:tc>
        <w:tc>
          <w:tcPr>
            <w:tcW w:w="2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158,684</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2,387,648</w:t>
            </w:r>
          </w:p>
        </w:tc>
      </w:tr>
      <w:tr>
        <w:trPr>
          <w:trHeight w:val="173"/>
        </w:trPr>
        <w:tc>
          <w:tcPr>
            <w:tcW w:w="3660" w:type="dxa"/>
            <w:vAlign w:val="bottom"/>
          </w:tcPr>
          <w:p>
            <w:pPr>
              <w:ind w:left="20"/>
              <w:spacing w:after="0" w:line="173" w:lineRule="exact"/>
              <w:rPr>
                <w:sz w:val="20"/>
                <w:szCs w:val="20"/>
                <w:color w:val="auto"/>
              </w:rPr>
            </w:pPr>
            <w:r>
              <w:rPr>
                <w:rFonts w:ascii="Times New Roman" w:cs="Times New Roman" w:eastAsia="Times New Roman" w:hAnsi="Times New Roman"/>
                <w:sz w:val="16"/>
                <w:szCs w:val="16"/>
                <w:color w:val="auto"/>
              </w:rPr>
              <w:t>Intercompany sales</w:t>
            </w:r>
          </w:p>
        </w:tc>
        <w:tc>
          <w:tcPr>
            <w:tcW w:w="380" w:type="dxa"/>
            <w:vAlign w:val="bottom"/>
          </w:tcPr>
          <w:p>
            <w:pPr>
              <w:spacing w:after="0"/>
              <w:rPr>
                <w:sz w:val="15"/>
                <w:szCs w:val="15"/>
                <w:color w:val="auto"/>
              </w:rPr>
            </w:pPr>
          </w:p>
        </w:tc>
        <w:tc>
          <w:tcPr>
            <w:tcW w:w="1080" w:type="dxa"/>
            <w:vAlign w:val="bottom"/>
          </w:tcPr>
          <w:p>
            <w:pPr>
              <w:jc w:val="right"/>
              <w:spacing w:after="0" w:line="173" w:lineRule="exact"/>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5"/>
                <w:szCs w:val="15"/>
                <w:color w:val="auto"/>
              </w:rPr>
            </w:pPr>
          </w:p>
        </w:tc>
        <w:tc>
          <w:tcPr>
            <w:tcW w:w="920" w:type="dxa"/>
            <w:vAlign w:val="bottom"/>
          </w:tcPr>
          <w:p>
            <w:pPr>
              <w:jc w:val="right"/>
              <w:spacing w:after="0" w:line="173"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5"/>
                <w:szCs w:val="15"/>
                <w:color w:val="auto"/>
              </w:rPr>
            </w:pPr>
          </w:p>
        </w:tc>
        <w:tc>
          <w:tcPr>
            <w:tcW w:w="1020" w:type="dxa"/>
            <w:vAlign w:val="bottom"/>
          </w:tcPr>
          <w:p>
            <w:pPr>
              <w:jc w:val="right"/>
              <w:spacing w:after="0" w:line="173" w:lineRule="exact"/>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5"/>
                <w:szCs w:val="15"/>
                <w:color w:val="auto"/>
              </w:rPr>
            </w:pPr>
          </w:p>
        </w:tc>
        <w:tc>
          <w:tcPr>
            <w:tcW w:w="980" w:type="dxa"/>
            <w:vAlign w:val="bottom"/>
          </w:tcPr>
          <w:p>
            <w:pPr>
              <w:jc w:val="right"/>
              <w:spacing w:after="0" w:line="173" w:lineRule="exact"/>
              <w:rPr>
                <w:sz w:val="20"/>
                <w:szCs w:val="20"/>
                <w:color w:val="auto"/>
              </w:rPr>
            </w:pPr>
            <w:r>
              <w:rPr>
                <w:rFonts w:ascii="Times New Roman" w:cs="Times New Roman" w:eastAsia="Times New Roman" w:hAnsi="Times New Roman"/>
                <w:sz w:val="16"/>
                <w:szCs w:val="16"/>
                <w:color w:val="auto"/>
              </w:rPr>
              <w:t>(2,760 )</w:t>
            </w:r>
          </w:p>
        </w:tc>
        <w:tc>
          <w:tcPr>
            <w:tcW w:w="160" w:type="dxa"/>
            <w:vAlign w:val="bottom"/>
          </w:tcPr>
          <w:p>
            <w:pPr>
              <w:spacing w:after="0"/>
              <w:rPr>
                <w:sz w:val="15"/>
                <w:szCs w:val="15"/>
                <w:color w:val="auto"/>
              </w:rPr>
            </w:pPr>
          </w:p>
        </w:tc>
        <w:tc>
          <w:tcPr>
            <w:tcW w:w="1060" w:type="dxa"/>
            <w:vAlign w:val="bottom"/>
          </w:tcPr>
          <w:p>
            <w:pPr>
              <w:jc w:val="right"/>
              <w:ind w:right="39"/>
              <w:spacing w:after="0" w:line="173" w:lineRule="exact"/>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5"/>
                <w:szCs w:val="15"/>
                <w:color w:val="auto"/>
              </w:rPr>
            </w:pPr>
          </w:p>
        </w:tc>
        <w:tc>
          <w:tcPr>
            <w:tcW w:w="1180" w:type="dxa"/>
            <w:vAlign w:val="bottom"/>
          </w:tcPr>
          <w:p>
            <w:pPr>
              <w:jc w:val="right"/>
              <w:spacing w:after="0" w:line="173" w:lineRule="exact"/>
              <w:rPr>
                <w:sz w:val="20"/>
                <w:szCs w:val="20"/>
                <w:color w:val="auto"/>
              </w:rPr>
            </w:pPr>
            <w:r>
              <w:rPr>
                <w:rFonts w:ascii="Times New Roman" w:cs="Times New Roman" w:eastAsia="Times New Roman" w:hAnsi="Times New Roman"/>
                <w:sz w:val="16"/>
                <w:szCs w:val="16"/>
                <w:color w:val="auto"/>
              </w:rPr>
              <w:t>(2,760 )</w:t>
            </w:r>
          </w:p>
        </w:tc>
      </w:tr>
      <w:tr>
        <w:trPr>
          <w:trHeight w:val="246"/>
        </w:trPr>
        <w:tc>
          <w:tcPr>
            <w:tcW w:w="36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sales to external customers</w:t>
            </w:r>
            <w:r>
              <w:rPr>
                <w:rFonts w:ascii="Times New Roman" w:cs="Times New Roman" w:eastAsia="Times New Roman" w:hAnsi="Times New Roman"/>
                <w:sz w:val="21"/>
                <w:szCs w:val="21"/>
                <w:b w:val="1"/>
                <w:bCs w:val="1"/>
                <w:color w:val="auto"/>
                <w:vertAlign w:val="superscript"/>
              </w:rPr>
              <w:t>(1)</w:t>
            </w:r>
          </w:p>
        </w:tc>
        <w:tc>
          <w:tcPr>
            <w:tcW w:w="3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1,482,203</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432,002</w:t>
            </w:r>
          </w:p>
        </w:tc>
        <w:tc>
          <w:tcPr>
            <w:tcW w:w="2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314,759</w:t>
            </w:r>
          </w:p>
        </w:tc>
        <w:tc>
          <w:tcPr>
            <w:tcW w:w="220" w:type="dxa"/>
            <w:vAlign w:val="bottom"/>
          </w:tcPr>
          <w:p>
            <w:pPr>
              <w:spacing w:after="0"/>
              <w:rPr>
                <w:sz w:val="21"/>
                <w:szCs w:val="21"/>
                <w:color w:val="auto"/>
              </w:rPr>
            </w:pP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155,924</w:t>
            </w:r>
          </w:p>
        </w:tc>
        <w:tc>
          <w:tcPr>
            <w:tcW w:w="160" w:type="dxa"/>
            <w:vAlign w:val="bottom"/>
          </w:tcPr>
          <w:p>
            <w:pPr>
              <w:spacing w:after="0"/>
              <w:rPr>
                <w:sz w:val="21"/>
                <w:szCs w:val="21"/>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1"/>
                <w:szCs w:val="21"/>
                <w:color w:val="auto"/>
              </w:rPr>
            </w:pP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2,384,888</w:t>
            </w:r>
          </w:p>
        </w:tc>
      </w:tr>
      <w:tr>
        <w:trPr>
          <w:trHeight w:val="203"/>
        </w:trPr>
        <w:tc>
          <w:tcPr>
            <w:tcW w:w="3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Cost of sales</w:t>
            </w:r>
          </w:p>
        </w:tc>
        <w:tc>
          <w:tcPr>
            <w:tcW w:w="3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735,969</w:t>
            </w: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252,192</w:t>
            </w:r>
          </w:p>
        </w:tc>
        <w:tc>
          <w:tcPr>
            <w:tcW w:w="2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150,417</w:t>
            </w:r>
          </w:p>
        </w:tc>
        <w:tc>
          <w:tcPr>
            <w:tcW w:w="2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110,120</w:t>
            </w:r>
          </w:p>
        </w:tc>
        <w:tc>
          <w:tcPr>
            <w:tcW w:w="1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1,248,698</w:t>
            </w:r>
          </w:p>
        </w:tc>
      </w:tr>
      <w:tr>
        <w:trPr>
          <w:trHeight w:val="196"/>
        </w:trPr>
        <w:tc>
          <w:tcPr>
            <w:tcW w:w="3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Gross margin</w:t>
            </w:r>
          </w:p>
        </w:tc>
        <w:tc>
          <w:tcPr>
            <w:tcW w:w="38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746,234</w:t>
            </w:r>
          </w:p>
        </w:tc>
        <w:tc>
          <w:tcPr>
            <w:tcW w:w="26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179,810</w:t>
            </w:r>
          </w:p>
        </w:tc>
        <w:tc>
          <w:tcPr>
            <w:tcW w:w="20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164,342</w:t>
            </w:r>
          </w:p>
        </w:tc>
        <w:tc>
          <w:tcPr>
            <w:tcW w:w="220" w:type="dxa"/>
            <w:vAlign w:val="bottom"/>
            <w:shd w:val="clear" w:color="auto" w:fill="CFF0FC"/>
          </w:tcPr>
          <w:p>
            <w:pPr>
              <w:spacing w:after="0"/>
              <w:rPr>
                <w:sz w:val="17"/>
                <w:szCs w:val="17"/>
                <w:color w:val="auto"/>
              </w:rPr>
            </w:pPr>
          </w:p>
        </w:tc>
        <w:tc>
          <w:tcPr>
            <w:tcW w:w="9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45,804</w:t>
            </w:r>
          </w:p>
        </w:tc>
        <w:tc>
          <w:tcPr>
            <w:tcW w:w="16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11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1,136,190</w:t>
            </w:r>
          </w:p>
        </w:tc>
      </w:tr>
      <w:tr>
        <w:trPr>
          <w:trHeight w:val="203"/>
        </w:trPr>
        <w:tc>
          <w:tcPr>
            <w:tcW w:w="3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Selling and administrative expenses</w:t>
            </w:r>
          </w:p>
        </w:tc>
        <w:tc>
          <w:tcPr>
            <w:tcW w:w="3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651,830</w:t>
            </w: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162,209</w:t>
            </w:r>
          </w:p>
        </w:tc>
        <w:tc>
          <w:tcPr>
            <w:tcW w:w="2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149,978</w:t>
            </w:r>
          </w:p>
        </w:tc>
        <w:tc>
          <w:tcPr>
            <w:tcW w:w="2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46,482</w:t>
            </w:r>
          </w:p>
        </w:tc>
        <w:tc>
          <w:tcPr>
            <w:tcW w:w="1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31,595</w:t>
            </w:r>
          </w:p>
        </w:tc>
        <w:tc>
          <w:tcPr>
            <w:tcW w:w="1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1,042,094</w:t>
            </w:r>
          </w:p>
        </w:tc>
      </w:tr>
      <w:tr>
        <w:trPr>
          <w:trHeight w:val="196"/>
        </w:trPr>
        <w:tc>
          <w:tcPr>
            <w:tcW w:w="3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Segment operating income (loss)</w:t>
            </w:r>
          </w:p>
        </w:tc>
        <w:tc>
          <w:tcPr>
            <w:tcW w:w="38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94,404</w:t>
            </w:r>
          </w:p>
        </w:tc>
        <w:tc>
          <w:tcPr>
            <w:tcW w:w="26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17,601</w:t>
            </w:r>
          </w:p>
        </w:tc>
        <w:tc>
          <w:tcPr>
            <w:tcW w:w="20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14,364</w:t>
            </w:r>
          </w:p>
        </w:tc>
        <w:tc>
          <w:tcPr>
            <w:tcW w:w="22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(678 )</w:t>
            </w:r>
          </w:p>
        </w:tc>
        <w:tc>
          <w:tcPr>
            <w:tcW w:w="16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(31,595 )</w:t>
            </w:r>
          </w:p>
        </w:tc>
        <w:tc>
          <w:tcPr>
            <w:tcW w:w="120" w:type="dxa"/>
            <w:vAlign w:val="bottom"/>
            <w:shd w:val="clear" w:color="auto" w:fill="CFF0FC"/>
          </w:tcPr>
          <w:p>
            <w:pPr>
              <w:spacing w:after="0"/>
              <w:rPr>
                <w:sz w:val="17"/>
                <w:szCs w:val="17"/>
                <w:color w:val="auto"/>
              </w:rPr>
            </w:pPr>
          </w:p>
        </w:tc>
        <w:tc>
          <w:tcPr>
            <w:tcW w:w="11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94,096</w:t>
            </w:r>
          </w:p>
        </w:tc>
      </w:tr>
      <w:tr>
        <w:trPr>
          <w:trHeight w:val="203"/>
        </w:trPr>
        <w:tc>
          <w:tcPr>
            <w:tcW w:w="3660" w:type="dxa"/>
            <w:vAlign w:val="bottom"/>
            <w:tcBorders>
              <w:bottom w:val="single" w:sz="8" w:color="auto"/>
            </w:tcBorders>
          </w:tcPr>
          <w:p>
            <w:pPr>
              <w:ind w:left="20"/>
              <w:spacing w:after="0" w:line="203" w:lineRule="exact"/>
              <w:rPr>
                <w:sz w:val="20"/>
                <w:szCs w:val="20"/>
                <w:color w:val="auto"/>
              </w:rPr>
            </w:pPr>
            <w:r>
              <w:rPr>
                <w:rFonts w:ascii="Times New Roman" w:cs="Times New Roman" w:eastAsia="Times New Roman" w:hAnsi="Times New Roman"/>
                <w:sz w:val="16"/>
                <w:szCs w:val="16"/>
                <w:color w:val="auto"/>
              </w:rPr>
              <w:t>Asset impairments and other</w:t>
            </w:r>
            <w:r>
              <w:rPr>
                <w:rFonts w:ascii="Times New Roman" w:cs="Times New Roman" w:eastAsia="Times New Roman" w:hAnsi="Times New Roman"/>
                <w:sz w:val="21"/>
                <w:szCs w:val="21"/>
                <w:color w:val="auto"/>
                <w:vertAlign w:val="superscript"/>
              </w:rPr>
              <w:t>(2)</w:t>
            </w:r>
          </w:p>
        </w:tc>
        <w:tc>
          <w:tcPr>
            <w:tcW w:w="3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855</w:t>
            </w:r>
          </w:p>
        </w:tc>
        <w:tc>
          <w:tcPr>
            <w:tcW w:w="1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855</w:t>
            </w:r>
          </w:p>
        </w:tc>
      </w:tr>
      <w:tr>
        <w:trPr>
          <w:trHeight w:val="196"/>
        </w:trPr>
        <w:tc>
          <w:tcPr>
            <w:tcW w:w="3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income (loss)</w:t>
            </w:r>
          </w:p>
        </w:tc>
        <w:tc>
          <w:tcPr>
            <w:tcW w:w="38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94,404</w:t>
            </w:r>
          </w:p>
        </w:tc>
        <w:tc>
          <w:tcPr>
            <w:tcW w:w="26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17,601</w:t>
            </w:r>
          </w:p>
        </w:tc>
        <w:tc>
          <w:tcPr>
            <w:tcW w:w="20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14,364</w:t>
            </w:r>
          </w:p>
        </w:tc>
        <w:tc>
          <w:tcPr>
            <w:tcW w:w="22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(678 )</w:t>
            </w:r>
          </w:p>
        </w:tc>
        <w:tc>
          <w:tcPr>
            <w:tcW w:w="16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(32,450 )</w:t>
            </w:r>
          </w:p>
        </w:tc>
        <w:tc>
          <w:tcPr>
            <w:tcW w:w="120" w:type="dxa"/>
            <w:vAlign w:val="bottom"/>
            <w:shd w:val="clear" w:color="auto" w:fill="CFF0FC"/>
          </w:tcPr>
          <w:p>
            <w:pPr>
              <w:spacing w:after="0"/>
              <w:rPr>
                <w:sz w:val="17"/>
                <w:szCs w:val="17"/>
                <w:color w:val="auto"/>
              </w:rPr>
            </w:pPr>
          </w:p>
        </w:tc>
        <w:tc>
          <w:tcPr>
            <w:tcW w:w="11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93,241</w:t>
            </w:r>
          </w:p>
        </w:tc>
      </w:tr>
      <w:tr>
        <w:trPr>
          <w:trHeight w:val="203"/>
        </w:trPr>
        <w:tc>
          <w:tcPr>
            <w:tcW w:w="3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components of net periodic benefit cost</w:t>
            </w:r>
          </w:p>
        </w:tc>
        <w:tc>
          <w:tcPr>
            <w:tcW w:w="3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248</w:t>
            </w:r>
          </w:p>
        </w:tc>
        <w:tc>
          <w:tcPr>
            <w:tcW w:w="120" w:type="dxa"/>
            <w:vAlign w:val="bottom"/>
          </w:tcPr>
          <w:p>
            <w:pPr>
              <w:spacing w:after="0"/>
              <w:rPr>
                <w:sz w:val="17"/>
                <w:szCs w:val="17"/>
                <w:color w:val="auto"/>
              </w:rPr>
            </w:pP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248</w:t>
            </w:r>
          </w:p>
        </w:tc>
      </w:tr>
      <w:tr>
        <w:trPr>
          <w:trHeight w:val="203"/>
        </w:trPr>
        <w:tc>
          <w:tcPr>
            <w:tcW w:w="366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Interest expense, net</w:t>
            </w:r>
          </w:p>
        </w:tc>
        <w:tc>
          <w:tcPr>
            <w:tcW w:w="38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2,920</w:t>
            </w:r>
          </w:p>
        </w:tc>
        <w:tc>
          <w:tcPr>
            <w:tcW w:w="120" w:type="dxa"/>
            <w:vAlign w:val="bottom"/>
            <w:tcBorders>
              <w:bottom w:val="single" w:sz="8" w:color="auto"/>
            </w:tcBorders>
            <w:shd w:val="clear" w:color="auto" w:fill="CFF0FC"/>
          </w:tcPr>
          <w:p>
            <w:pPr>
              <w:spacing w:after="0"/>
              <w:rPr>
                <w:sz w:val="17"/>
                <w:szCs w:val="17"/>
                <w:color w:val="auto"/>
              </w:rPr>
            </w:pPr>
          </w:p>
        </w:tc>
        <w:tc>
          <w:tcPr>
            <w:tcW w:w="11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2,920</w:t>
            </w:r>
          </w:p>
        </w:tc>
      </w:tr>
      <w:tr>
        <w:trPr>
          <w:trHeight w:val="180"/>
        </w:trPr>
        <w:tc>
          <w:tcPr>
            <w:tcW w:w="3660" w:type="dxa"/>
            <w:vAlign w:val="bottom"/>
          </w:tcPr>
          <w:p>
            <w:pPr>
              <w:ind w:left="20"/>
              <w:spacing w:after="0" w:line="181" w:lineRule="exact"/>
              <w:rPr>
                <w:sz w:val="20"/>
                <w:szCs w:val="20"/>
                <w:color w:val="auto"/>
              </w:rPr>
            </w:pPr>
            <w:r>
              <w:rPr>
                <w:rFonts w:ascii="Times New Roman" w:cs="Times New Roman" w:eastAsia="Times New Roman" w:hAnsi="Times New Roman"/>
                <w:sz w:val="16"/>
                <w:szCs w:val="16"/>
                <w:b w:val="1"/>
                <w:bCs w:val="1"/>
                <w:color w:val="auto"/>
              </w:rPr>
              <w:t>Earnings (loss) from continuing operations before</w:t>
            </w:r>
          </w:p>
        </w:tc>
        <w:tc>
          <w:tcPr>
            <w:tcW w:w="3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215"/>
        </w:trPr>
        <w:tc>
          <w:tcPr>
            <w:tcW w:w="3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income taxes</w:t>
            </w:r>
          </w:p>
        </w:tc>
        <w:tc>
          <w:tcPr>
            <w:tcW w:w="3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94,404</w:t>
            </w:r>
          </w:p>
        </w:tc>
        <w:tc>
          <w:tcPr>
            <w:tcW w:w="2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17,601</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14,364</w:t>
            </w:r>
          </w:p>
        </w:tc>
        <w:tc>
          <w:tcPr>
            <w:tcW w:w="2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(678 ) $</w:t>
            </w:r>
          </w:p>
        </w:tc>
        <w:tc>
          <w:tcPr>
            <w:tcW w:w="11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(35,618 ) $</w:t>
            </w:r>
          </w:p>
        </w:tc>
        <w:tc>
          <w:tcPr>
            <w:tcW w:w="11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90,073</w:t>
            </w:r>
          </w:p>
        </w:tc>
      </w:tr>
      <w:tr>
        <w:trPr>
          <w:trHeight w:val="20"/>
        </w:trPr>
        <w:tc>
          <w:tcPr>
            <w:tcW w:w="36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86"/>
        </w:trPr>
        <w:tc>
          <w:tcPr>
            <w:tcW w:w="3660" w:type="dxa"/>
            <w:vAlign w:val="bottom"/>
            <w:shd w:val="clear" w:color="auto" w:fill="CFF0FC"/>
          </w:tcPr>
          <w:p>
            <w:pPr>
              <w:ind w:left="20"/>
              <w:spacing w:after="0" w:line="186" w:lineRule="exact"/>
              <w:rPr>
                <w:sz w:val="20"/>
                <w:szCs w:val="20"/>
                <w:color w:val="auto"/>
              </w:rPr>
            </w:pPr>
            <w:r>
              <w:rPr>
                <w:rFonts w:ascii="Times New Roman" w:cs="Times New Roman" w:eastAsia="Times New Roman" w:hAnsi="Times New Roman"/>
                <w:sz w:val="16"/>
                <w:szCs w:val="16"/>
                <w:color w:val="auto"/>
              </w:rPr>
              <w:t>Total assets at fiscal year end</w:t>
            </w:r>
            <w:r>
              <w:rPr>
                <w:rFonts w:ascii="Times New Roman" w:cs="Times New Roman" w:eastAsia="Times New Roman" w:hAnsi="Times New Roman"/>
                <w:sz w:val="21"/>
                <w:szCs w:val="21"/>
                <w:color w:val="auto"/>
                <w:vertAlign w:val="superscript"/>
              </w:rPr>
              <w:t>(3)</w:t>
            </w:r>
          </w:p>
        </w:tc>
        <w:tc>
          <w:tcPr>
            <w:tcW w:w="38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732,124</w:t>
            </w:r>
          </w:p>
        </w:tc>
        <w:tc>
          <w:tcPr>
            <w:tcW w:w="26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198,813</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194,417</w:t>
            </w:r>
          </w:p>
        </w:tc>
        <w:tc>
          <w:tcPr>
            <w:tcW w:w="2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74,526</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256,546</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1,456,426</w:t>
            </w:r>
          </w:p>
        </w:tc>
      </w:tr>
      <w:tr>
        <w:trPr>
          <w:trHeight w:val="203"/>
        </w:trPr>
        <w:tc>
          <w:tcPr>
            <w:tcW w:w="3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28,107</w:t>
            </w: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6,134</w:t>
            </w:r>
          </w:p>
        </w:tc>
        <w:tc>
          <w:tcPr>
            <w:tcW w:w="2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4,352</w:t>
            </w:r>
          </w:p>
        </w:tc>
        <w:tc>
          <w:tcPr>
            <w:tcW w:w="220" w:type="dxa"/>
            <w:vAlign w:val="bottom"/>
          </w:tcPr>
          <w:p>
            <w:pPr>
              <w:spacing w:after="0"/>
              <w:rPr>
                <w:sz w:val="17"/>
                <w:szCs w:val="17"/>
                <w:color w:val="auto"/>
              </w:rPr>
            </w:pPr>
          </w:p>
        </w:tc>
        <w:tc>
          <w:tcPr>
            <w:tcW w:w="9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898</w:t>
            </w:r>
          </w:p>
        </w:tc>
        <w:tc>
          <w:tcPr>
            <w:tcW w:w="160" w:type="dxa"/>
            <w:vAlign w:val="bottom"/>
          </w:tcPr>
          <w:p>
            <w:pPr>
              <w:spacing w:after="0"/>
              <w:rPr>
                <w:sz w:val="17"/>
                <w:szCs w:val="17"/>
                <w:color w:val="auto"/>
              </w:rPr>
            </w:pPr>
          </w:p>
        </w:tc>
        <w:tc>
          <w:tcPr>
            <w:tcW w:w="10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3,327</w:t>
            </w:r>
          </w:p>
        </w:tc>
        <w:tc>
          <w:tcPr>
            <w:tcW w:w="120" w:type="dxa"/>
            <w:vAlign w:val="bottom"/>
          </w:tcPr>
          <w:p>
            <w:pPr>
              <w:spacing w:after="0"/>
              <w:rPr>
                <w:sz w:val="17"/>
                <w:szCs w:val="17"/>
                <w:color w:val="auto"/>
              </w:rPr>
            </w:pP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42,818</w:t>
            </w:r>
          </w:p>
        </w:tc>
      </w:tr>
      <w:tr>
        <w:trPr>
          <w:trHeight w:val="243"/>
        </w:trPr>
        <w:tc>
          <w:tcPr>
            <w:tcW w:w="366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Capital expenditures</w:t>
            </w:r>
          </w:p>
        </w:tc>
        <w:tc>
          <w:tcPr>
            <w:tcW w:w="38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27,237</w:t>
            </w:r>
          </w:p>
        </w:tc>
        <w:tc>
          <w:tcPr>
            <w:tcW w:w="26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10,330</w:t>
            </w:r>
          </w:p>
        </w:tc>
        <w:tc>
          <w:tcPr>
            <w:tcW w:w="20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8,154</w:t>
            </w:r>
          </w:p>
        </w:tc>
        <w:tc>
          <w:tcPr>
            <w:tcW w:w="22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1,429</w:t>
            </w:r>
          </w:p>
        </w:tc>
        <w:tc>
          <w:tcPr>
            <w:tcW w:w="16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12,784</w:t>
            </w:r>
          </w:p>
        </w:tc>
        <w:tc>
          <w:tcPr>
            <w:tcW w:w="12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59,934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-1893570</wp:posOffset>
            </wp:positionV>
            <wp:extent cx="7132320" cy="13716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74" w:lineRule="exact"/>
        <w:rPr>
          <w:sz w:val="20"/>
          <w:szCs w:val="20"/>
          <w:color w:val="auto"/>
        </w:rPr>
      </w:pPr>
    </w:p>
    <w:p>
      <w:pPr>
        <w:ind w:left="380" w:hanging="372"/>
        <w:spacing w:after="0" w:line="220" w:lineRule="auto"/>
        <w:tabs>
          <w:tab w:leader="none" w:pos="380" w:val="left"/>
        </w:tabs>
        <w:numPr>
          <w:ilvl w:val="0"/>
          <w:numId w:val="2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Net sales in North America and in the United Kingdom, which includes the Republic of Ireland, accounted for 82% and 18%, respectively, of our net sales for Fiscal 2023.</w:t>
      </w:r>
    </w:p>
    <w:p>
      <w:pPr>
        <w:spacing w:after="0" w:line="1" w:lineRule="exact"/>
        <w:rPr>
          <w:rFonts w:ascii="Times New Roman" w:cs="Times New Roman" w:eastAsia="Times New Roman" w:hAnsi="Times New Roman"/>
          <w:sz w:val="23"/>
          <w:szCs w:val="23"/>
          <w:color w:val="auto"/>
          <w:vertAlign w:val="superscript"/>
        </w:rPr>
      </w:pPr>
    </w:p>
    <w:p>
      <w:pPr>
        <w:jc w:val="both"/>
        <w:ind w:left="380" w:hanging="372"/>
        <w:spacing w:after="0" w:line="222" w:lineRule="auto"/>
        <w:tabs>
          <w:tab w:leader="none" w:pos="380" w:val="left"/>
        </w:tabs>
        <w:numPr>
          <w:ilvl w:val="0"/>
          <w:numId w:val="2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Asset impairments and other includes a $1.6 million charge for asset impairments, of which $0.8 million is in the Journeys Group, $0.5 million is in the Johnston &amp; Murphy Group, $0.2 million is in the Schuh Group and $0.1 million is in the Genesco Brands Group, partially offset by a $0.7 million gain on the termination of the pension plan.</w:t>
      </w:r>
    </w:p>
    <w:p>
      <w:pPr>
        <w:spacing w:after="0" w:line="1" w:lineRule="exact"/>
        <w:rPr>
          <w:rFonts w:ascii="Times New Roman" w:cs="Times New Roman" w:eastAsia="Times New Roman" w:hAnsi="Times New Roman"/>
          <w:sz w:val="23"/>
          <w:szCs w:val="23"/>
          <w:color w:val="auto"/>
          <w:vertAlign w:val="superscript"/>
        </w:rPr>
      </w:pPr>
    </w:p>
    <w:p>
      <w:pPr>
        <w:ind w:left="380" w:hanging="372"/>
        <w:spacing w:after="0" w:line="185" w:lineRule="auto"/>
        <w:tabs>
          <w:tab w:leader="none" w:pos="380" w:val="left"/>
        </w:tabs>
        <w:numPr>
          <w:ilvl w:val="0"/>
          <w:numId w:val="2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7"/>
          <w:szCs w:val="17"/>
          <w:color w:val="auto"/>
        </w:rPr>
        <w:t>Of our $704.7 million of long-lived assets, $93.3 million and $18.8 million relate to long-lived assets in the U.K. and Canada, respectively.</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81" w:name="page82"/>
    <w:bookmarkEnd w:id="81"/>
    <w:p>
      <w:pPr>
        <w:ind w:right="1020"/>
        <w:spacing w:after="0" w:line="461" w:lineRule="auto"/>
        <w:rPr>
          <w:sz w:val="20"/>
          <w:szCs w:val="20"/>
          <w:color w:val="auto"/>
        </w:rPr>
      </w:pPr>
      <w:r>
        <w:rPr>
          <w:rFonts w:ascii="Times New Roman" w:cs="Times New Roman" w:eastAsia="Times New Roman" w:hAnsi="Times New Roman"/>
          <w:sz w:val="18"/>
          <w:szCs w:val="18"/>
          <w:b w:val="1"/>
          <w:bCs w:val="1"/>
          <w:u w:val="single" w:color="auto"/>
          <w:color w:val="auto"/>
        </w:rPr>
        <w:t xml:space="preserve">ITEM 9. CHANGES IN AND DISAGREEMENTS WITH ACCOUNTANTS ON ACCOUNTING AND FINANCIAL DISCLOSURE </w:t>
      </w:r>
      <w:r>
        <w:rPr>
          <w:rFonts w:ascii="Times New Roman" w:cs="Times New Roman" w:eastAsia="Times New Roman" w:hAnsi="Times New Roman"/>
          <w:sz w:val="18"/>
          <w:szCs w:val="18"/>
          <w:color w:val="auto"/>
        </w:rPr>
        <w:t>None.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9A. CONTROLS AND PROCEDURES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established disclosure controls and procedures to ensure that material information relating to us, including our consolidated subsidiaries, is made known to the officers who certify our financial reports and to other members of senior management and Board of Directors.</w:t>
      </w:r>
    </w:p>
    <w:p>
      <w:pPr>
        <w:spacing w:after="0" w:line="13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Based on their evaluation as of February 1, 2025, the principal executive officer and principal financial officer of the Company have concluded that our disclosure controls and procedures as defined in Rules 13a-15(e) and 15d-15(e) under the Securities Exchange Act of 1934, as amended (the "Exchange Act"), were effective to ensure that the information required to be disclosed by us in the reports that we file or submit under the Exchange Act is (i) recorded, processed, summarized and reported, within the time periods specified in the SEC’s rules and forms, and (ii) accumulated and communicated to our management, including the principal executive and principal financial officers, or persons performing similar functions, as appropriate, to allow timely decisions regarding required disclosure.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Management’s annual report on internal control over financial reporting.</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Management of the Company is responsible for establishing and maintaining effective internal control over financial reporting as defined in Rule 13a-15(f) under the Exchange Act. Our internal control over financial reporting is a process designed to provide reasonable assurance regarding the reliability of financial reporting and the preparation of financial statements for external purposes in accordance with generally accepted accounting principles.</w:t>
      </w:r>
    </w:p>
    <w:p>
      <w:pPr>
        <w:spacing w:after="0" w:line="14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Therefore, even those systems determined to be effective can provide only reasonable assurance with respect to financial statement preparation and presentation.</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Management assessed the effectiveness of our internal control over financial reporting as of February 1, 2025. In making this assessment, management used the criteria set forth in </w:t>
      </w:r>
      <w:r>
        <w:rPr>
          <w:rFonts w:ascii="Times New Roman" w:cs="Times New Roman" w:eastAsia="Times New Roman" w:hAnsi="Times New Roman"/>
          <w:sz w:val="18"/>
          <w:szCs w:val="18"/>
          <w:i w:val="1"/>
          <w:iCs w:val="1"/>
          <w:color w:val="auto"/>
        </w:rPr>
        <w:t>Internal Control – Integrated Framework</w:t>
      </w:r>
      <w:r>
        <w:rPr>
          <w:rFonts w:ascii="Times New Roman" w:cs="Times New Roman" w:eastAsia="Times New Roman" w:hAnsi="Times New Roman"/>
          <w:sz w:val="18"/>
          <w:szCs w:val="18"/>
          <w:color w:val="auto"/>
        </w:rPr>
        <w:t xml:space="preserve"> (2013) drafted by the Committee of Sponsoring Organizations of the Treadway Commission (COSO). Based on this assessment, management believes that, as of February 1, 2025, our internal control over financial reporting was effective based on those criteria.</w:t>
      </w:r>
    </w:p>
    <w:p>
      <w:pPr>
        <w:spacing w:after="0" w:line="1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Ernst &amp; Young LLP, the independent registered public accounting firm who also audited our Consolidated Financial Statements, has issued an attestation report on the Company’s effectiveness of internal control over financial reporting which is included herein. The report by Ernst &amp; Young LLP is included in Item 8.</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that occurred during our last fiscal quarter that have materially affected or are reasonably likely to materially affect our internal control over financial reporting.</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9B. OTHER INFORMATION</w:t>
      </w:r>
    </w:p>
    <w:p>
      <w:pPr>
        <w:spacing w:after="0" w:line="202"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During the fourth quarter of Fiscal 2025, no director or Section 16 officer of the Company adopted or terminated any Rule 10b5-1 trading arrangements or non-Rule 10b5-1 trading arrangements (in each case, as defined in Item 408 (a) and (c) of Regulation S-K).</w:t>
      </w: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9C. DISCLOSURE REGARDING FOREIGN JURISDICTIONS THAT PREVENT INSPECTIONS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7"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10. DIRECTORS, EXECUTIVE OFFICERS AND CORPORATE GOVERNANCE</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Certain information required by this item is incorporated herein by reference to the sections entitled “Election of Directors,” “Corporate Governance” and “Delinquent Section 16(a) Reports” in our definitive proxy statement for our annual meeting of shareholders to be held June 26, 2025, to be filed with the Securities and Exchange Commission. Pursuant to General Instruction G(3), certain information concerning our executive officers appears under Part I, Item 1, “Information about Our Executive Officers” in this report.</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Code of Ethics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We have a code of ethics (the “Code of Ethics”) that applies to all of our directors, officers (including our chief executive officer and chief financial officer) and employees. We have made the Code of Ethics available and intend to post any legally required amendments to, or waivers of, such Code of Ethics on our website at </w:t>
      </w:r>
      <w:r>
        <w:rPr>
          <w:rFonts w:ascii="Times New Roman" w:cs="Times New Roman" w:eastAsia="Times New Roman" w:hAnsi="Times New Roman"/>
          <w:sz w:val="18"/>
          <w:szCs w:val="18"/>
          <w:u w:val="single" w:color="auto"/>
          <w:color w:val="auto"/>
        </w:rPr>
        <w:t>http://www.genesco.com</w:t>
      </w:r>
      <w:r>
        <w:rPr>
          <w:rFonts w:ascii="Times New Roman" w:cs="Times New Roman" w:eastAsia="Times New Roman" w:hAnsi="Times New Roman"/>
          <w:sz w:val="18"/>
          <w:szCs w:val="18"/>
          <w:color w:val="auto"/>
        </w:rPr>
        <w:t>. Our website address is provided as an inactive textual reference only. The information provided on our website is not a part of this report, and therefore is not incorporated herein by reference.</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Insider Trading Policy</w:t>
      </w:r>
    </w:p>
    <w:p>
      <w:pPr>
        <w:spacing w:after="0" w:line="20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insider trading policies and procedures that govern the purchase, sale and other dispositions of its securities by directors, officers, employees and the Company (the "Insider Trading Policy"). We believe the Insider Trading Policy is reasonably designed to promote compliance with insider trading laws, rules and regulations and applicable listing standards. The foregoing is a summary of our insider trading policies and procedures does not purport to be complete and is qualified by reference to our Insider Trading Policy filed as Exhibit 19 to this Annual Report on Form 10-K.</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11. EXECUTIVE COMPENSATION</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the sections entitled “Director Compensation,” “Compensation Committee Report” and “Executive Compensation” in our definitive proxy statement for our annual meeting of shareholders to be held June 26, 2025, to be filed with the Securities and Exchange Commission.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3" w:right="339" w:bottom="1440" w:gutter="0" w:footer="0" w:header="0"/>
        </w:sectPr>
      </w:pPr>
    </w:p>
    <w:bookmarkStart w:id="83" w:name="page84"/>
    <w:bookmarkEnd w:id="83"/>
    <w:p>
      <w:pPr>
        <w:ind w:right="580"/>
        <w:spacing w:after="0" w:line="286" w:lineRule="auto"/>
        <w:rPr>
          <w:sz w:val="20"/>
          <w:szCs w:val="20"/>
          <w:color w:val="auto"/>
        </w:rPr>
      </w:pPr>
      <w:r>
        <w:rPr>
          <w:rFonts w:ascii="Times New Roman" w:cs="Times New Roman" w:eastAsia="Times New Roman" w:hAnsi="Times New Roman"/>
          <w:sz w:val="18"/>
          <w:szCs w:val="18"/>
          <w:b w:val="1"/>
          <w:bCs w:val="1"/>
          <w:u w:val="single" w:color="auto"/>
          <w:color w:val="auto"/>
        </w:rPr>
        <w:t>ITEM 12. SECURITY OWNERSHIP OF CERTAIN BENEFICIAL OWNERS AND MANAGEMENT AND RELATED STOCKHOLDER MATTERS</w:t>
      </w:r>
    </w:p>
    <w:p>
      <w:pPr>
        <w:spacing w:after="0" w:line="13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Certain information required by this item is incorporated herein by reference to the section entitled “Security Ownership of Officers, Directors and Principal Shareholders” in our definitive proxy statement for our annual meeting of shareholders to be held June 26, 2025, to be filed with the Securities and Exchange Commission.</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certain information as of February 1, 2025 with respect to our equity compensation plans: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08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780" w:type="dxa"/>
            <w:vAlign w:val="bottom"/>
          </w:tcPr>
          <w:p>
            <w:pPr>
              <w:jc w:val="right"/>
              <w:ind w:right="37"/>
              <w:spacing w:after="0"/>
              <w:rPr>
                <w:sz w:val="20"/>
                <w:szCs w:val="20"/>
                <w:color w:val="auto"/>
              </w:rPr>
            </w:pPr>
            <w:r>
              <w:rPr>
                <w:rFonts w:ascii="Times New Roman" w:cs="Times New Roman" w:eastAsia="Times New Roman" w:hAnsi="Times New Roman"/>
                <w:sz w:val="16"/>
                <w:szCs w:val="16"/>
                <w:b w:val="1"/>
                <w:bCs w:val="1"/>
                <w:color w:val="auto"/>
              </w:rPr>
              <w:t>(c)</w:t>
            </w:r>
          </w:p>
        </w:tc>
      </w:tr>
      <w:tr>
        <w:trPr>
          <w:trHeight w:val="203"/>
        </w:trPr>
        <w:tc>
          <w:tcPr>
            <w:tcW w:w="508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780" w:type="dxa"/>
            <w:vAlign w:val="bottom"/>
          </w:tcPr>
          <w:p>
            <w:pPr>
              <w:jc w:val="right"/>
              <w:ind w:right="37"/>
              <w:spacing w:after="0"/>
              <w:rPr>
                <w:sz w:val="20"/>
                <w:szCs w:val="20"/>
                <w:color w:val="auto"/>
              </w:rPr>
            </w:pPr>
            <w:r>
              <w:rPr>
                <w:rFonts w:ascii="Times New Roman" w:cs="Times New Roman" w:eastAsia="Times New Roman" w:hAnsi="Times New Roman"/>
                <w:sz w:val="16"/>
                <w:szCs w:val="16"/>
                <w:b w:val="1"/>
                <w:bCs w:val="1"/>
                <w:color w:val="auto"/>
              </w:rPr>
              <w:t>Number of</w:t>
            </w:r>
          </w:p>
        </w:tc>
      </w:tr>
      <w:tr>
        <w:trPr>
          <w:trHeight w:val="203"/>
        </w:trPr>
        <w:tc>
          <w:tcPr>
            <w:tcW w:w="5080" w:type="dxa"/>
            <w:vAlign w:val="bottom"/>
          </w:tcPr>
          <w:p>
            <w:pPr>
              <w:spacing w:after="0"/>
              <w:rPr>
                <w:sz w:val="17"/>
                <w:szCs w:val="17"/>
                <w:color w:val="auto"/>
              </w:rPr>
            </w:pPr>
          </w:p>
        </w:tc>
        <w:tc>
          <w:tcPr>
            <w:tcW w:w="2260" w:type="dxa"/>
            <w:vAlign w:val="bottom"/>
          </w:tcPr>
          <w:p>
            <w:pPr>
              <w:jc w:val="right"/>
              <w:ind w:right="57"/>
              <w:spacing w:after="0"/>
              <w:rPr>
                <w:sz w:val="20"/>
                <w:szCs w:val="20"/>
                <w:color w:val="auto"/>
              </w:rPr>
            </w:pPr>
            <w:r>
              <w:rPr>
                <w:rFonts w:ascii="Times New Roman" w:cs="Times New Roman" w:eastAsia="Times New Roman" w:hAnsi="Times New Roman"/>
                <w:sz w:val="16"/>
                <w:szCs w:val="16"/>
                <w:b w:val="1"/>
                <w:bCs w:val="1"/>
                <w:color w:val="auto"/>
              </w:rPr>
              <w:t>(a)</w:t>
            </w:r>
          </w:p>
        </w:tc>
        <w:tc>
          <w:tcPr>
            <w:tcW w:w="4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780" w:type="dxa"/>
            <w:vAlign w:val="bottom"/>
          </w:tcPr>
          <w:p>
            <w:pPr>
              <w:jc w:val="right"/>
              <w:ind w:right="37"/>
              <w:spacing w:after="0"/>
              <w:rPr>
                <w:sz w:val="20"/>
                <w:szCs w:val="20"/>
                <w:color w:val="auto"/>
              </w:rPr>
            </w:pPr>
            <w:r>
              <w:rPr>
                <w:rFonts w:ascii="Times New Roman" w:cs="Times New Roman" w:eastAsia="Times New Roman" w:hAnsi="Times New Roman"/>
                <w:sz w:val="16"/>
                <w:szCs w:val="16"/>
                <w:b w:val="1"/>
                <w:bCs w:val="1"/>
                <w:color w:val="auto"/>
              </w:rPr>
              <w:t>securities</w:t>
            </w:r>
          </w:p>
        </w:tc>
      </w:tr>
      <w:tr>
        <w:trPr>
          <w:trHeight w:val="203"/>
        </w:trPr>
        <w:tc>
          <w:tcPr>
            <w:tcW w:w="5080" w:type="dxa"/>
            <w:vAlign w:val="bottom"/>
          </w:tcPr>
          <w:p>
            <w:pPr>
              <w:spacing w:after="0"/>
              <w:rPr>
                <w:sz w:val="17"/>
                <w:szCs w:val="17"/>
                <w:color w:val="auto"/>
              </w:rPr>
            </w:pPr>
          </w:p>
        </w:tc>
        <w:tc>
          <w:tcPr>
            <w:tcW w:w="2260" w:type="dxa"/>
            <w:vAlign w:val="bottom"/>
          </w:tcPr>
          <w:p>
            <w:pPr>
              <w:jc w:val="right"/>
              <w:ind w:right="57"/>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4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780" w:type="dxa"/>
            <w:vAlign w:val="bottom"/>
          </w:tcPr>
          <w:p>
            <w:pPr>
              <w:jc w:val="right"/>
              <w:ind w:right="37"/>
              <w:spacing w:after="0"/>
              <w:rPr>
                <w:sz w:val="20"/>
                <w:szCs w:val="20"/>
                <w:color w:val="auto"/>
              </w:rPr>
            </w:pPr>
            <w:r>
              <w:rPr>
                <w:rFonts w:ascii="Times New Roman" w:cs="Times New Roman" w:eastAsia="Times New Roman" w:hAnsi="Times New Roman"/>
                <w:sz w:val="16"/>
                <w:szCs w:val="16"/>
                <w:b w:val="1"/>
                <w:bCs w:val="1"/>
                <w:color w:val="auto"/>
              </w:rPr>
              <w:t>remaining available</w:t>
            </w:r>
          </w:p>
        </w:tc>
      </w:tr>
      <w:tr>
        <w:trPr>
          <w:trHeight w:val="203"/>
        </w:trPr>
        <w:tc>
          <w:tcPr>
            <w:tcW w:w="5080" w:type="dxa"/>
            <w:vAlign w:val="bottom"/>
          </w:tcPr>
          <w:p>
            <w:pPr>
              <w:spacing w:after="0"/>
              <w:rPr>
                <w:sz w:val="17"/>
                <w:szCs w:val="17"/>
                <w:color w:val="auto"/>
              </w:rPr>
            </w:pPr>
          </w:p>
        </w:tc>
        <w:tc>
          <w:tcPr>
            <w:tcW w:w="2260" w:type="dxa"/>
            <w:vAlign w:val="bottom"/>
          </w:tcPr>
          <w:p>
            <w:pPr>
              <w:jc w:val="right"/>
              <w:ind w:right="57"/>
              <w:spacing w:after="0"/>
              <w:rPr>
                <w:sz w:val="20"/>
                <w:szCs w:val="20"/>
                <w:color w:val="auto"/>
              </w:rPr>
            </w:pPr>
            <w:r>
              <w:rPr>
                <w:rFonts w:ascii="Times New Roman" w:cs="Times New Roman" w:eastAsia="Times New Roman" w:hAnsi="Times New Roman"/>
                <w:sz w:val="16"/>
                <w:szCs w:val="16"/>
                <w:b w:val="1"/>
                <w:bCs w:val="1"/>
                <w:color w:val="auto"/>
              </w:rPr>
              <w:t>securities to</w:t>
            </w:r>
          </w:p>
        </w:tc>
        <w:tc>
          <w:tcPr>
            <w:tcW w:w="420" w:type="dxa"/>
            <w:vAlign w:val="bottom"/>
          </w:tcPr>
          <w:p>
            <w:pPr>
              <w:spacing w:after="0"/>
              <w:rPr>
                <w:sz w:val="17"/>
                <w:szCs w:val="17"/>
                <w:color w:val="auto"/>
              </w:rPr>
            </w:pPr>
          </w:p>
        </w:tc>
        <w:tc>
          <w:tcPr>
            <w:tcW w:w="1700" w:type="dxa"/>
            <w:vAlign w:val="bottom"/>
          </w:tcPr>
          <w:p>
            <w:pPr>
              <w:jc w:val="right"/>
              <w:ind w:right="196"/>
              <w:spacing w:after="0"/>
              <w:rPr>
                <w:sz w:val="20"/>
                <w:szCs w:val="20"/>
                <w:color w:val="auto"/>
              </w:rPr>
            </w:pPr>
            <w:r>
              <w:rPr>
                <w:rFonts w:ascii="Times New Roman" w:cs="Times New Roman" w:eastAsia="Times New Roman" w:hAnsi="Times New Roman"/>
                <w:sz w:val="16"/>
                <w:szCs w:val="16"/>
                <w:b w:val="1"/>
                <w:bCs w:val="1"/>
                <w:color w:val="auto"/>
              </w:rPr>
              <w:t>(b)</w:t>
            </w:r>
          </w:p>
        </w:tc>
        <w:tc>
          <w:tcPr>
            <w:tcW w:w="1780" w:type="dxa"/>
            <w:vAlign w:val="bottom"/>
          </w:tcPr>
          <w:p>
            <w:pPr>
              <w:jc w:val="right"/>
              <w:ind w:right="37"/>
              <w:spacing w:after="0"/>
              <w:rPr>
                <w:sz w:val="20"/>
                <w:szCs w:val="20"/>
                <w:color w:val="auto"/>
              </w:rPr>
            </w:pPr>
            <w:r>
              <w:rPr>
                <w:rFonts w:ascii="Times New Roman" w:cs="Times New Roman" w:eastAsia="Times New Roman" w:hAnsi="Times New Roman"/>
                <w:sz w:val="16"/>
                <w:szCs w:val="16"/>
                <w:b w:val="1"/>
                <w:bCs w:val="1"/>
                <w:color w:val="auto"/>
              </w:rPr>
              <w:t>for future issuance</w:t>
            </w:r>
          </w:p>
        </w:tc>
      </w:tr>
      <w:tr>
        <w:trPr>
          <w:trHeight w:val="203"/>
        </w:trPr>
        <w:tc>
          <w:tcPr>
            <w:tcW w:w="5080" w:type="dxa"/>
            <w:vAlign w:val="bottom"/>
          </w:tcPr>
          <w:p>
            <w:pPr>
              <w:spacing w:after="0"/>
              <w:rPr>
                <w:sz w:val="17"/>
                <w:szCs w:val="17"/>
                <w:color w:val="auto"/>
              </w:rPr>
            </w:pPr>
          </w:p>
        </w:tc>
        <w:tc>
          <w:tcPr>
            <w:tcW w:w="2260" w:type="dxa"/>
            <w:vAlign w:val="bottom"/>
          </w:tcPr>
          <w:p>
            <w:pPr>
              <w:jc w:val="right"/>
              <w:ind w:right="57"/>
              <w:spacing w:after="0"/>
              <w:rPr>
                <w:sz w:val="20"/>
                <w:szCs w:val="20"/>
                <w:color w:val="auto"/>
              </w:rPr>
            </w:pPr>
            <w:r>
              <w:rPr>
                <w:rFonts w:ascii="Times New Roman" w:cs="Times New Roman" w:eastAsia="Times New Roman" w:hAnsi="Times New Roman"/>
                <w:sz w:val="16"/>
                <w:szCs w:val="16"/>
                <w:b w:val="1"/>
                <w:bCs w:val="1"/>
                <w:color w:val="auto"/>
              </w:rPr>
              <w:t>be issued</w:t>
            </w:r>
          </w:p>
        </w:tc>
        <w:tc>
          <w:tcPr>
            <w:tcW w:w="420" w:type="dxa"/>
            <w:vAlign w:val="bottom"/>
          </w:tcPr>
          <w:p>
            <w:pPr>
              <w:spacing w:after="0"/>
              <w:rPr>
                <w:sz w:val="17"/>
                <w:szCs w:val="17"/>
                <w:color w:val="auto"/>
              </w:rPr>
            </w:pPr>
          </w:p>
        </w:tc>
        <w:tc>
          <w:tcPr>
            <w:tcW w:w="1700" w:type="dxa"/>
            <w:vAlign w:val="bottom"/>
          </w:tcPr>
          <w:p>
            <w:pPr>
              <w:jc w:val="right"/>
              <w:ind w:right="196"/>
              <w:spacing w:after="0"/>
              <w:rPr>
                <w:sz w:val="20"/>
                <w:szCs w:val="20"/>
                <w:color w:val="auto"/>
              </w:rPr>
            </w:pPr>
            <w:r>
              <w:rPr>
                <w:rFonts w:ascii="Times New Roman" w:cs="Times New Roman" w:eastAsia="Times New Roman" w:hAnsi="Times New Roman"/>
                <w:sz w:val="16"/>
                <w:szCs w:val="16"/>
                <w:b w:val="1"/>
                <w:bCs w:val="1"/>
                <w:color w:val="auto"/>
              </w:rPr>
              <w:t>Weighted-average</w:t>
            </w:r>
          </w:p>
        </w:tc>
        <w:tc>
          <w:tcPr>
            <w:tcW w:w="1780" w:type="dxa"/>
            <w:vAlign w:val="bottom"/>
          </w:tcPr>
          <w:p>
            <w:pPr>
              <w:jc w:val="right"/>
              <w:ind w:right="37"/>
              <w:spacing w:after="0"/>
              <w:rPr>
                <w:sz w:val="20"/>
                <w:szCs w:val="20"/>
                <w:color w:val="auto"/>
              </w:rPr>
            </w:pPr>
            <w:r>
              <w:rPr>
                <w:rFonts w:ascii="Times New Roman" w:cs="Times New Roman" w:eastAsia="Times New Roman" w:hAnsi="Times New Roman"/>
                <w:sz w:val="16"/>
                <w:szCs w:val="16"/>
                <w:b w:val="1"/>
                <w:bCs w:val="1"/>
                <w:color w:val="auto"/>
              </w:rPr>
              <w:t>under equity</w:t>
            </w:r>
          </w:p>
        </w:tc>
      </w:tr>
      <w:tr>
        <w:trPr>
          <w:trHeight w:val="203"/>
        </w:trPr>
        <w:tc>
          <w:tcPr>
            <w:tcW w:w="5080" w:type="dxa"/>
            <w:vAlign w:val="bottom"/>
          </w:tcPr>
          <w:p>
            <w:pPr>
              <w:spacing w:after="0"/>
              <w:rPr>
                <w:sz w:val="17"/>
                <w:szCs w:val="17"/>
                <w:color w:val="auto"/>
              </w:rPr>
            </w:pPr>
          </w:p>
        </w:tc>
        <w:tc>
          <w:tcPr>
            <w:tcW w:w="2260" w:type="dxa"/>
            <w:vAlign w:val="bottom"/>
          </w:tcPr>
          <w:p>
            <w:pPr>
              <w:jc w:val="right"/>
              <w:ind w:right="57"/>
              <w:spacing w:after="0"/>
              <w:rPr>
                <w:sz w:val="20"/>
                <w:szCs w:val="20"/>
                <w:color w:val="auto"/>
              </w:rPr>
            </w:pPr>
            <w:r>
              <w:rPr>
                <w:rFonts w:ascii="Times New Roman" w:cs="Times New Roman" w:eastAsia="Times New Roman" w:hAnsi="Times New Roman"/>
                <w:sz w:val="16"/>
                <w:szCs w:val="16"/>
                <w:b w:val="1"/>
                <w:bCs w:val="1"/>
                <w:color w:val="auto"/>
              </w:rPr>
              <w:t>upon exercise of</w:t>
            </w:r>
          </w:p>
        </w:tc>
        <w:tc>
          <w:tcPr>
            <w:tcW w:w="420" w:type="dxa"/>
            <w:vAlign w:val="bottom"/>
          </w:tcPr>
          <w:p>
            <w:pPr>
              <w:spacing w:after="0"/>
              <w:rPr>
                <w:sz w:val="17"/>
                <w:szCs w:val="17"/>
                <w:color w:val="auto"/>
              </w:rPr>
            </w:pPr>
          </w:p>
        </w:tc>
        <w:tc>
          <w:tcPr>
            <w:tcW w:w="1700" w:type="dxa"/>
            <w:vAlign w:val="bottom"/>
          </w:tcPr>
          <w:p>
            <w:pPr>
              <w:jc w:val="right"/>
              <w:ind w:right="196"/>
              <w:spacing w:after="0"/>
              <w:rPr>
                <w:sz w:val="20"/>
                <w:szCs w:val="20"/>
                <w:color w:val="auto"/>
              </w:rPr>
            </w:pPr>
            <w:r>
              <w:rPr>
                <w:rFonts w:ascii="Times New Roman" w:cs="Times New Roman" w:eastAsia="Times New Roman" w:hAnsi="Times New Roman"/>
                <w:sz w:val="16"/>
                <w:szCs w:val="16"/>
                <w:b w:val="1"/>
                <w:bCs w:val="1"/>
                <w:color w:val="auto"/>
              </w:rPr>
              <w:t>exercise price of</w:t>
            </w:r>
          </w:p>
        </w:tc>
        <w:tc>
          <w:tcPr>
            <w:tcW w:w="1780" w:type="dxa"/>
            <w:vAlign w:val="bottom"/>
          </w:tcPr>
          <w:p>
            <w:pPr>
              <w:jc w:val="right"/>
              <w:ind w:right="37"/>
              <w:spacing w:after="0"/>
              <w:rPr>
                <w:sz w:val="20"/>
                <w:szCs w:val="20"/>
                <w:color w:val="auto"/>
              </w:rPr>
            </w:pPr>
            <w:r>
              <w:rPr>
                <w:rFonts w:ascii="Times New Roman" w:cs="Times New Roman" w:eastAsia="Times New Roman" w:hAnsi="Times New Roman"/>
                <w:sz w:val="16"/>
                <w:szCs w:val="16"/>
                <w:b w:val="1"/>
                <w:bCs w:val="1"/>
                <w:color w:val="auto"/>
              </w:rPr>
              <w:t>compensation</w:t>
            </w:r>
          </w:p>
        </w:tc>
      </w:tr>
      <w:tr>
        <w:trPr>
          <w:trHeight w:val="203"/>
        </w:trPr>
        <w:tc>
          <w:tcPr>
            <w:tcW w:w="5080" w:type="dxa"/>
            <w:vAlign w:val="bottom"/>
          </w:tcPr>
          <w:p>
            <w:pPr>
              <w:spacing w:after="0"/>
              <w:rPr>
                <w:sz w:val="17"/>
                <w:szCs w:val="17"/>
                <w:color w:val="auto"/>
              </w:rPr>
            </w:pPr>
          </w:p>
        </w:tc>
        <w:tc>
          <w:tcPr>
            <w:tcW w:w="2260" w:type="dxa"/>
            <w:vAlign w:val="bottom"/>
          </w:tcPr>
          <w:p>
            <w:pPr>
              <w:jc w:val="right"/>
              <w:ind w:right="57"/>
              <w:spacing w:after="0"/>
              <w:rPr>
                <w:sz w:val="20"/>
                <w:szCs w:val="20"/>
                <w:color w:val="auto"/>
              </w:rPr>
            </w:pPr>
            <w:r>
              <w:rPr>
                <w:rFonts w:ascii="Times New Roman" w:cs="Times New Roman" w:eastAsia="Times New Roman" w:hAnsi="Times New Roman"/>
                <w:sz w:val="16"/>
                <w:szCs w:val="16"/>
                <w:b w:val="1"/>
                <w:bCs w:val="1"/>
                <w:color w:val="auto"/>
              </w:rPr>
              <w:t>outstanding options,</w:t>
            </w:r>
          </w:p>
        </w:tc>
        <w:tc>
          <w:tcPr>
            <w:tcW w:w="420" w:type="dxa"/>
            <w:vAlign w:val="bottom"/>
          </w:tcPr>
          <w:p>
            <w:pPr>
              <w:spacing w:after="0"/>
              <w:rPr>
                <w:sz w:val="17"/>
                <w:szCs w:val="17"/>
                <w:color w:val="auto"/>
              </w:rPr>
            </w:pPr>
          </w:p>
        </w:tc>
        <w:tc>
          <w:tcPr>
            <w:tcW w:w="1700" w:type="dxa"/>
            <w:vAlign w:val="bottom"/>
          </w:tcPr>
          <w:p>
            <w:pPr>
              <w:jc w:val="right"/>
              <w:ind w:right="196"/>
              <w:spacing w:after="0"/>
              <w:rPr>
                <w:sz w:val="20"/>
                <w:szCs w:val="20"/>
                <w:color w:val="auto"/>
              </w:rPr>
            </w:pPr>
            <w:r>
              <w:rPr>
                <w:rFonts w:ascii="Times New Roman" w:cs="Times New Roman" w:eastAsia="Times New Roman" w:hAnsi="Times New Roman"/>
                <w:sz w:val="16"/>
                <w:szCs w:val="16"/>
                <w:b w:val="1"/>
                <w:bCs w:val="1"/>
                <w:color w:val="auto"/>
              </w:rPr>
              <w:t>outstanding</w:t>
            </w:r>
          </w:p>
        </w:tc>
        <w:tc>
          <w:tcPr>
            <w:tcW w:w="1780" w:type="dxa"/>
            <w:vAlign w:val="bottom"/>
          </w:tcPr>
          <w:p>
            <w:pPr>
              <w:jc w:val="right"/>
              <w:ind w:right="37"/>
              <w:spacing w:after="0"/>
              <w:rPr>
                <w:sz w:val="20"/>
                <w:szCs w:val="20"/>
                <w:color w:val="auto"/>
              </w:rPr>
            </w:pPr>
            <w:r>
              <w:rPr>
                <w:rFonts w:ascii="Times New Roman" w:cs="Times New Roman" w:eastAsia="Times New Roman" w:hAnsi="Times New Roman"/>
                <w:sz w:val="16"/>
                <w:szCs w:val="16"/>
                <w:b w:val="1"/>
                <w:bCs w:val="1"/>
                <w:color w:val="auto"/>
              </w:rPr>
              <w:t>plans (excluding</w:t>
            </w:r>
          </w:p>
        </w:tc>
      </w:tr>
      <w:tr>
        <w:trPr>
          <w:trHeight w:val="203"/>
        </w:trPr>
        <w:tc>
          <w:tcPr>
            <w:tcW w:w="5080" w:type="dxa"/>
            <w:vAlign w:val="bottom"/>
          </w:tcPr>
          <w:p>
            <w:pPr>
              <w:spacing w:after="0"/>
              <w:rPr>
                <w:sz w:val="17"/>
                <w:szCs w:val="17"/>
                <w:color w:val="auto"/>
              </w:rPr>
            </w:pPr>
          </w:p>
        </w:tc>
        <w:tc>
          <w:tcPr>
            <w:tcW w:w="2260" w:type="dxa"/>
            <w:vAlign w:val="bottom"/>
          </w:tcPr>
          <w:p>
            <w:pPr>
              <w:jc w:val="right"/>
              <w:ind w:right="57"/>
              <w:spacing w:after="0"/>
              <w:rPr>
                <w:sz w:val="20"/>
                <w:szCs w:val="20"/>
                <w:color w:val="auto"/>
              </w:rPr>
            </w:pPr>
            <w:r>
              <w:rPr>
                <w:rFonts w:ascii="Times New Roman" w:cs="Times New Roman" w:eastAsia="Times New Roman" w:hAnsi="Times New Roman"/>
                <w:sz w:val="16"/>
                <w:szCs w:val="16"/>
                <w:b w:val="1"/>
                <w:bCs w:val="1"/>
                <w:color w:val="auto"/>
              </w:rPr>
              <w:t>warrants and</w:t>
            </w:r>
          </w:p>
        </w:tc>
        <w:tc>
          <w:tcPr>
            <w:tcW w:w="420" w:type="dxa"/>
            <w:vAlign w:val="bottom"/>
          </w:tcPr>
          <w:p>
            <w:pPr>
              <w:spacing w:after="0"/>
              <w:rPr>
                <w:sz w:val="17"/>
                <w:szCs w:val="17"/>
                <w:color w:val="auto"/>
              </w:rPr>
            </w:pPr>
          </w:p>
        </w:tc>
        <w:tc>
          <w:tcPr>
            <w:tcW w:w="1700" w:type="dxa"/>
            <w:vAlign w:val="bottom"/>
          </w:tcPr>
          <w:p>
            <w:pPr>
              <w:jc w:val="right"/>
              <w:ind w:right="196"/>
              <w:spacing w:after="0"/>
              <w:rPr>
                <w:sz w:val="20"/>
                <w:szCs w:val="20"/>
                <w:color w:val="auto"/>
              </w:rPr>
            </w:pPr>
            <w:r>
              <w:rPr>
                <w:rFonts w:ascii="Times New Roman" w:cs="Times New Roman" w:eastAsia="Times New Roman" w:hAnsi="Times New Roman"/>
                <w:sz w:val="16"/>
                <w:szCs w:val="16"/>
                <w:b w:val="1"/>
                <w:bCs w:val="1"/>
                <w:color w:val="auto"/>
              </w:rPr>
              <w:t>options, warrants</w:t>
            </w:r>
          </w:p>
        </w:tc>
        <w:tc>
          <w:tcPr>
            <w:tcW w:w="1780" w:type="dxa"/>
            <w:vAlign w:val="bottom"/>
          </w:tcPr>
          <w:p>
            <w:pPr>
              <w:jc w:val="right"/>
              <w:ind w:right="37"/>
              <w:spacing w:after="0"/>
              <w:rPr>
                <w:sz w:val="20"/>
                <w:szCs w:val="20"/>
                <w:color w:val="auto"/>
              </w:rPr>
            </w:pPr>
            <w:r>
              <w:rPr>
                <w:rFonts w:ascii="Times New Roman" w:cs="Times New Roman" w:eastAsia="Times New Roman" w:hAnsi="Times New Roman"/>
                <w:sz w:val="16"/>
                <w:szCs w:val="16"/>
                <w:b w:val="1"/>
                <w:bCs w:val="1"/>
                <w:color w:val="auto"/>
              </w:rPr>
              <w:t>securities reflected</w:t>
            </w:r>
          </w:p>
        </w:tc>
      </w:tr>
      <w:tr>
        <w:trPr>
          <w:trHeight w:val="215"/>
        </w:trPr>
        <w:tc>
          <w:tcPr>
            <w:tcW w:w="5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Plan Category</w:t>
            </w:r>
          </w:p>
        </w:tc>
        <w:tc>
          <w:tcPr>
            <w:tcW w:w="226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6"/>
                <w:szCs w:val="16"/>
                <w:b w:val="1"/>
                <w:bCs w:val="1"/>
                <w:color w:val="auto"/>
              </w:rPr>
              <w:t>rights(1)</w:t>
            </w:r>
          </w:p>
        </w:tc>
        <w:tc>
          <w:tcPr>
            <w:tcW w:w="42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6"/>
                <w:szCs w:val="16"/>
                <w:b w:val="1"/>
                <w:bCs w:val="1"/>
                <w:color w:val="auto"/>
              </w:rPr>
              <w:t>and rights</w:t>
            </w:r>
          </w:p>
        </w:tc>
        <w:tc>
          <w:tcPr>
            <w:tcW w:w="178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6"/>
                <w:szCs w:val="16"/>
                <w:b w:val="1"/>
                <w:bCs w:val="1"/>
                <w:color w:val="auto"/>
              </w:rPr>
              <w:t>in column (a)) (2)</w:t>
            </w:r>
          </w:p>
        </w:tc>
      </w:tr>
      <w:tr>
        <w:trPr>
          <w:trHeight w:val="213"/>
        </w:trPr>
        <w:tc>
          <w:tcPr>
            <w:tcW w:w="5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Equity compensation plans approved by security holders</w:t>
            </w:r>
          </w:p>
        </w:tc>
        <w:tc>
          <w:tcPr>
            <w:tcW w:w="226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8"/>
                <w:szCs w:val="18"/>
                <w:color w:val="auto"/>
              </w:rPr>
              <w:t>1,065</w:t>
            </w:r>
          </w:p>
        </w:tc>
        <w:tc>
          <w:tcPr>
            <w:tcW w:w="42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FF0FC"/>
          </w:tcPr>
          <w:p>
            <w:pPr>
              <w:jc w:val="right"/>
              <w:ind w:right="196"/>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852,828</w:t>
            </w:r>
          </w:p>
        </w:tc>
      </w:tr>
      <w:tr>
        <w:trPr>
          <w:trHeight w:val="216"/>
        </w:trPr>
        <w:tc>
          <w:tcPr>
            <w:tcW w:w="5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Equity compensation plans not approved by security holders</w:t>
            </w:r>
          </w:p>
        </w:tc>
        <w:tc>
          <w:tcPr>
            <w:tcW w:w="226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508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260" w:type="dxa"/>
            <w:vAlign w:val="bottom"/>
            <w:tcBorders>
              <w:bottom w:val="single" w:sz="8" w:color="auto"/>
            </w:tcBorders>
            <w:shd w:val="clear" w:color="auto" w:fill="CFF0FC"/>
          </w:tcPr>
          <w:p>
            <w:pPr>
              <w:jc w:val="right"/>
              <w:ind w:right="57"/>
              <w:spacing w:after="0"/>
              <w:rPr>
                <w:sz w:val="20"/>
                <w:szCs w:val="20"/>
                <w:color w:val="auto"/>
              </w:rPr>
            </w:pPr>
            <w:r>
              <w:rPr>
                <w:rFonts w:ascii="Times New Roman" w:cs="Times New Roman" w:eastAsia="Times New Roman" w:hAnsi="Times New Roman"/>
                <w:sz w:val="18"/>
                <w:szCs w:val="18"/>
                <w:color w:val="auto"/>
              </w:rPr>
              <w:t>1,065</w:t>
            </w:r>
          </w:p>
        </w:tc>
        <w:tc>
          <w:tcPr>
            <w:tcW w:w="42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shd w:val="clear" w:color="auto" w:fill="CFF0FC"/>
          </w:tcPr>
          <w:p>
            <w:pPr>
              <w:jc w:val="right"/>
              <w:ind w:right="196"/>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852,828</w:t>
            </w:r>
          </w:p>
        </w:tc>
      </w:tr>
    </w:tbl>
    <w:p>
      <w:pPr>
        <w:spacing w:after="0" w:line="216" w:lineRule="exact"/>
        <w:rPr>
          <w:sz w:val="20"/>
          <w:szCs w:val="20"/>
          <w:color w:val="auto"/>
        </w:rPr>
      </w:pPr>
    </w:p>
    <w:p>
      <w:pPr>
        <w:ind w:left="380" w:hanging="372"/>
        <w:spacing w:after="0"/>
        <w:tabs>
          <w:tab w:leader="none" w:pos="3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Restricted stock units issued to certain employees at no cost.</w:t>
      </w:r>
    </w:p>
    <w:p>
      <w:pPr>
        <w:spacing w:after="0" w:line="198"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Such shares may be issued as restricted shares or other forms of stock-based compensation pursuant to our stock incentive plans.</w:t>
      </w:r>
    </w:p>
    <w:p>
      <w:pPr>
        <w:spacing w:after="0" w:line="167" w:lineRule="exact"/>
        <w:rPr>
          <w:sz w:val="20"/>
          <w:szCs w:val="20"/>
          <w:color w:val="auto"/>
        </w:rPr>
      </w:pPr>
    </w:p>
    <w:p>
      <w:pPr>
        <w:ind w:right="1200"/>
        <w:spacing w:after="0" w:line="461" w:lineRule="auto"/>
        <w:rPr>
          <w:sz w:val="20"/>
          <w:szCs w:val="20"/>
          <w:color w:val="auto"/>
        </w:rPr>
      </w:pPr>
      <w:r>
        <w:rPr>
          <w:rFonts w:ascii="Times New Roman" w:cs="Times New Roman" w:eastAsia="Times New Roman" w:hAnsi="Times New Roman"/>
          <w:sz w:val="18"/>
          <w:szCs w:val="18"/>
          <w:color w:val="auto"/>
        </w:rPr>
        <w:t xml:space="preserve">* For additional information concerning our equity compensation plans, see the discussion in Note 14, "Share-Based Compensation Plans". </w:t>
      </w:r>
      <w:r>
        <w:rPr>
          <w:rFonts w:ascii="Times New Roman" w:cs="Times New Roman" w:eastAsia="Times New Roman" w:hAnsi="Times New Roman"/>
          <w:sz w:val="18"/>
          <w:szCs w:val="18"/>
          <w:b w:val="1"/>
          <w:bCs w:val="1"/>
          <w:u w:val="single" w:color="auto"/>
          <w:color w:val="auto"/>
        </w:rPr>
        <w:t>ITEM 13. CERTAIN RELATIONSHIPS AND RELATED TRANSACTIONS, AND DIRECTOR INDEPENDENCE</w:t>
      </w:r>
    </w:p>
    <w:p>
      <w:pPr>
        <w:spacing w:after="0" w:line="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the section entitled “Election of Directors” in our definitive proxy statement for our annual meeting of shareholders to be held June 26, 2025, to be filed with the Securities and Exchange Commission.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14. PRINCIPAL ACCOUNTING FEES AND SERVICES</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the section entitled “Audit Matters” in our definitive proxy statement for our annual meeting of shareholders to be held June 26, 2025, to be filed with the Securities and Exchange Commission.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3" w:right="339" w:bottom="1440" w:gutter="0" w:footer="0" w:header="0"/>
        </w:sectPr>
      </w:pPr>
    </w:p>
    <w:bookmarkStart w:id="84" w:name="page85"/>
    <w:bookmarkEnd w:id="84"/>
    <w:p>
      <w:pPr>
        <w:ind w:left="526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15. EXHIBITS AND FINANCIAL STATEMENT SCHEDULES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Financial Statements</w:t>
      </w:r>
    </w:p>
    <w:p>
      <w:pPr>
        <w:spacing w:after="0" w:line="202"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The following consolidated financial statements of Genesco Inc. and Subsidiaries are filed as part of this report under Item 8, Financial Statements and Supplementary Data</w:t>
      </w:r>
    </w:p>
    <w:p>
      <w:pPr>
        <w:spacing w:after="0" w:line="121" w:lineRule="exact"/>
        <w:rPr>
          <w:sz w:val="20"/>
          <w:szCs w:val="20"/>
          <w:color w:val="auto"/>
        </w:rPr>
      </w:pPr>
    </w:p>
    <w:p>
      <w:pPr>
        <w:ind w:right="3700"/>
        <w:spacing w:after="0" w:line="461" w:lineRule="auto"/>
        <w:rPr>
          <w:sz w:val="20"/>
          <w:szCs w:val="20"/>
          <w:color w:val="auto"/>
        </w:rPr>
      </w:pPr>
      <w:r>
        <w:rPr>
          <w:rFonts w:ascii="Times New Roman" w:cs="Times New Roman" w:eastAsia="Times New Roman" w:hAnsi="Times New Roman"/>
          <w:sz w:val="18"/>
          <w:szCs w:val="18"/>
          <w:color w:val="auto"/>
        </w:rPr>
        <w:t>Report of Independent Registered Public Accounting Firm on Internal Control over Financial Reporting Report of Independent Registered Public Accounting Firm</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Balance Sheets, February 1, 2025 and February 3, 2024</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Statements of Operations, each of the three fiscal years ended 2025, 2024 and 2023</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Statements of Comprehensive Income (Loss), each of the three fiscal years ended 2025, 2024 and 2023</w:t>
      </w:r>
    </w:p>
    <w:p>
      <w:pPr>
        <w:spacing w:after="0" w:line="198" w:lineRule="exact"/>
        <w:rPr>
          <w:sz w:val="20"/>
          <w:szCs w:val="20"/>
          <w:color w:val="auto"/>
        </w:rPr>
      </w:pPr>
    </w:p>
    <w:p>
      <w:pPr>
        <w:ind w:right="4140"/>
        <w:spacing w:after="0" w:line="457" w:lineRule="auto"/>
        <w:rPr>
          <w:sz w:val="20"/>
          <w:szCs w:val="20"/>
          <w:color w:val="auto"/>
        </w:rPr>
      </w:pPr>
      <w:r>
        <w:rPr>
          <w:rFonts w:ascii="Times New Roman" w:cs="Times New Roman" w:eastAsia="Times New Roman" w:hAnsi="Times New Roman"/>
          <w:sz w:val="18"/>
          <w:szCs w:val="18"/>
          <w:color w:val="auto"/>
        </w:rPr>
        <w:t>Consolidated Statements of Cash Flows, each of the three fiscal years ended 2025, 2024 and 2023 Consolidated Statements of Equity, each of the three fiscal years ended 2025, 2024 and 2023 Notes to Consolidated Financial Statements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Financial Statement Schedules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Schedule 2 — Valuation and Qualifying Accounts, each of the three fiscal years ended 2025, 2024 and 2023</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other schedules are omitted because the required information is either not applicable or is presented in the financial statements or related notes.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schedules begin on page 91.</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Exhibits</w:t>
      </w:r>
    </w:p>
    <w:p>
      <w:pPr>
        <w:spacing w:after="0" w:line="229" w:lineRule="exact"/>
        <w:rPr>
          <w:sz w:val="20"/>
          <w:szCs w:val="20"/>
          <w:color w:val="auto"/>
        </w:rPr>
      </w:pPr>
    </w:p>
    <w:p>
      <w:pPr>
        <w:ind w:left="2340" w:right="280" w:hanging="1643"/>
        <w:spacing w:after="0" w:line="255" w:lineRule="auto"/>
        <w:tabs>
          <w:tab w:leader="none" w:pos="1760" w:val="left"/>
        </w:tabs>
        <w:numPr>
          <w:ilvl w:val="0"/>
          <w:numId w:val="22"/>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a.</w:t>
      </w:r>
      <w:hyperlink r:id="rId112">
        <w:r>
          <w:rPr>
            <w:rFonts w:ascii="Times New Roman" w:cs="Times New Roman" w:eastAsia="Times New Roman" w:hAnsi="Times New Roman"/>
            <w:sz w:val="18"/>
            <w:szCs w:val="18"/>
            <w:u w:val="single" w:color="auto"/>
            <w:color w:val="0000FF"/>
          </w:rPr>
          <w:t>Purchase Agreement dated December 14, 2018, among Hat World, Inc., GCO Canada Inc., Flagg Bros. of Puerto Rico,</w:t>
        </w:r>
      </w:hyperlink>
      <w:r>
        <w:rPr>
          <w:rFonts w:ascii="Times New Roman" w:cs="Times New Roman" w:eastAsia="Times New Roman" w:hAnsi="Times New Roman"/>
          <w:sz w:val="18"/>
          <w:szCs w:val="18"/>
          <w:u w:val="single" w:color="auto"/>
          <w:color w:val="0000FF"/>
        </w:rPr>
        <w:t xml:space="preserve"> </w:t>
      </w:r>
      <w:hyperlink r:id="rId112">
        <w:r>
          <w:rPr>
            <w:rFonts w:ascii="Times New Roman" w:cs="Times New Roman" w:eastAsia="Times New Roman" w:hAnsi="Times New Roman"/>
            <w:sz w:val="18"/>
            <w:szCs w:val="18"/>
            <w:u w:val="single" w:color="auto"/>
            <w:color w:val="0000FF"/>
          </w:rPr>
          <w:t>Inc., Hat World Corporation, Hat World Services Co., Inc., LSG Guam, Inc., Genesco Inc., Fanzzlids Holding, LLC,</w:t>
        </w:r>
      </w:hyperlink>
      <w:r>
        <w:rPr>
          <w:rFonts w:ascii="Times New Roman" w:cs="Times New Roman" w:eastAsia="Times New Roman" w:hAnsi="Times New Roman"/>
          <w:sz w:val="18"/>
          <w:szCs w:val="18"/>
          <w:u w:val="single" w:color="auto"/>
          <w:color w:val="0000FF"/>
        </w:rPr>
        <w:t xml:space="preserve"> </w:t>
      </w:r>
      <w:hyperlink r:id="rId112">
        <w:r>
          <w:rPr>
            <w:rFonts w:ascii="Times New Roman" w:cs="Times New Roman" w:eastAsia="Times New Roman" w:hAnsi="Times New Roman"/>
            <w:sz w:val="18"/>
            <w:szCs w:val="18"/>
            <w:u w:val="single" w:color="auto"/>
            <w:color w:val="0000FF"/>
          </w:rPr>
          <w:t>Fanatics, Inc. and Fanzz Holding, Inc. Incorporated by reference to Exhibit 2.1 to the current report on Form 8-K file</w:t>
        </w:r>
      </w:hyperlink>
      <w:r>
        <w:rPr>
          <w:rFonts w:ascii="Times New Roman" w:cs="Times New Roman" w:eastAsia="Times New Roman" w:hAnsi="Times New Roman"/>
          <w:sz w:val="18"/>
          <w:szCs w:val="18"/>
          <w:u w:val="single" w:color="auto"/>
          <w:color w:val="0000FF"/>
        </w:rPr>
        <w:t xml:space="preserve"> </w:t>
      </w:r>
      <w:hyperlink r:id="rId112">
        <w:r>
          <w:rPr>
            <w:rFonts w:ascii="Times New Roman" w:cs="Times New Roman" w:eastAsia="Times New Roman" w:hAnsi="Times New Roman"/>
            <w:sz w:val="18"/>
            <w:szCs w:val="18"/>
            <w:u w:val="single" w:color="auto"/>
            <w:color w:val="0000FF"/>
          </w:rPr>
          <w:t>December 14, 2018 (File No. 1-3083).*</w:t>
        </w:r>
      </w:hyperlink>
    </w:p>
    <w:p>
      <w:pPr>
        <w:spacing w:after="0" w:line="2" w:lineRule="exact"/>
        <w:rPr>
          <w:rFonts w:ascii="Times New Roman" w:cs="Times New Roman" w:eastAsia="Times New Roman" w:hAnsi="Times New Roman"/>
          <w:sz w:val="18"/>
          <w:szCs w:val="18"/>
          <w:u w:val="single" w:color="auto"/>
          <w:color w:val="0000FF"/>
        </w:rPr>
      </w:pPr>
    </w:p>
    <w:p>
      <w:pPr>
        <w:ind w:left="2340" w:right="220" w:hanging="590"/>
        <w:spacing w:after="0" w:line="250" w:lineRule="auto"/>
        <w:tabs>
          <w:tab w:leader="none" w:pos="2340" w:val="left"/>
        </w:tabs>
        <w:numPr>
          <w:ilvl w:val="1"/>
          <w:numId w:val="22"/>
        </w:numPr>
        <w:rPr>
          <w:rFonts w:ascii="Times New Roman" w:cs="Times New Roman" w:eastAsia="Times New Roman" w:hAnsi="Times New Roman"/>
          <w:sz w:val="18"/>
          <w:szCs w:val="18"/>
          <w:u w:val="single" w:color="auto"/>
          <w:color w:val="0000FF"/>
        </w:rPr>
      </w:pPr>
      <w:hyperlink r:id="rId113">
        <w:r>
          <w:rPr>
            <w:rFonts w:ascii="Times New Roman" w:cs="Times New Roman" w:eastAsia="Times New Roman" w:hAnsi="Times New Roman"/>
            <w:sz w:val="18"/>
            <w:szCs w:val="18"/>
            <w:u w:val="single" w:color="auto"/>
            <w:color w:val="0000FF"/>
          </w:rPr>
          <w:t>Asset Purchase Agreement dated December 18, 2019, by and among Genesco Brands NY, LLC, Togast LLC, Togast</w:t>
        </w:r>
      </w:hyperlink>
      <w:r>
        <w:rPr>
          <w:rFonts w:ascii="Times New Roman" w:cs="Times New Roman" w:eastAsia="Times New Roman" w:hAnsi="Times New Roman"/>
          <w:sz w:val="18"/>
          <w:szCs w:val="18"/>
          <w:u w:val="single" w:color="auto"/>
          <w:color w:val="0000FF"/>
        </w:rPr>
        <w:t xml:space="preserve"> </w:t>
      </w:r>
      <w:hyperlink r:id="rId113">
        <w:r>
          <w:rPr>
            <w:rFonts w:ascii="Times New Roman" w:cs="Times New Roman" w:eastAsia="Times New Roman" w:hAnsi="Times New Roman"/>
            <w:sz w:val="18"/>
            <w:szCs w:val="18"/>
            <w:u w:val="single" w:color="auto"/>
            <w:color w:val="0000FF"/>
          </w:rPr>
          <w:t>Direct, LLC, TGB Design, LLC, Quanzhou TGB Footwear Co. Ltd and Anthony LoConte. Incorporated by reference to</w:t>
        </w:r>
      </w:hyperlink>
      <w:r>
        <w:rPr>
          <w:rFonts w:ascii="Times New Roman" w:cs="Times New Roman" w:eastAsia="Times New Roman" w:hAnsi="Times New Roman"/>
          <w:sz w:val="18"/>
          <w:szCs w:val="18"/>
          <w:u w:val="single" w:color="auto"/>
          <w:color w:val="0000FF"/>
        </w:rPr>
        <w:t xml:space="preserve"> </w:t>
      </w:r>
      <w:hyperlink r:id="rId113">
        <w:r>
          <w:rPr>
            <w:rFonts w:ascii="Times New Roman" w:cs="Times New Roman" w:eastAsia="Times New Roman" w:hAnsi="Times New Roman"/>
            <w:sz w:val="18"/>
            <w:szCs w:val="18"/>
            <w:u w:val="single" w:color="auto"/>
            <w:color w:val="0000FF"/>
          </w:rPr>
          <w:t>Exhibit 2.1 to the current report on Form 8-K filed December 18, 2019 (File No. 1-3083).</w:t>
        </w:r>
      </w:hyperlink>
    </w:p>
    <w:p>
      <w:pPr>
        <w:spacing w:after="0" w:line="1" w:lineRule="exact"/>
        <w:rPr>
          <w:rFonts w:ascii="Times New Roman" w:cs="Times New Roman" w:eastAsia="Times New Roman" w:hAnsi="Times New Roman"/>
          <w:sz w:val="18"/>
          <w:szCs w:val="18"/>
          <w:u w:val="single" w:color="auto"/>
          <w:color w:val="0000FF"/>
        </w:rPr>
      </w:pPr>
    </w:p>
    <w:p>
      <w:pPr>
        <w:ind w:left="2340" w:right="140" w:hanging="590"/>
        <w:spacing w:after="0" w:line="250" w:lineRule="auto"/>
        <w:tabs>
          <w:tab w:leader="none" w:pos="2340" w:val="left"/>
        </w:tabs>
        <w:numPr>
          <w:ilvl w:val="1"/>
          <w:numId w:val="22"/>
        </w:numPr>
        <w:rPr>
          <w:rFonts w:ascii="Times New Roman" w:cs="Times New Roman" w:eastAsia="Times New Roman" w:hAnsi="Times New Roman"/>
          <w:sz w:val="18"/>
          <w:szCs w:val="18"/>
          <w:u w:val="single" w:color="auto"/>
          <w:color w:val="0000FF"/>
        </w:rPr>
      </w:pPr>
      <w:hyperlink r:id="rId114">
        <w:r>
          <w:rPr>
            <w:rFonts w:ascii="Times New Roman" w:cs="Times New Roman" w:eastAsia="Times New Roman" w:hAnsi="Times New Roman"/>
            <w:sz w:val="18"/>
            <w:szCs w:val="18"/>
            <w:u w:val="single" w:color="auto"/>
            <w:color w:val="0000FF"/>
          </w:rPr>
          <w:t>Amendment to Asset Purchase Agreement dated September 30, 2020, by and among Genesco Brands NY, LLC, Togast</w:t>
        </w:r>
      </w:hyperlink>
      <w:r>
        <w:rPr>
          <w:rFonts w:ascii="Times New Roman" w:cs="Times New Roman" w:eastAsia="Times New Roman" w:hAnsi="Times New Roman"/>
          <w:sz w:val="18"/>
          <w:szCs w:val="18"/>
          <w:u w:val="single" w:color="auto"/>
          <w:color w:val="0000FF"/>
        </w:rPr>
        <w:t xml:space="preserve"> </w:t>
      </w:r>
      <w:hyperlink r:id="rId114">
        <w:r>
          <w:rPr>
            <w:rFonts w:ascii="Times New Roman" w:cs="Times New Roman" w:eastAsia="Times New Roman" w:hAnsi="Times New Roman"/>
            <w:sz w:val="18"/>
            <w:szCs w:val="18"/>
            <w:u w:val="single" w:color="auto"/>
            <w:color w:val="0000FF"/>
          </w:rPr>
          <w:t>LLC, Togast Direct, LLC, TGB Design, LLC, Quanzhou TGB Footwear Co. Ltd and Anthony LoConte. Incorporated by</w:t>
        </w:r>
      </w:hyperlink>
      <w:r>
        <w:rPr>
          <w:rFonts w:ascii="Times New Roman" w:cs="Times New Roman" w:eastAsia="Times New Roman" w:hAnsi="Times New Roman"/>
          <w:sz w:val="18"/>
          <w:szCs w:val="18"/>
          <w:u w:val="single" w:color="auto"/>
          <w:color w:val="0000FF"/>
        </w:rPr>
        <w:t xml:space="preserve"> </w:t>
      </w:r>
      <w:hyperlink r:id="rId114">
        <w:r>
          <w:rPr>
            <w:rFonts w:ascii="Times New Roman" w:cs="Times New Roman" w:eastAsia="Times New Roman" w:hAnsi="Times New Roman"/>
            <w:sz w:val="18"/>
            <w:szCs w:val="18"/>
            <w:u w:val="single" w:color="auto"/>
            <w:color w:val="0000FF"/>
          </w:rPr>
          <w:t>reference to Exhibit (2)c to the Company's Annual Report on Form 10-K for the fiscal year ended January 30, 2021 (File</w:t>
        </w:r>
      </w:hyperlink>
      <w:r>
        <w:rPr>
          <w:rFonts w:ascii="Times New Roman" w:cs="Times New Roman" w:eastAsia="Times New Roman" w:hAnsi="Times New Roman"/>
          <w:sz w:val="18"/>
          <w:szCs w:val="18"/>
          <w:u w:val="single" w:color="auto"/>
          <w:color w:val="0000FF"/>
        </w:rPr>
        <w:t xml:space="preserve"> </w:t>
      </w:r>
      <w:hyperlink r:id="rId114">
        <w:r>
          <w:rPr>
            <w:rFonts w:ascii="Times New Roman" w:cs="Times New Roman" w:eastAsia="Times New Roman" w:hAnsi="Times New Roman"/>
            <w:sz w:val="18"/>
            <w:szCs w:val="18"/>
            <w:u w:val="single" w:color="auto"/>
            <w:color w:val="0000FF"/>
          </w:rPr>
          <w:t>No. 1-3083).</w:t>
        </w:r>
      </w:hyperlink>
    </w:p>
    <w:p>
      <w:pPr>
        <w:spacing w:after="0" w:line="1" w:lineRule="exact"/>
        <w:rPr>
          <w:rFonts w:ascii="Times New Roman" w:cs="Times New Roman" w:eastAsia="Times New Roman" w:hAnsi="Times New Roman"/>
          <w:sz w:val="18"/>
          <w:szCs w:val="18"/>
          <w:u w:val="single" w:color="auto"/>
          <w:color w:val="0000FF"/>
        </w:rPr>
      </w:pPr>
    </w:p>
    <w:p>
      <w:pPr>
        <w:ind w:left="2340" w:right="220" w:hanging="1643"/>
        <w:spacing w:after="0" w:line="250" w:lineRule="auto"/>
        <w:tabs>
          <w:tab w:leader="none" w:pos="1760" w:val="left"/>
        </w:tabs>
        <w:numPr>
          <w:ilvl w:val="0"/>
          <w:numId w:val="22"/>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a.</w:t>
      </w:r>
      <w:hyperlink r:id="rId115">
        <w:r>
          <w:rPr>
            <w:rFonts w:ascii="Times New Roman" w:cs="Times New Roman" w:eastAsia="Times New Roman" w:hAnsi="Times New Roman"/>
            <w:sz w:val="18"/>
            <w:szCs w:val="18"/>
            <w:u w:val="single" w:color="auto"/>
            <w:color w:val="0000FF"/>
          </w:rPr>
          <w:t>Second Amended and Restated Bylaws of Genesco Inc. Incorporated by reference to Exhibit 3.1 to the current report on</w:t>
        </w:r>
      </w:hyperlink>
      <w:r>
        <w:rPr>
          <w:rFonts w:ascii="Times New Roman" w:cs="Times New Roman" w:eastAsia="Times New Roman" w:hAnsi="Times New Roman"/>
          <w:sz w:val="18"/>
          <w:szCs w:val="18"/>
          <w:u w:val="single" w:color="auto"/>
          <w:color w:val="0000FF"/>
        </w:rPr>
        <w:t xml:space="preserve"> </w:t>
      </w:r>
      <w:hyperlink r:id="rId115">
        <w:r>
          <w:rPr>
            <w:rFonts w:ascii="Times New Roman" w:cs="Times New Roman" w:eastAsia="Times New Roman" w:hAnsi="Times New Roman"/>
            <w:sz w:val="18"/>
            <w:szCs w:val="18"/>
            <w:u w:val="single" w:color="auto"/>
            <w:color w:val="0000FF"/>
          </w:rPr>
          <w:t>Form 8-K filed November 1, 2022 (File No. 1-3083).</w:t>
        </w:r>
      </w:hyperlink>
    </w:p>
    <w:p>
      <w:pPr>
        <w:ind w:left="2340" w:hanging="590"/>
        <w:spacing w:after="0" w:line="250" w:lineRule="auto"/>
        <w:tabs>
          <w:tab w:leader="none" w:pos="2340" w:val="left"/>
        </w:tabs>
        <w:numPr>
          <w:ilvl w:val="1"/>
          <w:numId w:val="22"/>
        </w:numPr>
        <w:rPr>
          <w:rFonts w:ascii="Times New Roman" w:cs="Times New Roman" w:eastAsia="Times New Roman" w:hAnsi="Times New Roman"/>
          <w:sz w:val="18"/>
          <w:szCs w:val="18"/>
          <w:u w:val="single" w:color="auto"/>
          <w:color w:val="0000FF"/>
        </w:rPr>
      </w:pPr>
      <w:hyperlink r:id="rId116">
        <w:r>
          <w:rPr>
            <w:rFonts w:ascii="Times New Roman" w:cs="Times New Roman" w:eastAsia="Times New Roman" w:hAnsi="Times New Roman"/>
            <w:sz w:val="18"/>
            <w:szCs w:val="18"/>
            <w:u w:val="single" w:color="auto"/>
            <w:color w:val="0000FF"/>
          </w:rPr>
          <w:t>Restated Charter of Genesco Inc., as amended. Incorporated by reference to Exhibit 3.3 to the Company's Quarterly Report</w:t>
        </w:r>
      </w:hyperlink>
      <w:r>
        <w:rPr>
          <w:rFonts w:ascii="Times New Roman" w:cs="Times New Roman" w:eastAsia="Times New Roman" w:hAnsi="Times New Roman"/>
          <w:sz w:val="18"/>
          <w:szCs w:val="18"/>
          <w:u w:val="single" w:color="auto"/>
          <w:color w:val="0000FF"/>
        </w:rPr>
        <w:t xml:space="preserve"> </w:t>
      </w:r>
      <w:hyperlink r:id="rId116">
        <w:r>
          <w:rPr>
            <w:rFonts w:ascii="Times New Roman" w:cs="Times New Roman" w:eastAsia="Times New Roman" w:hAnsi="Times New Roman"/>
            <w:sz w:val="18"/>
            <w:szCs w:val="18"/>
            <w:u w:val="single" w:color="auto"/>
            <w:color w:val="0000FF"/>
          </w:rPr>
          <w:t>on Form 10-Q filed on December 8, 2022 (File No. 1-3083).</w:t>
        </w:r>
      </w:hyperlink>
    </w:p>
    <w:p>
      <w:pPr>
        <w:ind w:left="2340" w:right="600" w:hanging="1643"/>
        <w:spacing w:after="0" w:line="250" w:lineRule="auto"/>
        <w:tabs>
          <w:tab w:leader="none" w:pos="1760" w:val="left"/>
        </w:tabs>
        <w:numPr>
          <w:ilvl w:val="0"/>
          <w:numId w:val="22"/>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a.</w:t>
      </w:r>
      <w:hyperlink r:id="rId117">
        <w:r>
          <w:rPr>
            <w:rFonts w:ascii="Times New Roman" w:cs="Times New Roman" w:eastAsia="Times New Roman" w:hAnsi="Times New Roman"/>
            <w:sz w:val="18"/>
            <w:szCs w:val="18"/>
            <w:u w:val="single" w:color="auto"/>
            <w:color w:val="0000FF"/>
          </w:rPr>
          <w:t>Form of Certificate for the Common Stock. Incorporated by reference to Exhibit 3 to the Genesco Inc. Registration</w:t>
        </w:r>
      </w:hyperlink>
      <w:r>
        <w:rPr>
          <w:rFonts w:ascii="Times New Roman" w:cs="Times New Roman" w:eastAsia="Times New Roman" w:hAnsi="Times New Roman"/>
          <w:sz w:val="18"/>
          <w:szCs w:val="18"/>
          <w:u w:val="single" w:color="auto"/>
          <w:color w:val="0000FF"/>
        </w:rPr>
        <w:t xml:space="preserve"> </w:t>
      </w:r>
      <w:hyperlink r:id="rId117">
        <w:r>
          <w:rPr>
            <w:rFonts w:ascii="Times New Roman" w:cs="Times New Roman" w:eastAsia="Times New Roman" w:hAnsi="Times New Roman"/>
            <w:sz w:val="18"/>
            <w:szCs w:val="18"/>
            <w:u w:val="single" w:color="auto"/>
            <w:color w:val="0000FF"/>
          </w:rPr>
          <w:t>Statement on Form 8-A/A filed with the SEC on May 1, 2003 (File No.1-3083).</w:t>
        </w:r>
      </w:hyperlink>
    </w:p>
    <w:p>
      <w:pPr>
        <w:ind w:left="2340" w:right="20" w:hanging="590"/>
        <w:spacing w:after="0" w:line="260" w:lineRule="auto"/>
        <w:tabs>
          <w:tab w:leader="none" w:pos="2340" w:val="left"/>
        </w:tabs>
        <w:numPr>
          <w:ilvl w:val="1"/>
          <w:numId w:val="22"/>
        </w:numPr>
        <w:rPr>
          <w:rFonts w:ascii="Times New Roman" w:cs="Times New Roman" w:eastAsia="Times New Roman" w:hAnsi="Times New Roman"/>
          <w:sz w:val="18"/>
          <w:szCs w:val="18"/>
          <w:u w:val="single" w:color="auto"/>
          <w:color w:val="0000FF"/>
        </w:rPr>
      </w:pPr>
      <w:hyperlink r:id="rId118">
        <w:r>
          <w:rPr>
            <w:rFonts w:ascii="Times New Roman" w:cs="Times New Roman" w:eastAsia="Times New Roman" w:hAnsi="Times New Roman"/>
            <w:sz w:val="18"/>
            <w:szCs w:val="18"/>
            <w:u w:val="single" w:color="auto"/>
            <w:color w:val="0000FF"/>
          </w:rPr>
          <w:t>Description of Securities. Incorporated by reference to Exhibit (4)b to the Company's Annual Report on Form 10-K for the</w:t>
        </w:r>
      </w:hyperlink>
      <w:r>
        <w:rPr>
          <w:rFonts w:ascii="Times New Roman" w:cs="Times New Roman" w:eastAsia="Times New Roman" w:hAnsi="Times New Roman"/>
          <w:sz w:val="18"/>
          <w:szCs w:val="18"/>
          <w:u w:val="single" w:color="auto"/>
          <w:color w:val="0000FF"/>
        </w:rPr>
        <w:t xml:space="preserve"> </w:t>
      </w:r>
      <w:hyperlink r:id="rId118">
        <w:r>
          <w:rPr>
            <w:rFonts w:ascii="Times New Roman" w:cs="Times New Roman" w:eastAsia="Times New Roman" w:hAnsi="Times New Roman"/>
            <w:sz w:val="18"/>
            <w:szCs w:val="18"/>
            <w:u w:val="single" w:color="auto"/>
            <w:color w:val="0000FF"/>
          </w:rPr>
          <w:t>fiscal year ended February 3, 2024. (File No. 1-3083).</w:t>
        </w:r>
      </w:hyperlink>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1479550</wp:posOffset>
            </wp:positionH>
            <wp:positionV relativeFrom="paragraph">
              <wp:posOffset>-2504440</wp:posOffset>
            </wp:positionV>
            <wp:extent cx="547941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9">
                      <a:extLst>
                        <a:ext uri="{28A0092B-C50C-407E-A947-70E740481C1C}"/>
                      </a:extLst>
                    </a:blip>
                    <a:srcRect/>
                    <a:stretch>
                      <a:fillRect/>
                    </a:stretch>
                  </pic:blipFill>
                  <pic:spPr bwMode="auto">
                    <a:xfrm>
                      <a:off x="0" y="0"/>
                      <a:ext cx="5479415" cy="8255"/>
                    </a:xfrm>
                    <a:prstGeom prst="rect">
                      <a:avLst/>
                    </a:prstGeom>
                    <a:noFill/>
                  </pic:spPr>
                </pic:pic>
              </a:graphicData>
            </a:graphic>
          </wp:anchor>
        </w:drawing>
        <w:drawing>
          <wp:anchor simplePos="0" relativeHeight="251657728" behindDoc="1" locked="0" layoutInCell="0" allowOverlap="1">
            <wp:simplePos x="0" y="0"/>
            <wp:positionH relativeFrom="column">
              <wp:posOffset>1479550</wp:posOffset>
            </wp:positionH>
            <wp:positionV relativeFrom="paragraph">
              <wp:posOffset>-2367280</wp:posOffset>
            </wp:positionV>
            <wp:extent cx="537146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0">
                      <a:extLst>
                        <a:ext uri="{28A0092B-C50C-407E-A947-70E740481C1C}"/>
                      </a:extLst>
                    </a:blip>
                    <a:srcRect/>
                    <a:stretch>
                      <a:fillRect/>
                    </a:stretch>
                  </pic:blipFill>
                  <pic:spPr bwMode="auto">
                    <a:xfrm>
                      <a:off x="0" y="0"/>
                      <a:ext cx="5371465" cy="8890"/>
                    </a:xfrm>
                    <a:prstGeom prst="rect">
                      <a:avLst/>
                    </a:prstGeom>
                    <a:noFill/>
                  </pic:spPr>
                </pic:pic>
              </a:graphicData>
            </a:graphic>
          </wp:anchor>
        </w:drawing>
        <w:drawing>
          <wp:anchor simplePos="0" relativeHeight="251657728" behindDoc="1" locked="0" layoutInCell="0" allowOverlap="1">
            <wp:simplePos x="0" y="0"/>
            <wp:positionH relativeFrom="column">
              <wp:posOffset>1479550</wp:posOffset>
            </wp:positionH>
            <wp:positionV relativeFrom="paragraph">
              <wp:posOffset>-2230120</wp:posOffset>
            </wp:positionV>
            <wp:extent cx="540639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1">
                      <a:extLst>
                        <a:ext uri="{28A0092B-C50C-407E-A947-70E740481C1C}"/>
                      </a:extLst>
                    </a:blip>
                    <a:srcRect/>
                    <a:stretch>
                      <a:fillRect/>
                    </a:stretch>
                  </pic:blipFill>
                  <pic:spPr bwMode="auto">
                    <a:xfrm>
                      <a:off x="0" y="0"/>
                      <a:ext cx="5406390" cy="8255"/>
                    </a:xfrm>
                    <a:prstGeom prst="rect">
                      <a:avLst/>
                    </a:prstGeom>
                    <a:noFill/>
                  </pic:spPr>
                </pic:pic>
              </a:graphicData>
            </a:graphic>
          </wp:anchor>
        </w:drawing>
        <w:drawing>
          <wp:anchor simplePos="0" relativeHeight="251657728" behindDoc="1" locked="0" layoutInCell="0" allowOverlap="1">
            <wp:simplePos x="0" y="0"/>
            <wp:positionH relativeFrom="column">
              <wp:posOffset>1479550</wp:posOffset>
            </wp:positionH>
            <wp:positionV relativeFrom="paragraph">
              <wp:posOffset>-2092960</wp:posOffset>
            </wp:positionV>
            <wp:extent cx="181483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2">
                      <a:extLst>
                        <a:ext uri="{28A0092B-C50C-407E-A947-70E740481C1C}"/>
                      </a:extLst>
                    </a:blip>
                    <a:srcRect/>
                    <a:stretch>
                      <a:fillRect/>
                    </a:stretch>
                  </pic:blipFill>
                  <pic:spPr bwMode="auto">
                    <a:xfrm>
                      <a:off x="0" y="0"/>
                      <a:ext cx="1814830" cy="8255"/>
                    </a:xfrm>
                    <a:prstGeom prst="rect">
                      <a:avLst/>
                    </a:prstGeom>
                    <a:noFill/>
                  </pic:spPr>
                </pic:pic>
              </a:graphicData>
            </a:graphic>
          </wp:anchor>
        </w:drawing>
        <w:drawing>
          <wp:anchor simplePos="0" relativeHeight="251657728" behindDoc="1" locked="0" layoutInCell="0" allowOverlap="1">
            <wp:simplePos x="0" y="0"/>
            <wp:positionH relativeFrom="column">
              <wp:posOffset>1479550</wp:posOffset>
            </wp:positionH>
            <wp:positionV relativeFrom="paragraph">
              <wp:posOffset>-1955800</wp:posOffset>
            </wp:positionV>
            <wp:extent cx="538734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3">
                      <a:extLst>
                        <a:ext uri="{28A0092B-C50C-407E-A947-70E740481C1C}"/>
                      </a:extLst>
                    </a:blip>
                    <a:srcRect/>
                    <a:stretch>
                      <a:fillRect/>
                    </a:stretch>
                  </pic:blipFill>
                  <pic:spPr bwMode="auto">
                    <a:xfrm>
                      <a:off x="0" y="0"/>
                      <a:ext cx="5387340" cy="8890"/>
                    </a:xfrm>
                    <a:prstGeom prst="rect">
                      <a:avLst/>
                    </a:prstGeom>
                    <a:noFill/>
                  </pic:spPr>
                </pic:pic>
              </a:graphicData>
            </a:graphic>
          </wp:anchor>
        </w:drawing>
        <w:drawing>
          <wp:anchor simplePos="0" relativeHeight="251657728" behindDoc="1" locked="0" layoutInCell="0" allowOverlap="1">
            <wp:simplePos x="0" y="0"/>
            <wp:positionH relativeFrom="column">
              <wp:posOffset>1479550</wp:posOffset>
            </wp:positionH>
            <wp:positionV relativeFrom="paragraph">
              <wp:posOffset>-1818640</wp:posOffset>
            </wp:positionV>
            <wp:extent cx="552386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4">
                      <a:extLst>
                        <a:ext uri="{28A0092B-C50C-407E-A947-70E740481C1C}"/>
                      </a:extLst>
                    </a:blip>
                    <a:srcRect/>
                    <a:stretch>
                      <a:fillRect/>
                    </a:stretch>
                  </pic:blipFill>
                  <pic:spPr bwMode="auto">
                    <a:xfrm>
                      <a:off x="0" y="0"/>
                      <a:ext cx="5523865" cy="8255"/>
                    </a:xfrm>
                    <a:prstGeom prst="rect">
                      <a:avLst/>
                    </a:prstGeom>
                    <a:noFill/>
                  </pic:spPr>
                </pic:pic>
              </a:graphicData>
            </a:graphic>
          </wp:anchor>
        </w:drawing>
        <w:drawing>
          <wp:anchor simplePos="0" relativeHeight="251657728" behindDoc="1" locked="0" layoutInCell="0" allowOverlap="1">
            <wp:simplePos x="0" y="0"/>
            <wp:positionH relativeFrom="column">
              <wp:posOffset>1479550</wp:posOffset>
            </wp:positionH>
            <wp:positionV relativeFrom="paragraph">
              <wp:posOffset>-1681480</wp:posOffset>
            </wp:positionV>
            <wp:extent cx="409638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5">
                      <a:extLst>
                        <a:ext uri="{28A0092B-C50C-407E-A947-70E740481C1C}"/>
                      </a:extLst>
                    </a:blip>
                    <a:srcRect/>
                    <a:stretch>
                      <a:fillRect/>
                    </a:stretch>
                  </pic:blipFill>
                  <pic:spPr bwMode="auto">
                    <a:xfrm>
                      <a:off x="0" y="0"/>
                      <a:ext cx="4096385" cy="8255"/>
                    </a:xfrm>
                    <a:prstGeom prst="rect">
                      <a:avLst/>
                    </a:prstGeom>
                    <a:noFill/>
                  </pic:spPr>
                </pic:pic>
              </a:graphicData>
            </a:graphic>
          </wp:anchor>
        </w:drawing>
        <w:drawing>
          <wp:anchor simplePos="0" relativeHeight="251657728" behindDoc="1" locked="0" layoutInCell="0" allowOverlap="1">
            <wp:simplePos x="0" y="0"/>
            <wp:positionH relativeFrom="column">
              <wp:posOffset>1479550</wp:posOffset>
            </wp:positionH>
            <wp:positionV relativeFrom="paragraph">
              <wp:posOffset>-1544320</wp:posOffset>
            </wp:positionV>
            <wp:extent cx="550545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6">
                      <a:extLst>
                        <a:ext uri="{28A0092B-C50C-407E-A947-70E740481C1C}"/>
                      </a:extLst>
                    </a:blip>
                    <a:srcRect/>
                    <a:stretch>
                      <a:fillRect/>
                    </a:stretch>
                  </pic:blipFill>
                  <pic:spPr bwMode="auto">
                    <a:xfrm>
                      <a:off x="0" y="0"/>
                      <a:ext cx="5505450" cy="8890"/>
                    </a:xfrm>
                    <a:prstGeom prst="rect">
                      <a:avLst/>
                    </a:prstGeom>
                    <a:noFill/>
                  </pic:spPr>
                </pic:pic>
              </a:graphicData>
            </a:graphic>
          </wp:anchor>
        </w:drawing>
        <w:drawing>
          <wp:anchor simplePos="0" relativeHeight="251657728" behindDoc="1" locked="0" layoutInCell="0" allowOverlap="1">
            <wp:simplePos x="0" y="0"/>
            <wp:positionH relativeFrom="column">
              <wp:posOffset>1479550</wp:posOffset>
            </wp:positionH>
            <wp:positionV relativeFrom="paragraph">
              <wp:posOffset>-1407160</wp:posOffset>
            </wp:positionV>
            <wp:extent cx="556577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7">
                      <a:extLst>
                        <a:ext uri="{28A0092B-C50C-407E-A947-70E740481C1C}"/>
                      </a:extLst>
                    </a:blip>
                    <a:srcRect/>
                    <a:stretch>
                      <a:fillRect/>
                    </a:stretch>
                  </pic:blipFill>
                  <pic:spPr bwMode="auto">
                    <a:xfrm>
                      <a:off x="0" y="0"/>
                      <a:ext cx="5565775" cy="8255"/>
                    </a:xfrm>
                    <a:prstGeom prst="rect">
                      <a:avLst/>
                    </a:prstGeom>
                    <a:noFill/>
                  </pic:spPr>
                </pic:pic>
              </a:graphicData>
            </a:graphic>
          </wp:anchor>
        </w:drawing>
        <w:drawing>
          <wp:anchor simplePos="0" relativeHeight="251657728" behindDoc="1" locked="0" layoutInCell="0" allowOverlap="1">
            <wp:simplePos x="0" y="0"/>
            <wp:positionH relativeFrom="column">
              <wp:posOffset>1479550</wp:posOffset>
            </wp:positionH>
            <wp:positionV relativeFrom="paragraph">
              <wp:posOffset>-1270000</wp:posOffset>
            </wp:positionV>
            <wp:extent cx="554736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8">
                      <a:extLst>
                        <a:ext uri="{28A0092B-C50C-407E-A947-70E740481C1C}"/>
                      </a:extLst>
                    </a:blip>
                    <a:srcRect/>
                    <a:stretch>
                      <a:fillRect/>
                    </a:stretch>
                  </pic:blipFill>
                  <pic:spPr bwMode="auto">
                    <a:xfrm>
                      <a:off x="0" y="0"/>
                      <a:ext cx="5547360" cy="8255"/>
                    </a:xfrm>
                    <a:prstGeom prst="rect">
                      <a:avLst/>
                    </a:prstGeom>
                    <a:noFill/>
                  </pic:spPr>
                </pic:pic>
              </a:graphicData>
            </a:graphic>
          </wp:anchor>
        </w:drawing>
        <w:drawing>
          <wp:anchor simplePos="0" relativeHeight="251657728" behindDoc="1" locked="0" layoutInCell="0" allowOverlap="1">
            <wp:simplePos x="0" y="0"/>
            <wp:positionH relativeFrom="column">
              <wp:posOffset>1479550</wp:posOffset>
            </wp:positionH>
            <wp:positionV relativeFrom="paragraph">
              <wp:posOffset>-1132840</wp:posOffset>
            </wp:positionV>
            <wp:extent cx="58674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9">
                      <a:extLst>
                        <a:ext uri="{28A0092B-C50C-407E-A947-70E740481C1C}"/>
                      </a:extLst>
                    </a:blip>
                    <a:srcRect/>
                    <a:stretch>
                      <a:fillRect/>
                    </a:stretch>
                  </pic:blipFill>
                  <pic:spPr bwMode="auto">
                    <a:xfrm>
                      <a:off x="0" y="0"/>
                      <a:ext cx="586740" cy="8890"/>
                    </a:xfrm>
                    <a:prstGeom prst="rect">
                      <a:avLst/>
                    </a:prstGeom>
                    <a:noFill/>
                  </pic:spPr>
                </pic:pic>
              </a:graphicData>
            </a:graphic>
          </wp:anchor>
        </w:drawing>
        <w:drawing>
          <wp:anchor simplePos="0" relativeHeight="251657728" behindDoc="1" locked="0" layoutInCell="0" allowOverlap="1">
            <wp:simplePos x="0" y="0"/>
            <wp:positionH relativeFrom="column">
              <wp:posOffset>1479550</wp:posOffset>
            </wp:positionH>
            <wp:positionV relativeFrom="paragraph">
              <wp:posOffset>-995680</wp:posOffset>
            </wp:positionV>
            <wp:extent cx="551751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0">
                      <a:extLst>
                        <a:ext uri="{28A0092B-C50C-407E-A947-70E740481C1C}"/>
                      </a:extLst>
                    </a:blip>
                    <a:srcRect/>
                    <a:stretch>
                      <a:fillRect/>
                    </a:stretch>
                  </pic:blipFill>
                  <pic:spPr bwMode="auto">
                    <a:xfrm>
                      <a:off x="0" y="0"/>
                      <a:ext cx="5517515" cy="8255"/>
                    </a:xfrm>
                    <a:prstGeom prst="rect">
                      <a:avLst/>
                    </a:prstGeom>
                    <a:noFill/>
                  </pic:spPr>
                </pic:pic>
              </a:graphicData>
            </a:graphic>
          </wp:anchor>
        </w:drawing>
        <w:drawing>
          <wp:anchor simplePos="0" relativeHeight="251657728" behindDoc="1" locked="0" layoutInCell="0" allowOverlap="1">
            <wp:simplePos x="0" y="0"/>
            <wp:positionH relativeFrom="column">
              <wp:posOffset>1479550</wp:posOffset>
            </wp:positionH>
            <wp:positionV relativeFrom="paragraph">
              <wp:posOffset>-858520</wp:posOffset>
            </wp:positionV>
            <wp:extent cx="243395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1">
                      <a:extLst>
                        <a:ext uri="{28A0092B-C50C-407E-A947-70E740481C1C}"/>
                      </a:extLst>
                    </a:blip>
                    <a:srcRect/>
                    <a:stretch>
                      <a:fillRect/>
                    </a:stretch>
                  </pic:blipFill>
                  <pic:spPr bwMode="auto">
                    <a:xfrm>
                      <a:off x="0" y="0"/>
                      <a:ext cx="2433955" cy="8890"/>
                    </a:xfrm>
                    <a:prstGeom prst="rect">
                      <a:avLst/>
                    </a:prstGeom>
                    <a:noFill/>
                  </pic:spPr>
                </pic:pic>
              </a:graphicData>
            </a:graphic>
          </wp:anchor>
        </w:drawing>
        <w:drawing>
          <wp:anchor simplePos="0" relativeHeight="251657728" behindDoc="1" locked="0" layoutInCell="0" allowOverlap="1">
            <wp:simplePos x="0" y="0"/>
            <wp:positionH relativeFrom="column">
              <wp:posOffset>1479550</wp:posOffset>
            </wp:positionH>
            <wp:positionV relativeFrom="paragraph">
              <wp:posOffset>-721360</wp:posOffset>
            </wp:positionV>
            <wp:extent cx="563435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2">
                      <a:extLst>
                        <a:ext uri="{28A0092B-C50C-407E-A947-70E740481C1C}"/>
                      </a:extLst>
                    </a:blip>
                    <a:srcRect/>
                    <a:stretch>
                      <a:fillRect/>
                    </a:stretch>
                  </pic:blipFill>
                  <pic:spPr bwMode="auto">
                    <a:xfrm>
                      <a:off x="0" y="0"/>
                      <a:ext cx="5634355" cy="8255"/>
                    </a:xfrm>
                    <a:prstGeom prst="rect">
                      <a:avLst/>
                    </a:prstGeom>
                    <a:noFill/>
                  </pic:spPr>
                </pic:pic>
              </a:graphicData>
            </a:graphic>
          </wp:anchor>
        </w:drawing>
        <w:drawing>
          <wp:anchor simplePos="0" relativeHeight="251657728" behindDoc="1" locked="0" layoutInCell="0" allowOverlap="1">
            <wp:simplePos x="0" y="0"/>
            <wp:positionH relativeFrom="column">
              <wp:posOffset>1479550</wp:posOffset>
            </wp:positionH>
            <wp:positionV relativeFrom="paragraph">
              <wp:posOffset>-584200</wp:posOffset>
            </wp:positionV>
            <wp:extent cx="276352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3">
                      <a:extLst>
                        <a:ext uri="{28A0092B-C50C-407E-A947-70E740481C1C}"/>
                      </a:extLst>
                    </a:blip>
                    <a:srcRect/>
                    <a:stretch>
                      <a:fillRect/>
                    </a:stretch>
                  </pic:blipFill>
                  <pic:spPr bwMode="auto">
                    <a:xfrm>
                      <a:off x="0" y="0"/>
                      <a:ext cx="2763520" cy="8255"/>
                    </a:xfrm>
                    <a:prstGeom prst="rect">
                      <a:avLst/>
                    </a:prstGeom>
                    <a:noFill/>
                  </pic:spPr>
                </pic:pic>
              </a:graphicData>
            </a:graphic>
          </wp:anchor>
        </w:drawing>
        <w:drawing>
          <wp:anchor simplePos="0" relativeHeight="251657728" behindDoc="1" locked="0" layoutInCell="0" allowOverlap="1">
            <wp:simplePos x="0" y="0"/>
            <wp:positionH relativeFrom="column">
              <wp:posOffset>1479550</wp:posOffset>
            </wp:positionH>
            <wp:positionV relativeFrom="paragraph">
              <wp:posOffset>-447040</wp:posOffset>
            </wp:positionV>
            <wp:extent cx="528574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4">
                      <a:extLst>
                        <a:ext uri="{28A0092B-C50C-407E-A947-70E740481C1C}"/>
                      </a:extLst>
                    </a:blip>
                    <a:srcRect/>
                    <a:stretch>
                      <a:fillRect/>
                    </a:stretch>
                  </pic:blipFill>
                  <pic:spPr bwMode="auto">
                    <a:xfrm>
                      <a:off x="0" y="0"/>
                      <a:ext cx="5285740" cy="8890"/>
                    </a:xfrm>
                    <a:prstGeom prst="rect">
                      <a:avLst/>
                    </a:prstGeom>
                    <a:noFill/>
                  </pic:spPr>
                </pic:pic>
              </a:graphicData>
            </a:graphic>
          </wp:anchor>
        </w:drawing>
        <w:drawing>
          <wp:anchor simplePos="0" relativeHeight="251657728" behindDoc="1" locked="0" layoutInCell="0" allowOverlap="1">
            <wp:simplePos x="0" y="0"/>
            <wp:positionH relativeFrom="column">
              <wp:posOffset>1479550</wp:posOffset>
            </wp:positionH>
            <wp:positionV relativeFrom="paragraph">
              <wp:posOffset>-309880</wp:posOffset>
            </wp:positionV>
            <wp:extent cx="365569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5">
                      <a:extLst>
                        <a:ext uri="{28A0092B-C50C-407E-A947-70E740481C1C}"/>
                      </a:extLst>
                    </a:blip>
                    <a:srcRect/>
                    <a:stretch>
                      <a:fillRect/>
                    </a:stretch>
                  </pic:blipFill>
                  <pic:spPr bwMode="auto">
                    <a:xfrm>
                      <a:off x="0" y="0"/>
                      <a:ext cx="3655695" cy="8255"/>
                    </a:xfrm>
                    <a:prstGeom prst="rect">
                      <a:avLst/>
                    </a:prstGeom>
                    <a:noFill/>
                  </pic:spPr>
                </pic:pic>
              </a:graphicData>
            </a:graphic>
          </wp:anchor>
        </w:drawing>
        <w:drawing>
          <wp:anchor simplePos="0" relativeHeight="251657728" behindDoc="1" locked="0" layoutInCell="0" allowOverlap="1">
            <wp:simplePos x="0" y="0"/>
            <wp:positionH relativeFrom="column">
              <wp:posOffset>1479550</wp:posOffset>
            </wp:positionH>
            <wp:positionV relativeFrom="paragraph">
              <wp:posOffset>-172720</wp:posOffset>
            </wp:positionV>
            <wp:extent cx="563435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6">
                      <a:extLst>
                        <a:ext uri="{28A0092B-C50C-407E-A947-70E740481C1C}"/>
                      </a:extLst>
                    </a:blip>
                    <a:srcRect/>
                    <a:stretch>
                      <a:fillRect/>
                    </a:stretch>
                  </pic:blipFill>
                  <pic:spPr bwMode="auto">
                    <a:xfrm>
                      <a:off x="0" y="0"/>
                      <a:ext cx="5634355" cy="8890"/>
                    </a:xfrm>
                    <a:prstGeom prst="rect">
                      <a:avLst/>
                    </a:prstGeom>
                    <a:noFill/>
                  </pic:spPr>
                </pic:pic>
              </a:graphicData>
            </a:graphic>
          </wp:anchor>
        </w:drawing>
        <w:drawing>
          <wp:anchor simplePos="0" relativeHeight="251657728" behindDoc="1" locked="0" layoutInCell="0" allowOverlap="1">
            <wp:simplePos x="0" y="0"/>
            <wp:positionH relativeFrom="column">
              <wp:posOffset>1479550</wp:posOffset>
            </wp:positionH>
            <wp:positionV relativeFrom="paragraph">
              <wp:posOffset>-35560</wp:posOffset>
            </wp:positionV>
            <wp:extent cx="247459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7">
                      <a:extLst>
                        <a:ext uri="{28A0092B-C50C-407E-A947-70E740481C1C}"/>
                      </a:extLst>
                    </a:blip>
                    <a:srcRect/>
                    <a:stretch>
                      <a:fillRect/>
                    </a:stretch>
                  </pic:blipFill>
                  <pic:spPr bwMode="auto">
                    <a:xfrm>
                      <a:off x="0" y="0"/>
                      <a:ext cx="2474595" cy="8255"/>
                    </a:xfrm>
                    <a:prstGeom prst="rect">
                      <a:avLst/>
                    </a:prstGeom>
                    <a:noFill/>
                  </pic:spPr>
                </pic:pic>
              </a:graphicData>
            </a:graphic>
          </wp:anchor>
        </w:drawing>
      </w:r>
    </w:p>
    <w:p>
      <w:pPr>
        <w:spacing w:after="0" w:line="161" w:lineRule="exact"/>
        <w:rPr>
          <w:rFonts w:ascii="Times New Roman" w:cs="Times New Roman" w:eastAsia="Times New Roman" w:hAnsi="Times New Roman"/>
          <w:sz w:val="18"/>
          <w:szCs w:val="18"/>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97" w:right="379" w:bottom="1440" w:gutter="0" w:footer="0" w:header="0"/>
        </w:sectPr>
      </w:pPr>
    </w:p>
    <w:bookmarkStart w:id="85" w:name="page86"/>
    <w:bookmarkEnd w:id="85"/>
    <w:p>
      <w:pPr>
        <w:ind w:left="1643" w:right="60" w:hanging="1643"/>
        <w:spacing w:after="0" w:line="255" w:lineRule="auto"/>
        <w:tabs>
          <w:tab w:leader="none" w:pos="1063" w:val="left"/>
        </w:tabs>
        <w:numPr>
          <w:ilvl w:val="0"/>
          <w:numId w:val="23"/>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a.</w:t>
      </w:r>
      <w:hyperlink r:id="rId139">
        <w:r>
          <w:rPr>
            <w:rFonts w:ascii="Times New Roman" w:cs="Times New Roman" w:eastAsia="Times New Roman" w:hAnsi="Times New Roman"/>
            <w:sz w:val="18"/>
            <w:szCs w:val="18"/>
            <w:u w:val="single" w:color="auto"/>
            <w:color w:val="0000FF"/>
          </w:rPr>
          <w:t>Fourth Amended and Restated Credit Agreement, dated as of January 31, 2018, by and among Genesco Inc., certain</w:t>
        </w:r>
      </w:hyperlink>
      <w:r>
        <w:rPr>
          <w:rFonts w:ascii="Times New Roman" w:cs="Times New Roman" w:eastAsia="Times New Roman" w:hAnsi="Times New Roman"/>
          <w:sz w:val="18"/>
          <w:szCs w:val="18"/>
          <w:u w:val="single" w:color="auto"/>
          <w:color w:val="0000FF"/>
        </w:rPr>
        <w:t xml:space="preserve"> </w:t>
      </w:r>
      <w:hyperlink r:id="rId139">
        <w:r>
          <w:rPr>
            <w:rFonts w:ascii="Times New Roman" w:cs="Times New Roman" w:eastAsia="Times New Roman" w:hAnsi="Times New Roman"/>
            <w:sz w:val="18"/>
            <w:szCs w:val="18"/>
            <w:u w:val="single" w:color="auto"/>
            <w:color w:val="0000FF"/>
          </w:rPr>
          <w:t>subsidiaries of Genesco Inc. party thereto, as other Other Domestic Borrowers, GCO Canada Inc., Genesco (UK) Limited,</w:t>
        </w:r>
      </w:hyperlink>
      <w:r>
        <w:rPr>
          <w:rFonts w:ascii="Times New Roman" w:cs="Times New Roman" w:eastAsia="Times New Roman" w:hAnsi="Times New Roman"/>
          <w:sz w:val="18"/>
          <w:szCs w:val="18"/>
          <w:u w:val="single" w:color="auto"/>
          <w:color w:val="0000FF"/>
        </w:rPr>
        <w:t xml:space="preserve"> </w:t>
      </w:r>
      <w:hyperlink r:id="rId139">
        <w:r>
          <w:rPr>
            <w:rFonts w:ascii="Times New Roman" w:cs="Times New Roman" w:eastAsia="Times New Roman" w:hAnsi="Times New Roman"/>
            <w:sz w:val="18"/>
            <w:szCs w:val="18"/>
            <w:u w:val="single" w:color="auto"/>
            <w:color w:val="0000FF"/>
          </w:rPr>
          <w:t>the Lenders party thereto and Bank of America, N.A., as Agent. Incorporated by reference to Exhibit 10.1 to the current</w:t>
        </w:r>
      </w:hyperlink>
      <w:r>
        <w:rPr>
          <w:rFonts w:ascii="Times New Roman" w:cs="Times New Roman" w:eastAsia="Times New Roman" w:hAnsi="Times New Roman"/>
          <w:sz w:val="18"/>
          <w:szCs w:val="18"/>
          <w:u w:val="single" w:color="auto"/>
          <w:color w:val="0000FF"/>
        </w:rPr>
        <w:t xml:space="preserve"> </w:t>
      </w:r>
      <w:hyperlink r:id="rId139">
        <w:r>
          <w:rPr>
            <w:rFonts w:ascii="Times New Roman" w:cs="Times New Roman" w:eastAsia="Times New Roman" w:hAnsi="Times New Roman"/>
            <w:sz w:val="18"/>
            <w:szCs w:val="18"/>
            <w:u w:val="single" w:color="auto"/>
            <w:color w:val="0000FF"/>
          </w:rPr>
          <w:t>report on Form 8-K filed February 3, 2018. (File No. 1-3083).</w:t>
        </w:r>
      </w:hyperlink>
    </w:p>
    <w:p>
      <w:pPr>
        <w:spacing w:after="0" w:line="2" w:lineRule="exact"/>
        <w:rPr>
          <w:rFonts w:ascii="Times New Roman" w:cs="Times New Roman" w:eastAsia="Times New Roman" w:hAnsi="Times New Roman"/>
          <w:sz w:val="18"/>
          <w:szCs w:val="18"/>
          <w:u w:val="single" w:color="auto"/>
          <w:color w:val="0000FF"/>
        </w:rPr>
      </w:pPr>
    </w:p>
    <w:p>
      <w:pPr>
        <w:ind w:left="1643" w:right="260" w:hanging="590"/>
        <w:spacing w:after="0" w:line="250" w:lineRule="auto"/>
        <w:tabs>
          <w:tab w:leader="none" w:pos="1643" w:val="left"/>
        </w:tabs>
        <w:numPr>
          <w:ilvl w:val="1"/>
          <w:numId w:val="23"/>
        </w:numPr>
        <w:rPr>
          <w:rFonts w:ascii="Times New Roman" w:cs="Times New Roman" w:eastAsia="Times New Roman" w:hAnsi="Times New Roman"/>
          <w:sz w:val="18"/>
          <w:szCs w:val="18"/>
          <w:u w:val="single" w:color="auto"/>
          <w:color w:val="0000FF"/>
        </w:rPr>
      </w:pPr>
      <w:hyperlink r:id="rId140">
        <w:r>
          <w:rPr>
            <w:rFonts w:ascii="Times New Roman" w:cs="Times New Roman" w:eastAsia="Times New Roman" w:hAnsi="Times New Roman"/>
            <w:sz w:val="18"/>
            <w:szCs w:val="18"/>
            <w:u w:val="single" w:color="auto"/>
            <w:color w:val="0000FF"/>
          </w:rPr>
          <w:t>First Amendment to Fourth Amended and Restated Credit Agreement, dated as of February 1, 2019, by and among</w:t>
        </w:r>
      </w:hyperlink>
      <w:r>
        <w:rPr>
          <w:rFonts w:ascii="Times New Roman" w:cs="Times New Roman" w:eastAsia="Times New Roman" w:hAnsi="Times New Roman"/>
          <w:sz w:val="18"/>
          <w:szCs w:val="18"/>
          <w:u w:val="single" w:color="auto"/>
          <w:color w:val="0000FF"/>
        </w:rPr>
        <w:t xml:space="preserve"> </w:t>
      </w:r>
      <w:hyperlink r:id="rId140">
        <w:r>
          <w:rPr>
            <w:rFonts w:ascii="Times New Roman" w:cs="Times New Roman" w:eastAsia="Times New Roman" w:hAnsi="Times New Roman"/>
            <w:sz w:val="18"/>
            <w:szCs w:val="18"/>
            <w:u w:val="single" w:color="auto"/>
            <w:color w:val="0000FF"/>
          </w:rPr>
          <w:t>Genesco Inc., certain subsidiaries of Genesco Inc. party thereto, as other Other Domestic Borrowers, GCO Canada Inc.,</w:t>
        </w:r>
      </w:hyperlink>
      <w:r>
        <w:rPr>
          <w:rFonts w:ascii="Times New Roman" w:cs="Times New Roman" w:eastAsia="Times New Roman" w:hAnsi="Times New Roman"/>
          <w:sz w:val="18"/>
          <w:szCs w:val="18"/>
          <w:u w:val="single" w:color="auto"/>
          <w:color w:val="0000FF"/>
        </w:rPr>
        <w:t xml:space="preserve"> </w:t>
      </w:r>
      <w:hyperlink r:id="rId140">
        <w:r>
          <w:rPr>
            <w:rFonts w:ascii="Times New Roman" w:cs="Times New Roman" w:eastAsia="Times New Roman" w:hAnsi="Times New Roman"/>
            <w:sz w:val="18"/>
            <w:szCs w:val="18"/>
            <w:u w:val="single" w:color="auto"/>
            <w:color w:val="0000FF"/>
          </w:rPr>
          <w:t>Genesco (UK) Limited, the Lender party thereto and Bank of America, N.A., as Agent. Incorporated by reference to</w:t>
        </w:r>
      </w:hyperlink>
      <w:r>
        <w:rPr>
          <w:rFonts w:ascii="Times New Roman" w:cs="Times New Roman" w:eastAsia="Times New Roman" w:hAnsi="Times New Roman"/>
          <w:sz w:val="18"/>
          <w:szCs w:val="18"/>
          <w:u w:val="single" w:color="auto"/>
          <w:color w:val="0000FF"/>
        </w:rPr>
        <w:t xml:space="preserve"> </w:t>
      </w:r>
      <w:hyperlink r:id="rId140">
        <w:r>
          <w:rPr>
            <w:rFonts w:ascii="Times New Roman" w:cs="Times New Roman" w:eastAsia="Times New Roman" w:hAnsi="Times New Roman"/>
            <w:sz w:val="18"/>
            <w:szCs w:val="18"/>
            <w:u w:val="single" w:color="auto"/>
            <w:color w:val="0000FF"/>
          </w:rPr>
          <w:t>Exhibit 10.1 to the current report on Form 8-K filed February 5, 2019 (File No. 1-3083).</w:t>
        </w:r>
      </w:hyperlink>
    </w:p>
    <w:p>
      <w:pPr>
        <w:spacing w:after="0" w:line="1" w:lineRule="exact"/>
        <w:rPr>
          <w:rFonts w:ascii="Times New Roman" w:cs="Times New Roman" w:eastAsia="Times New Roman" w:hAnsi="Times New Roman"/>
          <w:sz w:val="18"/>
          <w:szCs w:val="18"/>
          <w:u w:val="single" w:color="auto"/>
          <w:color w:val="0000FF"/>
        </w:rPr>
      </w:pPr>
    </w:p>
    <w:p>
      <w:pPr>
        <w:ind w:left="1643" w:hanging="590"/>
        <w:spacing w:after="0" w:line="250" w:lineRule="auto"/>
        <w:tabs>
          <w:tab w:leader="none" w:pos="1643" w:val="left"/>
        </w:tabs>
        <w:numPr>
          <w:ilvl w:val="1"/>
          <w:numId w:val="23"/>
        </w:numPr>
        <w:rPr>
          <w:rFonts w:ascii="Times New Roman" w:cs="Times New Roman" w:eastAsia="Times New Roman" w:hAnsi="Times New Roman"/>
          <w:sz w:val="18"/>
          <w:szCs w:val="18"/>
          <w:u w:val="single" w:color="auto"/>
          <w:color w:val="0000FF"/>
        </w:rPr>
      </w:pPr>
      <w:hyperlink r:id="rId141">
        <w:r>
          <w:rPr>
            <w:rFonts w:ascii="Times New Roman" w:cs="Times New Roman" w:eastAsia="Times New Roman" w:hAnsi="Times New Roman"/>
            <w:sz w:val="18"/>
            <w:szCs w:val="18"/>
            <w:u w:val="single" w:color="auto"/>
            <w:color w:val="0000FF"/>
          </w:rPr>
          <w:t>Second Amendment to Fourth Amended and Restated Credit Agreement, dated as of June 5, 2020, by and among Genesco</w:t>
        </w:r>
      </w:hyperlink>
      <w:r>
        <w:rPr>
          <w:rFonts w:ascii="Times New Roman" w:cs="Times New Roman" w:eastAsia="Times New Roman" w:hAnsi="Times New Roman"/>
          <w:sz w:val="18"/>
          <w:szCs w:val="18"/>
          <w:u w:val="single" w:color="auto"/>
          <w:color w:val="0000FF"/>
        </w:rPr>
        <w:t xml:space="preserve"> </w:t>
      </w:r>
      <w:hyperlink r:id="rId141">
        <w:r>
          <w:rPr>
            <w:rFonts w:ascii="Times New Roman" w:cs="Times New Roman" w:eastAsia="Times New Roman" w:hAnsi="Times New Roman"/>
            <w:sz w:val="18"/>
            <w:szCs w:val="18"/>
            <w:u w:val="single" w:color="auto"/>
            <w:color w:val="0000FF"/>
          </w:rPr>
          <w:t>Inc., certain subsidiaries of Genesco Inc. party thereto, as other Other Domestic Borrowers, GCO Canada Inc., Genesco</w:t>
        </w:r>
      </w:hyperlink>
      <w:r>
        <w:rPr>
          <w:rFonts w:ascii="Times New Roman" w:cs="Times New Roman" w:eastAsia="Times New Roman" w:hAnsi="Times New Roman"/>
          <w:sz w:val="18"/>
          <w:szCs w:val="18"/>
          <w:u w:val="single" w:color="auto"/>
          <w:color w:val="0000FF"/>
        </w:rPr>
        <w:t xml:space="preserve"> </w:t>
      </w:r>
      <w:hyperlink r:id="rId141">
        <w:r>
          <w:rPr>
            <w:rFonts w:ascii="Times New Roman" w:cs="Times New Roman" w:eastAsia="Times New Roman" w:hAnsi="Times New Roman"/>
            <w:sz w:val="18"/>
            <w:szCs w:val="18"/>
            <w:u w:val="single" w:color="auto"/>
            <w:color w:val="0000FF"/>
          </w:rPr>
          <w:t>(UK) Limited, the Lender party thereto and Bank of America, N.A., as Agent. Incorporated by reference to Exhibit 10.1 to</w:t>
        </w:r>
      </w:hyperlink>
      <w:r>
        <w:rPr>
          <w:rFonts w:ascii="Times New Roman" w:cs="Times New Roman" w:eastAsia="Times New Roman" w:hAnsi="Times New Roman"/>
          <w:sz w:val="18"/>
          <w:szCs w:val="18"/>
          <w:u w:val="single" w:color="auto"/>
          <w:color w:val="0000FF"/>
        </w:rPr>
        <w:t xml:space="preserve"> </w:t>
      </w:r>
      <w:hyperlink r:id="rId141">
        <w:r>
          <w:rPr>
            <w:rFonts w:ascii="Times New Roman" w:cs="Times New Roman" w:eastAsia="Times New Roman" w:hAnsi="Times New Roman"/>
            <w:sz w:val="18"/>
            <w:szCs w:val="18"/>
            <w:u w:val="single" w:color="auto"/>
            <w:color w:val="0000FF"/>
          </w:rPr>
          <w:t>the current report on Form 8-K filed June 9, 2020. (File No. 1-3083).</w:t>
        </w:r>
      </w:hyperlink>
    </w:p>
    <w:p>
      <w:pPr>
        <w:spacing w:after="0" w:line="1" w:lineRule="exact"/>
        <w:rPr>
          <w:rFonts w:ascii="Times New Roman" w:cs="Times New Roman" w:eastAsia="Times New Roman" w:hAnsi="Times New Roman"/>
          <w:sz w:val="18"/>
          <w:szCs w:val="18"/>
          <w:u w:val="single" w:color="auto"/>
          <w:color w:val="0000FF"/>
        </w:rPr>
      </w:pPr>
    </w:p>
    <w:p>
      <w:pPr>
        <w:ind w:left="1643" w:hanging="590"/>
        <w:spacing w:after="0" w:line="250" w:lineRule="auto"/>
        <w:tabs>
          <w:tab w:leader="none" w:pos="1643" w:val="left"/>
        </w:tabs>
        <w:numPr>
          <w:ilvl w:val="1"/>
          <w:numId w:val="23"/>
        </w:numPr>
        <w:rPr>
          <w:rFonts w:ascii="Times New Roman" w:cs="Times New Roman" w:eastAsia="Times New Roman" w:hAnsi="Times New Roman"/>
          <w:sz w:val="18"/>
          <w:szCs w:val="18"/>
          <w:u w:val="single" w:color="auto"/>
          <w:color w:val="0000FF"/>
        </w:rPr>
      </w:pPr>
      <w:hyperlink r:id="rId142">
        <w:r>
          <w:rPr>
            <w:rFonts w:ascii="Times New Roman" w:cs="Times New Roman" w:eastAsia="Times New Roman" w:hAnsi="Times New Roman"/>
            <w:sz w:val="18"/>
            <w:szCs w:val="18"/>
            <w:u w:val="single" w:color="auto"/>
            <w:color w:val="0000FF"/>
          </w:rPr>
          <w:t>Third Amendment to Fourth Amended and Restated Credit Agreement, dated as of January 28, 2022 by and among</w:t>
        </w:r>
      </w:hyperlink>
      <w:r>
        <w:rPr>
          <w:rFonts w:ascii="Times New Roman" w:cs="Times New Roman" w:eastAsia="Times New Roman" w:hAnsi="Times New Roman"/>
          <w:sz w:val="18"/>
          <w:szCs w:val="18"/>
          <w:u w:val="single" w:color="auto"/>
          <w:color w:val="0000FF"/>
        </w:rPr>
        <w:t xml:space="preserve"> </w:t>
      </w:r>
      <w:hyperlink r:id="rId142">
        <w:r>
          <w:rPr>
            <w:rFonts w:ascii="Times New Roman" w:cs="Times New Roman" w:eastAsia="Times New Roman" w:hAnsi="Times New Roman"/>
            <w:sz w:val="18"/>
            <w:szCs w:val="18"/>
            <w:u w:val="single" w:color="auto"/>
            <w:color w:val="0000FF"/>
          </w:rPr>
          <w:t>Genesco Inc., certain subsidiaries of Genesco Inc. party thereto, as Other Domestic Borrowers, GCO Canada Inc., Genesco</w:t>
        </w:r>
      </w:hyperlink>
      <w:r>
        <w:rPr>
          <w:rFonts w:ascii="Times New Roman" w:cs="Times New Roman" w:eastAsia="Times New Roman" w:hAnsi="Times New Roman"/>
          <w:sz w:val="18"/>
          <w:szCs w:val="18"/>
          <w:u w:val="single" w:color="auto"/>
          <w:color w:val="0000FF"/>
        </w:rPr>
        <w:t xml:space="preserve"> </w:t>
      </w:r>
      <w:hyperlink r:id="rId142">
        <w:r>
          <w:rPr>
            <w:rFonts w:ascii="Times New Roman" w:cs="Times New Roman" w:eastAsia="Times New Roman" w:hAnsi="Times New Roman"/>
            <w:sz w:val="18"/>
            <w:szCs w:val="18"/>
            <w:u w:val="single" w:color="auto"/>
            <w:color w:val="0000FF"/>
          </w:rPr>
          <w:t>(UK) Limited, the Lender party thereto and Bank of America, N.A., as Agent. Incorporated by reference to Exhibit 10.1 to</w:t>
        </w:r>
      </w:hyperlink>
      <w:r>
        <w:rPr>
          <w:rFonts w:ascii="Times New Roman" w:cs="Times New Roman" w:eastAsia="Times New Roman" w:hAnsi="Times New Roman"/>
          <w:sz w:val="18"/>
          <w:szCs w:val="18"/>
          <w:u w:val="single" w:color="auto"/>
          <w:color w:val="0000FF"/>
        </w:rPr>
        <w:t xml:space="preserve"> </w:t>
      </w:r>
      <w:hyperlink r:id="rId142">
        <w:r>
          <w:rPr>
            <w:rFonts w:ascii="Times New Roman" w:cs="Times New Roman" w:eastAsia="Times New Roman" w:hAnsi="Times New Roman"/>
            <w:sz w:val="18"/>
            <w:szCs w:val="18"/>
            <w:u w:val="single" w:color="auto"/>
            <w:color w:val="0000FF"/>
          </w:rPr>
          <w:t>the current report on Form 8-K filed February 3, 2022. (File No. 1-3083).</w:t>
        </w:r>
      </w:hyperlink>
    </w:p>
    <w:p>
      <w:pPr>
        <w:spacing w:after="0" w:line="1" w:lineRule="exact"/>
        <w:rPr>
          <w:rFonts w:ascii="Times New Roman" w:cs="Times New Roman" w:eastAsia="Times New Roman" w:hAnsi="Times New Roman"/>
          <w:sz w:val="18"/>
          <w:szCs w:val="18"/>
          <w:u w:val="single" w:color="auto"/>
          <w:color w:val="0000FF"/>
        </w:rPr>
      </w:pPr>
    </w:p>
    <w:p>
      <w:pPr>
        <w:ind w:left="1643" w:right="440" w:hanging="590"/>
        <w:spacing w:after="0" w:line="250" w:lineRule="auto"/>
        <w:tabs>
          <w:tab w:leader="none" w:pos="1643" w:val="left"/>
        </w:tabs>
        <w:numPr>
          <w:ilvl w:val="1"/>
          <w:numId w:val="23"/>
        </w:numPr>
        <w:rPr>
          <w:rFonts w:ascii="Times New Roman" w:cs="Times New Roman" w:eastAsia="Times New Roman" w:hAnsi="Times New Roman"/>
          <w:sz w:val="18"/>
          <w:szCs w:val="18"/>
          <w:u w:val="single" w:color="auto"/>
          <w:color w:val="0000FF"/>
        </w:rPr>
      </w:pPr>
      <w:hyperlink r:id="rId143">
        <w:r>
          <w:rPr>
            <w:rFonts w:ascii="Times New Roman" w:cs="Times New Roman" w:eastAsia="Times New Roman" w:hAnsi="Times New Roman"/>
            <w:sz w:val="18"/>
            <w:szCs w:val="18"/>
            <w:u w:val="single" w:color="auto"/>
            <w:color w:val="0000FF"/>
          </w:rPr>
          <w:t>Form of Split-Dollar Insurance Agreement with Executive Officers. Incorporated by reference to Exhibit (10)a to the</w:t>
        </w:r>
      </w:hyperlink>
      <w:r>
        <w:rPr>
          <w:rFonts w:ascii="Times New Roman" w:cs="Times New Roman" w:eastAsia="Times New Roman" w:hAnsi="Times New Roman"/>
          <w:sz w:val="18"/>
          <w:szCs w:val="18"/>
          <w:u w:val="single" w:color="auto"/>
          <w:color w:val="0000FF"/>
        </w:rPr>
        <w:t xml:space="preserve"> </w:t>
      </w:r>
      <w:hyperlink r:id="rId143">
        <w:r>
          <w:rPr>
            <w:rFonts w:ascii="Times New Roman" w:cs="Times New Roman" w:eastAsia="Times New Roman" w:hAnsi="Times New Roman"/>
            <w:sz w:val="18"/>
            <w:szCs w:val="18"/>
            <w:u w:val="single" w:color="auto"/>
            <w:color w:val="0000FF"/>
          </w:rPr>
          <w:t>Company’s Annual Report on Form 10-K for the fiscal year ended February 1, 1997 (File No.1-3083).</w:t>
        </w:r>
      </w:hyperlink>
    </w:p>
    <w:p>
      <w:pPr>
        <w:ind w:left="1643" w:right="120" w:hanging="590"/>
        <w:spacing w:after="0" w:line="250" w:lineRule="auto"/>
        <w:tabs>
          <w:tab w:leader="none" w:pos="1643" w:val="left"/>
        </w:tabs>
        <w:numPr>
          <w:ilvl w:val="1"/>
          <w:numId w:val="23"/>
        </w:numPr>
        <w:rPr>
          <w:rFonts w:ascii="Times New Roman" w:cs="Times New Roman" w:eastAsia="Times New Roman" w:hAnsi="Times New Roman"/>
          <w:sz w:val="18"/>
          <w:szCs w:val="18"/>
          <w:u w:val="single" w:color="auto"/>
          <w:color w:val="0000FF"/>
        </w:rPr>
      </w:pPr>
      <w:hyperlink r:id="rId144">
        <w:r>
          <w:rPr>
            <w:rFonts w:ascii="Times New Roman" w:cs="Times New Roman" w:eastAsia="Times New Roman" w:hAnsi="Times New Roman"/>
            <w:sz w:val="18"/>
            <w:szCs w:val="18"/>
            <w:u w:val="single" w:color="auto"/>
            <w:color w:val="0000FF"/>
          </w:rPr>
          <w:t>Genesco Inc. Second Amended and Restated 2009 Equity Incentive Plan. Incorporated by reference to Exhibit 10.1 to the</w:t>
        </w:r>
      </w:hyperlink>
      <w:r>
        <w:rPr>
          <w:rFonts w:ascii="Times New Roman" w:cs="Times New Roman" w:eastAsia="Times New Roman" w:hAnsi="Times New Roman"/>
          <w:sz w:val="18"/>
          <w:szCs w:val="18"/>
          <w:u w:val="single" w:color="auto"/>
          <w:color w:val="0000FF"/>
        </w:rPr>
        <w:t xml:space="preserve"> </w:t>
      </w:r>
      <w:hyperlink r:id="rId144">
        <w:r>
          <w:rPr>
            <w:rFonts w:ascii="Times New Roman" w:cs="Times New Roman" w:eastAsia="Times New Roman" w:hAnsi="Times New Roman"/>
            <w:sz w:val="18"/>
            <w:szCs w:val="18"/>
            <w:u w:val="single" w:color="auto"/>
            <w:color w:val="0000FF"/>
          </w:rPr>
          <w:t>Company’s current report on Form 8-K, filed June 28, 2016 (File No. 1-3083)</w:t>
        </w:r>
      </w:hyperlink>
    </w:p>
    <w:p>
      <w:pPr>
        <w:ind w:left="1643" w:right="60" w:hanging="590"/>
        <w:spacing w:after="0" w:line="250" w:lineRule="auto"/>
        <w:tabs>
          <w:tab w:leader="none" w:pos="1643" w:val="left"/>
        </w:tabs>
        <w:numPr>
          <w:ilvl w:val="1"/>
          <w:numId w:val="23"/>
        </w:numPr>
        <w:rPr>
          <w:rFonts w:ascii="Times New Roman" w:cs="Times New Roman" w:eastAsia="Times New Roman" w:hAnsi="Times New Roman"/>
          <w:sz w:val="18"/>
          <w:szCs w:val="18"/>
          <w:u w:val="single" w:color="auto"/>
          <w:color w:val="0000FF"/>
        </w:rPr>
      </w:pPr>
      <w:hyperlink r:id="rId145">
        <w:r>
          <w:rPr>
            <w:rFonts w:ascii="Times New Roman" w:cs="Times New Roman" w:eastAsia="Times New Roman" w:hAnsi="Times New Roman"/>
            <w:sz w:val="18"/>
            <w:szCs w:val="18"/>
            <w:u w:val="single" w:color="auto"/>
            <w:color w:val="0000FF"/>
          </w:rPr>
          <w:t>Genesco Inc. Third Amended and Restated EVA Incentive Compensation Plan. Incorporated by reference to Exhibit (10)h</w:t>
        </w:r>
      </w:hyperlink>
      <w:r>
        <w:rPr>
          <w:rFonts w:ascii="Times New Roman" w:cs="Times New Roman" w:eastAsia="Times New Roman" w:hAnsi="Times New Roman"/>
          <w:sz w:val="18"/>
          <w:szCs w:val="18"/>
          <w:u w:val="single" w:color="auto"/>
          <w:color w:val="0000FF"/>
        </w:rPr>
        <w:t xml:space="preserve"> </w:t>
      </w:r>
      <w:hyperlink r:id="rId145">
        <w:r>
          <w:rPr>
            <w:rFonts w:ascii="Times New Roman" w:cs="Times New Roman" w:eastAsia="Times New Roman" w:hAnsi="Times New Roman"/>
            <w:sz w:val="18"/>
            <w:szCs w:val="18"/>
            <w:u w:val="single" w:color="auto"/>
            <w:color w:val="0000FF"/>
          </w:rPr>
          <w:t>to the Company’s Annual Report on Form 10-K for the fiscal year ended February 1, 2020. (File No. 1-3083).</w:t>
        </w:r>
      </w:hyperlink>
    </w:p>
    <w:p>
      <w:pPr>
        <w:ind w:left="1643" w:right="60" w:hanging="590"/>
        <w:spacing w:after="0" w:line="265" w:lineRule="auto"/>
        <w:tabs>
          <w:tab w:leader="none" w:pos="1643" w:val="left"/>
        </w:tabs>
        <w:numPr>
          <w:ilvl w:val="1"/>
          <w:numId w:val="23"/>
        </w:numPr>
        <w:rPr>
          <w:rFonts w:ascii="Times New Roman" w:cs="Times New Roman" w:eastAsia="Times New Roman" w:hAnsi="Times New Roman"/>
          <w:sz w:val="17"/>
          <w:szCs w:val="17"/>
          <w:u w:val="single" w:color="auto"/>
          <w:color w:val="0000FF"/>
        </w:rPr>
      </w:pPr>
      <w:hyperlink r:id="rId146">
        <w:r>
          <w:rPr>
            <w:rFonts w:ascii="Times New Roman" w:cs="Times New Roman" w:eastAsia="Times New Roman" w:hAnsi="Times New Roman"/>
            <w:sz w:val="17"/>
            <w:szCs w:val="17"/>
            <w:u w:val="single" w:color="auto"/>
            <w:color w:val="0000FF"/>
          </w:rPr>
          <w:t>First Amendment to the Third Amended and Restated EVA Incentive Compensation Plan of Genesco Inc. Incorporated by</w:t>
        </w:r>
      </w:hyperlink>
      <w:r>
        <w:rPr>
          <w:rFonts w:ascii="Times New Roman" w:cs="Times New Roman" w:eastAsia="Times New Roman" w:hAnsi="Times New Roman"/>
          <w:sz w:val="17"/>
          <w:szCs w:val="17"/>
          <w:u w:val="single" w:color="auto"/>
          <w:color w:val="0000FF"/>
        </w:rPr>
        <w:t xml:space="preserve"> </w:t>
      </w:r>
      <w:hyperlink r:id="rId146">
        <w:r>
          <w:rPr>
            <w:rFonts w:ascii="Times New Roman" w:cs="Times New Roman" w:eastAsia="Times New Roman" w:hAnsi="Times New Roman"/>
            <w:sz w:val="17"/>
            <w:szCs w:val="17"/>
            <w:u w:val="single" w:color="auto"/>
            <w:color w:val="0000FF"/>
          </w:rPr>
          <w:t>reference to Exhibit (10)a to the Company's Quarterly Report on Form 10-Q for the quarter ended May 1, 2021. (File No.</w:t>
        </w:r>
      </w:hyperlink>
    </w:p>
    <w:p>
      <w:pPr>
        <w:ind w:left="1643"/>
        <w:spacing w:after="0"/>
        <w:rPr>
          <w:rFonts w:ascii="Times New Roman" w:cs="Times New Roman" w:eastAsia="Times New Roman" w:hAnsi="Times New Roman"/>
          <w:sz w:val="18"/>
          <w:szCs w:val="18"/>
          <w:u w:val="single" w:color="auto"/>
          <w:color w:val="0000FF"/>
        </w:rPr>
      </w:pPr>
      <w:hyperlink r:id="rId146">
        <w:r>
          <w:rPr>
            <w:rFonts w:ascii="Times New Roman" w:cs="Times New Roman" w:eastAsia="Times New Roman" w:hAnsi="Times New Roman"/>
            <w:sz w:val="18"/>
            <w:szCs w:val="18"/>
            <w:u w:val="single" w:color="auto"/>
            <w:color w:val="0000FF"/>
          </w:rPr>
          <w:t>1-3083).</w:t>
        </w:r>
      </w:hyperlink>
    </w:p>
    <w:p>
      <w:pPr>
        <w:spacing w:after="0" w:line="9" w:lineRule="exact"/>
        <w:rPr>
          <w:rFonts w:ascii="Times New Roman" w:cs="Times New Roman" w:eastAsia="Times New Roman" w:hAnsi="Times New Roman"/>
          <w:sz w:val="18"/>
          <w:szCs w:val="18"/>
          <w:u w:val="single" w:color="auto"/>
          <w:color w:val="0000FF"/>
        </w:rPr>
      </w:pPr>
    </w:p>
    <w:p>
      <w:pPr>
        <w:ind w:left="1643" w:right="80" w:hanging="590"/>
        <w:spacing w:after="0" w:line="250" w:lineRule="auto"/>
        <w:tabs>
          <w:tab w:leader="none" w:pos="1643" w:val="left"/>
        </w:tabs>
        <w:numPr>
          <w:ilvl w:val="1"/>
          <w:numId w:val="23"/>
        </w:numPr>
        <w:rPr>
          <w:rFonts w:ascii="Times New Roman" w:cs="Times New Roman" w:eastAsia="Times New Roman" w:hAnsi="Times New Roman"/>
          <w:sz w:val="18"/>
          <w:szCs w:val="18"/>
          <w:u w:val="single" w:color="auto"/>
          <w:color w:val="0000FF"/>
        </w:rPr>
      </w:pPr>
      <w:hyperlink r:id="rId147">
        <w:r>
          <w:rPr>
            <w:rFonts w:ascii="Times New Roman" w:cs="Times New Roman" w:eastAsia="Times New Roman" w:hAnsi="Times New Roman"/>
            <w:sz w:val="18"/>
            <w:szCs w:val="18"/>
            <w:u w:val="single" w:color="auto"/>
            <w:color w:val="0000FF"/>
          </w:rPr>
          <w:t>Second Amendment to the Third Amended and Restated EVA Incentive Compensation Plan of Genesco Inc. Incorporated</w:t>
        </w:r>
      </w:hyperlink>
      <w:r>
        <w:rPr>
          <w:rFonts w:ascii="Times New Roman" w:cs="Times New Roman" w:eastAsia="Times New Roman" w:hAnsi="Times New Roman"/>
          <w:sz w:val="18"/>
          <w:szCs w:val="18"/>
          <w:u w:val="single" w:color="auto"/>
          <w:color w:val="0000FF"/>
        </w:rPr>
        <w:t xml:space="preserve"> </w:t>
      </w:r>
      <w:hyperlink r:id="rId147">
        <w:r>
          <w:rPr>
            <w:rFonts w:ascii="Times New Roman" w:cs="Times New Roman" w:eastAsia="Times New Roman" w:hAnsi="Times New Roman"/>
            <w:sz w:val="18"/>
            <w:szCs w:val="18"/>
            <w:u w:val="single" w:color="auto"/>
            <w:color w:val="0000FF"/>
          </w:rPr>
          <w:t>by reference to Exhibit (10)a to the Company's Quarterly Report on Form 10-Q for the quarter ended October 30, 2021.</w:t>
        </w:r>
      </w:hyperlink>
      <w:r>
        <w:rPr>
          <w:rFonts w:ascii="Times New Roman" w:cs="Times New Roman" w:eastAsia="Times New Roman" w:hAnsi="Times New Roman"/>
          <w:sz w:val="18"/>
          <w:szCs w:val="18"/>
          <w:u w:val="single" w:color="auto"/>
          <w:color w:val="0000FF"/>
        </w:rPr>
        <w:t xml:space="preserve"> </w:t>
      </w:r>
      <w:hyperlink r:id="rId147">
        <w:r>
          <w:rPr>
            <w:rFonts w:ascii="Times New Roman" w:cs="Times New Roman" w:eastAsia="Times New Roman" w:hAnsi="Times New Roman"/>
            <w:sz w:val="18"/>
            <w:szCs w:val="18"/>
            <w:u w:val="single" w:color="auto"/>
            <w:color w:val="0000FF"/>
          </w:rPr>
          <w:t>(File No. 1-3083).</w:t>
        </w:r>
      </w:hyperlink>
    </w:p>
    <w:p>
      <w:pPr>
        <w:spacing w:after="0" w:line="1" w:lineRule="exact"/>
        <w:rPr>
          <w:rFonts w:ascii="Times New Roman" w:cs="Times New Roman" w:eastAsia="Times New Roman" w:hAnsi="Times New Roman"/>
          <w:sz w:val="18"/>
          <w:szCs w:val="18"/>
          <w:u w:val="single" w:color="auto"/>
          <w:color w:val="0000FF"/>
        </w:rPr>
      </w:pPr>
    </w:p>
    <w:p>
      <w:pPr>
        <w:ind w:left="1643" w:right="580" w:hanging="590"/>
        <w:spacing w:after="0" w:line="250" w:lineRule="auto"/>
        <w:tabs>
          <w:tab w:leader="none" w:pos="1643" w:val="left"/>
        </w:tabs>
        <w:numPr>
          <w:ilvl w:val="1"/>
          <w:numId w:val="23"/>
        </w:numPr>
        <w:rPr>
          <w:rFonts w:ascii="Times New Roman" w:cs="Times New Roman" w:eastAsia="Times New Roman" w:hAnsi="Times New Roman"/>
          <w:sz w:val="18"/>
          <w:szCs w:val="18"/>
          <w:u w:val="single" w:color="auto"/>
          <w:color w:val="0000FF"/>
        </w:rPr>
      </w:pPr>
      <w:hyperlink r:id="rId148">
        <w:r>
          <w:rPr>
            <w:rFonts w:ascii="Times New Roman" w:cs="Times New Roman" w:eastAsia="Times New Roman" w:hAnsi="Times New Roman"/>
            <w:sz w:val="18"/>
            <w:szCs w:val="18"/>
            <w:u w:val="single" w:color="auto"/>
            <w:color w:val="0000FF"/>
          </w:rPr>
          <w:t>Fourth Amended and Restated EVA Incentive Compensation Plan. Incorporated by reference to Exhibit 10.1 to the</w:t>
        </w:r>
      </w:hyperlink>
      <w:r>
        <w:rPr>
          <w:rFonts w:ascii="Times New Roman" w:cs="Times New Roman" w:eastAsia="Times New Roman" w:hAnsi="Times New Roman"/>
          <w:sz w:val="18"/>
          <w:szCs w:val="18"/>
          <w:u w:val="single" w:color="auto"/>
          <w:color w:val="0000FF"/>
        </w:rPr>
        <w:t xml:space="preserve"> </w:t>
      </w:r>
      <w:hyperlink r:id="rId148">
        <w:r>
          <w:rPr>
            <w:rFonts w:ascii="Times New Roman" w:cs="Times New Roman" w:eastAsia="Times New Roman" w:hAnsi="Times New Roman"/>
            <w:sz w:val="18"/>
            <w:szCs w:val="18"/>
            <w:u w:val="single" w:color="auto"/>
            <w:color w:val="0000FF"/>
          </w:rPr>
          <w:t>Company's Current Report on Form 8-K filed March 31, 2023. (File No. 1-3083).</w:t>
        </w:r>
      </w:hyperlink>
    </w:p>
    <w:p>
      <w:pPr>
        <w:ind w:left="1643" w:right="320" w:hanging="590"/>
        <w:spacing w:after="0" w:line="250" w:lineRule="auto"/>
        <w:tabs>
          <w:tab w:leader="none" w:pos="1643" w:val="left"/>
        </w:tabs>
        <w:numPr>
          <w:ilvl w:val="1"/>
          <w:numId w:val="23"/>
        </w:numPr>
        <w:rPr>
          <w:rFonts w:ascii="Times New Roman" w:cs="Times New Roman" w:eastAsia="Times New Roman" w:hAnsi="Times New Roman"/>
          <w:sz w:val="18"/>
          <w:szCs w:val="18"/>
          <w:u w:val="single" w:color="auto"/>
          <w:color w:val="0000FF"/>
        </w:rPr>
      </w:pPr>
      <w:hyperlink r:id="rId149">
        <w:r>
          <w:rPr>
            <w:rFonts w:ascii="Times New Roman" w:cs="Times New Roman" w:eastAsia="Times New Roman" w:hAnsi="Times New Roman"/>
            <w:sz w:val="18"/>
            <w:szCs w:val="18"/>
            <w:u w:val="single" w:color="auto"/>
            <w:color w:val="0000FF"/>
          </w:rPr>
          <w:t>Genesco Inc. 2020 Equity Incentive Plan. Incorporated by reference to Appendix A to Genesco Inc.’s Definitive Proxy</w:t>
        </w:r>
      </w:hyperlink>
      <w:r>
        <w:rPr>
          <w:rFonts w:ascii="Times New Roman" w:cs="Times New Roman" w:eastAsia="Times New Roman" w:hAnsi="Times New Roman"/>
          <w:sz w:val="18"/>
          <w:szCs w:val="18"/>
          <w:u w:val="single" w:color="auto"/>
          <w:color w:val="0000FF"/>
        </w:rPr>
        <w:t xml:space="preserve"> </w:t>
      </w:r>
      <w:hyperlink r:id="rId149">
        <w:r>
          <w:rPr>
            <w:rFonts w:ascii="Times New Roman" w:cs="Times New Roman" w:eastAsia="Times New Roman" w:hAnsi="Times New Roman"/>
            <w:sz w:val="18"/>
            <w:szCs w:val="18"/>
            <w:u w:val="single" w:color="auto"/>
            <w:color w:val="0000FF"/>
          </w:rPr>
          <w:t>Statement on Schedule 14A, filed May 15, 2020. (File No. 1-3083).</w:t>
        </w:r>
      </w:hyperlink>
    </w:p>
    <w:p>
      <w:pPr>
        <w:ind w:left="1643" w:right="300" w:hanging="590"/>
        <w:spacing w:after="0" w:line="250" w:lineRule="auto"/>
        <w:tabs>
          <w:tab w:leader="none" w:pos="1643" w:val="left"/>
        </w:tabs>
        <w:numPr>
          <w:ilvl w:val="1"/>
          <w:numId w:val="23"/>
        </w:numPr>
        <w:rPr>
          <w:rFonts w:ascii="Times New Roman" w:cs="Times New Roman" w:eastAsia="Times New Roman" w:hAnsi="Times New Roman"/>
          <w:sz w:val="18"/>
          <w:szCs w:val="18"/>
          <w:u w:val="single" w:color="auto"/>
          <w:color w:val="0000FF"/>
        </w:rPr>
      </w:pPr>
      <w:hyperlink r:id="rId150">
        <w:r>
          <w:rPr>
            <w:rFonts w:ascii="Times New Roman" w:cs="Times New Roman" w:eastAsia="Times New Roman" w:hAnsi="Times New Roman"/>
            <w:sz w:val="18"/>
            <w:szCs w:val="18"/>
            <w:u w:val="single" w:color="auto"/>
            <w:color w:val="0000FF"/>
          </w:rPr>
          <w:t>Genesco Inc. Amended and Restated 2020 Equity Incentive Plan. Incorporated by reference to Appendix A to Genesco</w:t>
        </w:r>
      </w:hyperlink>
      <w:r>
        <w:rPr>
          <w:rFonts w:ascii="Times New Roman" w:cs="Times New Roman" w:eastAsia="Times New Roman" w:hAnsi="Times New Roman"/>
          <w:sz w:val="18"/>
          <w:szCs w:val="18"/>
          <w:u w:val="single" w:color="auto"/>
          <w:color w:val="0000FF"/>
        </w:rPr>
        <w:t xml:space="preserve"> </w:t>
      </w:r>
      <w:hyperlink r:id="rId150">
        <w:r>
          <w:rPr>
            <w:rFonts w:ascii="Times New Roman" w:cs="Times New Roman" w:eastAsia="Times New Roman" w:hAnsi="Times New Roman"/>
            <w:sz w:val="18"/>
            <w:szCs w:val="18"/>
            <w:u w:val="single" w:color="auto"/>
            <w:color w:val="0000FF"/>
          </w:rPr>
          <w:t>Inc.'s Definitive Proxy Statement on Schedule 14A, filed May 12, 2023. (File No. 1-3083).</w:t>
        </w:r>
      </w:hyperlink>
    </w:p>
    <w:p>
      <w:pPr>
        <w:ind w:left="1643" w:right="380" w:hanging="590"/>
        <w:spacing w:after="0" w:line="250" w:lineRule="auto"/>
        <w:tabs>
          <w:tab w:leader="none" w:pos="1643" w:val="left"/>
        </w:tabs>
        <w:numPr>
          <w:ilvl w:val="1"/>
          <w:numId w:val="23"/>
        </w:numPr>
        <w:rPr>
          <w:rFonts w:ascii="Times New Roman" w:cs="Times New Roman" w:eastAsia="Times New Roman" w:hAnsi="Times New Roman"/>
          <w:sz w:val="18"/>
          <w:szCs w:val="18"/>
          <w:u w:val="single" w:color="auto"/>
          <w:color w:val="0000FF"/>
        </w:rPr>
      </w:pPr>
      <w:hyperlink r:id="rId151">
        <w:r>
          <w:rPr>
            <w:rFonts w:ascii="Times New Roman" w:cs="Times New Roman" w:eastAsia="Times New Roman" w:hAnsi="Times New Roman"/>
            <w:sz w:val="18"/>
            <w:szCs w:val="18"/>
            <w:u w:val="single" w:color="auto"/>
            <w:color w:val="0000FF"/>
          </w:rPr>
          <w:t>Genesco Inc. Second Amended and Restated 2020 Equity Incentive Plan. Incorporated by reference to Appendix A to</w:t>
        </w:r>
      </w:hyperlink>
      <w:r>
        <w:rPr>
          <w:rFonts w:ascii="Times New Roman" w:cs="Times New Roman" w:eastAsia="Times New Roman" w:hAnsi="Times New Roman"/>
          <w:sz w:val="18"/>
          <w:szCs w:val="18"/>
          <w:u w:val="single" w:color="auto"/>
          <w:color w:val="0000FF"/>
        </w:rPr>
        <w:t xml:space="preserve"> </w:t>
      </w:r>
      <w:hyperlink r:id="rId151">
        <w:r>
          <w:rPr>
            <w:rFonts w:ascii="Times New Roman" w:cs="Times New Roman" w:eastAsia="Times New Roman" w:hAnsi="Times New Roman"/>
            <w:sz w:val="18"/>
            <w:szCs w:val="18"/>
            <w:u w:val="single" w:color="auto"/>
            <w:color w:val="0000FF"/>
          </w:rPr>
          <w:t>Genesco Inc.'s Definitive Proxy Statement on Schedule 14A, filed May 17, 2024. (File No. 1-3083).</w:t>
        </w:r>
      </w:hyperlink>
    </w:p>
    <w:p>
      <w:pPr>
        <w:ind w:left="1643" w:hanging="590"/>
        <w:spacing w:after="0" w:line="250" w:lineRule="auto"/>
        <w:tabs>
          <w:tab w:leader="none" w:pos="1643" w:val="left"/>
        </w:tabs>
        <w:numPr>
          <w:ilvl w:val="1"/>
          <w:numId w:val="23"/>
        </w:numPr>
        <w:rPr>
          <w:rFonts w:ascii="Times New Roman" w:cs="Times New Roman" w:eastAsia="Times New Roman" w:hAnsi="Times New Roman"/>
          <w:sz w:val="18"/>
          <w:szCs w:val="18"/>
          <w:u w:val="single" w:color="auto"/>
          <w:color w:val="0000FF"/>
        </w:rPr>
      </w:pPr>
      <w:hyperlink r:id="rId152">
        <w:r>
          <w:rPr>
            <w:rFonts w:ascii="Times New Roman" w:cs="Times New Roman" w:eastAsia="Times New Roman" w:hAnsi="Times New Roman"/>
            <w:sz w:val="18"/>
            <w:szCs w:val="18"/>
            <w:u w:val="single" w:color="auto"/>
            <w:color w:val="0000FF"/>
          </w:rPr>
          <w:t>Form of Incentive Stock Option Agreement. Incorporated by reference to Exhibit (10)c to the Company’s Quarterly Report</w:t>
        </w:r>
      </w:hyperlink>
      <w:r>
        <w:rPr>
          <w:rFonts w:ascii="Times New Roman" w:cs="Times New Roman" w:eastAsia="Times New Roman" w:hAnsi="Times New Roman"/>
          <w:sz w:val="18"/>
          <w:szCs w:val="18"/>
          <w:u w:val="single" w:color="auto"/>
          <w:color w:val="0000FF"/>
        </w:rPr>
        <w:t xml:space="preserve"> </w:t>
      </w:r>
      <w:hyperlink r:id="rId152">
        <w:r>
          <w:rPr>
            <w:rFonts w:ascii="Times New Roman" w:cs="Times New Roman" w:eastAsia="Times New Roman" w:hAnsi="Times New Roman"/>
            <w:sz w:val="18"/>
            <w:szCs w:val="18"/>
            <w:u w:val="single" w:color="auto"/>
            <w:color w:val="0000FF"/>
          </w:rPr>
          <w:t>on Form 10-Q for the quarter ended October 29, 2005 (File No.1-3083).</w:t>
        </w:r>
      </w:hyperlink>
    </w:p>
    <w:p>
      <w:pPr>
        <w:ind w:left="1643" w:right="140" w:hanging="590"/>
        <w:spacing w:after="0" w:line="250" w:lineRule="auto"/>
        <w:tabs>
          <w:tab w:leader="none" w:pos="1643" w:val="left"/>
        </w:tabs>
        <w:numPr>
          <w:ilvl w:val="1"/>
          <w:numId w:val="23"/>
        </w:numPr>
        <w:rPr>
          <w:rFonts w:ascii="Times New Roman" w:cs="Times New Roman" w:eastAsia="Times New Roman" w:hAnsi="Times New Roman"/>
          <w:sz w:val="18"/>
          <w:szCs w:val="18"/>
          <w:u w:val="single" w:color="auto"/>
          <w:color w:val="0000FF"/>
        </w:rPr>
      </w:pPr>
      <w:hyperlink r:id="rId153">
        <w:r>
          <w:rPr>
            <w:rFonts w:ascii="Times New Roman" w:cs="Times New Roman" w:eastAsia="Times New Roman" w:hAnsi="Times New Roman"/>
            <w:sz w:val="18"/>
            <w:szCs w:val="18"/>
            <w:u w:val="single" w:color="auto"/>
            <w:color w:val="0000FF"/>
          </w:rPr>
          <w:t>Form of Non-Qualified Stock Option Agreement. Incorporated by reference to Exhibit (10)d to the Company’s Quarterly</w:t>
        </w:r>
      </w:hyperlink>
      <w:r>
        <w:rPr>
          <w:rFonts w:ascii="Times New Roman" w:cs="Times New Roman" w:eastAsia="Times New Roman" w:hAnsi="Times New Roman"/>
          <w:sz w:val="18"/>
          <w:szCs w:val="18"/>
          <w:u w:val="single" w:color="auto"/>
          <w:color w:val="0000FF"/>
        </w:rPr>
        <w:t xml:space="preserve"> </w:t>
      </w:r>
      <w:hyperlink r:id="rId153">
        <w:r>
          <w:rPr>
            <w:rFonts w:ascii="Times New Roman" w:cs="Times New Roman" w:eastAsia="Times New Roman" w:hAnsi="Times New Roman"/>
            <w:sz w:val="18"/>
            <w:szCs w:val="18"/>
            <w:u w:val="single" w:color="auto"/>
            <w:color w:val="0000FF"/>
          </w:rPr>
          <w:t>Report on Form 10-Q for the quarter ended October 29, 2005 (File No.1-3083).</w:t>
        </w:r>
      </w:hyperlink>
    </w:p>
    <w:p>
      <w:pPr>
        <w:ind w:left="1643" w:right="440" w:hanging="590"/>
        <w:spacing w:after="0" w:line="250" w:lineRule="auto"/>
        <w:tabs>
          <w:tab w:leader="none" w:pos="1643" w:val="left"/>
        </w:tabs>
        <w:numPr>
          <w:ilvl w:val="1"/>
          <w:numId w:val="23"/>
        </w:numPr>
        <w:rPr>
          <w:rFonts w:ascii="Times New Roman" w:cs="Times New Roman" w:eastAsia="Times New Roman" w:hAnsi="Times New Roman"/>
          <w:sz w:val="18"/>
          <w:szCs w:val="18"/>
          <w:u w:val="single" w:color="auto"/>
          <w:color w:val="0000FF"/>
        </w:rPr>
      </w:pPr>
      <w:hyperlink r:id="rId154">
        <w:r>
          <w:rPr>
            <w:rFonts w:ascii="Times New Roman" w:cs="Times New Roman" w:eastAsia="Times New Roman" w:hAnsi="Times New Roman"/>
            <w:sz w:val="18"/>
            <w:szCs w:val="18"/>
            <w:u w:val="single" w:color="auto"/>
            <w:color w:val="0000FF"/>
          </w:rPr>
          <w:t>Form of Restricted Share Award Agreement for Executive Officers. Incorporated by reference to Exhibit (10)e to the</w:t>
        </w:r>
      </w:hyperlink>
      <w:r>
        <w:rPr>
          <w:rFonts w:ascii="Times New Roman" w:cs="Times New Roman" w:eastAsia="Times New Roman" w:hAnsi="Times New Roman"/>
          <w:sz w:val="18"/>
          <w:szCs w:val="18"/>
          <w:u w:val="single" w:color="auto"/>
          <w:color w:val="0000FF"/>
        </w:rPr>
        <w:t xml:space="preserve"> </w:t>
      </w:r>
      <w:hyperlink r:id="rId154">
        <w:r>
          <w:rPr>
            <w:rFonts w:ascii="Times New Roman" w:cs="Times New Roman" w:eastAsia="Times New Roman" w:hAnsi="Times New Roman"/>
            <w:sz w:val="18"/>
            <w:szCs w:val="18"/>
            <w:u w:val="single" w:color="auto"/>
            <w:color w:val="0000FF"/>
          </w:rPr>
          <w:t>Company’s Quarterly Report on Form 10-Q for the quarter ended October 29, 2005 (File No.1-3083).</w:t>
        </w:r>
      </w:hyperlink>
    </w:p>
    <w:p>
      <w:pPr>
        <w:ind w:left="1643" w:right="80" w:hanging="590"/>
        <w:spacing w:after="0" w:line="250" w:lineRule="auto"/>
        <w:tabs>
          <w:tab w:leader="none" w:pos="1643" w:val="left"/>
        </w:tabs>
        <w:numPr>
          <w:ilvl w:val="1"/>
          <w:numId w:val="23"/>
        </w:numPr>
        <w:rPr>
          <w:rFonts w:ascii="Times New Roman" w:cs="Times New Roman" w:eastAsia="Times New Roman" w:hAnsi="Times New Roman"/>
          <w:sz w:val="18"/>
          <w:szCs w:val="18"/>
          <w:u w:val="single" w:color="auto"/>
          <w:color w:val="0000FF"/>
        </w:rPr>
      </w:pPr>
      <w:hyperlink r:id="rId155">
        <w:r>
          <w:rPr>
            <w:rFonts w:ascii="Times New Roman" w:cs="Times New Roman" w:eastAsia="Times New Roman" w:hAnsi="Times New Roman"/>
            <w:sz w:val="18"/>
            <w:szCs w:val="18"/>
            <w:u w:val="single" w:color="auto"/>
            <w:color w:val="0000FF"/>
          </w:rPr>
          <w:t>Form of Restricted Share Award Agreement for Officers and Employees. Incorporated by reference to Exhibit (10)f to the</w:t>
        </w:r>
      </w:hyperlink>
      <w:r>
        <w:rPr>
          <w:rFonts w:ascii="Times New Roman" w:cs="Times New Roman" w:eastAsia="Times New Roman" w:hAnsi="Times New Roman"/>
          <w:sz w:val="18"/>
          <w:szCs w:val="18"/>
          <w:u w:val="single" w:color="auto"/>
          <w:color w:val="0000FF"/>
        </w:rPr>
        <w:t xml:space="preserve"> </w:t>
      </w:r>
      <w:hyperlink r:id="rId155">
        <w:r>
          <w:rPr>
            <w:rFonts w:ascii="Times New Roman" w:cs="Times New Roman" w:eastAsia="Times New Roman" w:hAnsi="Times New Roman"/>
            <w:sz w:val="18"/>
            <w:szCs w:val="18"/>
            <w:u w:val="single" w:color="auto"/>
            <w:color w:val="0000FF"/>
          </w:rPr>
          <w:t>Company’s Quarterly Report on Form 10-Q for the quarter ended October 29, 2005 (File No.1-3083).</w:t>
        </w:r>
      </w:hyperlink>
    </w:p>
    <w:p>
      <w:pPr>
        <w:ind w:left="1643" w:right="480" w:hanging="590"/>
        <w:spacing w:after="0" w:line="260" w:lineRule="auto"/>
        <w:tabs>
          <w:tab w:leader="none" w:pos="1643" w:val="left"/>
        </w:tabs>
        <w:numPr>
          <w:ilvl w:val="1"/>
          <w:numId w:val="23"/>
        </w:numPr>
        <w:rPr>
          <w:rFonts w:ascii="Times New Roman" w:cs="Times New Roman" w:eastAsia="Times New Roman" w:hAnsi="Times New Roman"/>
          <w:sz w:val="18"/>
          <w:szCs w:val="18"/>
          <w:u w:val="single" w:color="auto"/>
          <w:color w:val="0000FF"/>
        </w:rPr>
      </w:pPr>
      <w:hyperlink r:id="rId156">
        <w:r>
          <w:rPr>
            <w:rFonts w:ascii="Times New Roman" w:cs="Times New Roman" w:eastAsia="Times New Roman" w:hAnsi="Times New Roman"/>
            <w:sz w:val="18"/>
            <w:szCs w:val="18"/>
            <w:u w:val="single" w:color="auto"/>
            <w:color w:val="0000FF"/>
          </w:rPr>
          <w:t>Form of Restricted Share Award Agreement. Incorporated by reference to Exhibit (10)a to the Company’s Quarterly</w:t>
        </w:r>
      </w:hyperlink>
      <w:r>
        <w:rPr>
          <w:rFonts w:ascii="Times New Roman" w:cs="Times New Roman" w:eastAsia="Times New Roman" w:hAnsi="Times New Roman"/>
          <w:sz w:val="18"/>
          <w:szCs w:val="18"/>
          <w:u w:val="single" w:color="auto"/>
          <w:color w:val="0000FF"/>
        </w:rPr>
        <w:t xml:space="preserve"> </w:t>
      </w:r>
      <w:hyperlink r:id="rId156">
        <w:r>
          <w:rPr>
            <w:rFonts w:ascii="Times New Roman" w:cs="Times New Roman" w:eastAsia="Times New Roman" w:hAnsi="Times New Roman"/>
            <w:sz w:val="18"/>
            <w:szCs w:val="18"/>
            <w:u w:val="single" w:color="auto"/>
            <w:color w:val="0000FF"/>
          </w:rPr>
          <w:t>Report on Form 10-Q for the quarter ended August 1, 2009 (File No. 1-3083).</w:t>
        </w:r>
      </w:hyperlink>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1036955</wp:posOffset>
            </wp:positionH>
            <wp:positionV relativeFrom="paragraph">
              <wp:posOffset>-6207760</wp:posOffset>
            </wp:positionV>
            <wp:extent cx="533336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7">
                      <a:extLst>
                        <a:ext uri="{28A0092B-C50C-407E-A947-70E740481C1C}"/>
                      </a:extLst>
                    </a:blip>
                    <a:srcRect/>
                    <a:stretch>
                      <a:fillRect/>
                    </a:stretch>
                  </pic:blipFill>
                  <pic:spPr bwMode="auto">
                    <a:xfrm>
                      <a:off x="0" y="0"/>
                      <a:ext cx="5333365" cy="8255"/>
                    </a:xfrm>
                    <a:prstGeom prst="rect">
                      <a:avLst/>
                    </a:prstGeom>
                    <a:noFill/>
                  </pic:spPr>
                </pic:pic>
              </a:graphicData>
            </a:graphic>
          </wp:anchor>
        </w:drawing>
        <w:drawing>
          <wp:anchor simplePos="0" relativeHeight="251657728" behindDoc="1" locked="0" layoutInCell="0" allowOverlap="1">
            <wp:simplePos x="0" y="0"/>
            <wp:positionH relativeFrom="column">
              <wp:posOffset>1036955</wp:posOffset>
            </wp:positionH>
            <wp:positionV relativeFrom="paragraph">
              <wp:posOffset>-6070600</wp:posOffset>
            </wp:positionV>
            <wp:extent cx="561911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8">
                      <a:extLst>
                        <a:ext uri="{28A0092B-C50C-407E-A947-70E740481C1C}"/>
                      </a:extLst>
                    </a:blip>
                    <a:srcRect/>
                    <a:stretch>
                      <a:fillRect/>
                    </a:stretch>
                  </pic:blipFill>
                  <pic:spPr bwMode="auto">
                    <a:xfrm>
                      <a:off x="0" y="0"/>
                      <a:ext cx="5619115" cy="8890"/>
                    </a:xfrm>
                    <a:prstGeom prst="rect">
                      <a:avLst/>
                    </a:prstGeom>
                    <a:noFill/>
                  </pic:spPr>
                </pic:pic>
              </a:graphicData>
            </a:graphic>
          </wp:anchor>
        </w:drawing>
        <w:drawing>
          <wp:anchor simplePos="0" relativeHeight="251657728" behindDoc="1" locked="0" layoutInCell="0" allowOverlap="1">
            <wp:simplePos x="0" y="0"/>
            <wp:positionH relativeFrom="column">
              <wp:posOffset>1036955</wp:posOffset>
            </wp:positionH>
            <wp:positionV relativeFrom="paragraph">
              <wp:posOffset>-5933440</wp:posOffset>
            </wp:positionV>
            <wp:extent cx="553593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9">
                      <a:extLst>
                        <a:ext uri="{28A0092B-C50C-407E-A947-70E740481C1C}"/>
                      </a:extLst>
                    </a:blip>
                    <a:srcRect/>
                    <a:stretch>
                      <a:fillRect/>
                    </a:stretch>
                  </pic:blipFill>
                  <pic:spPr bwMode="auto">
                    <a:xfrm>
                      <a:off x="0" y="0"/>
                      <a:ext cx="5535930" cy="8255"/>
                    </a:xfrm>
                    <a:prstGeom prst="rect">
                      <a:avLst/>
                    </a:prstGeom>
                    <a:noFill/>
                  </pic:spPr>
                </pic:pic>
              </a:graphicData>
            </a:graphic>
          </wp:anchor>
        </w:drawing>
        <w:drawing>
          <wp:anchor simplePos="0" relativeHeight="251657728" behindDoc="1" locked="0" layoutInCell="0" allowOverlap="1">
            <wp:simplePos x="0" y="0"/>
            <wp:positionH relativeFrom="column">
              <wp:posOffset>1036955</wp:posOffset>
            </wp:positionH>
            <wp:positionV relativeFrom="paragraph">
              <wp:posOffset>-5796280</wp:posOffset>
            </wp:positionV>
            <wp:extent cx="283654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60">
                      <a:extLst>
                        <a:ext uri="{28A0092B-C50C-407E-A947-70E740481C1C}"/>
                      </a:extLst>
                    </a:blip>
                    <a:srcRect/>
                    <a:stretch>
                      <a:fillRect/>
                    </a:stretch>
                  </pic:blipFill>
                  <pic:spPr bwMode="auto">
                    <a:xfrm>
                      <a:off x="0" y="0"/>
                      <a:ext cx="2836545" cy="8255"/>
                    </a:xfrm>
                    <a:prstGeom prst="rect">
                      <a:avLst/>
                    </a:prstGeom>
                    <a:noFill/>
                  </pic:spPr>
                </pic:pic>
              </a:graphicData>
            </a:graphic>
          </wp:anchor>
        </w:drawing>
        <w:drawing>
          <wp:anchor simplePos="0" relativeHeight="251657728" behindDoc="1" locked="0" layoutInCell="0" allowOverlap="1">
            <wp:simplePos x="0" y="0"/>
            <wp:positionH relativeFrom="column">
              <wp:posOffset>1036955</wp:posOffset>
            </wp:positionH>
            <wp:positionV relativeFrom="paragraph">
              <wp:posOffset>-5659120</wp:posOffset>
            </wp:positionV>
            <wp:extent cx="528955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61">
                      <a:extLst>
                        <a:ext uri="{28A0092B-C50C-407E-A947-70E740481C1C}"/>
                      </a:extLst>
                    </a:blip>
                    <a:srcRect/>
                    <a:stretch>
                      <a:fillRect/>
                    </a:stretch>
                  </pic:blipFill>
                  <pic:spPr bwMode="auto">
                    <a:xfrm>
                      <a:off x="0" y="0"/>
                      <a:ext cx="5289550" cy="8255"/>
                    </a:xfrm>
                    <a:prstGeom prst="rect">
                      <a:avLst/>
                    </a:prstGeom>
                    <a:noFill/>
                  </pic:spPr>
                </pic:pic>
              </a:graphicData>
            </a:graphic>
          </wp:anchor>
        </w:drawing>
        <w:drawing>
          <wp:anchor simplePos="0" relativeHeight="251657728" behindDoc="1" locked="0" layoutInCell="0" allowOverlap="1">
            <wp:simplePos x="0" y="0"/>
            <wp:positionH relativeFrom="column">
              <wp:posOffset>1036955</wp:posOffset>
            </wp:positionH>
            <wp:positionV relativeFrom="paragraph">
              <wp:posOffset>-5521960</wp:posOffset>
            </wp:positionV>
            <wp:extent cx="550164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62">
                      <a:extLst>
                        <a:ext uri="{28A0092B-C50C-407E-A947-70E740481C1C}"/>
                      </a:extLst>
                    </a:blip>
                    <a:srcRect/>
                    <a:stretch>
                      <a:fillRect/>
                    </a:stretch>
                  </pic:blipFill>
                  <pic:spPr bwMode="auto">
                    <a:xfrm>
                      <a:off x="0" y="0"/>
                      <a:ext cx="5501640" cy="8255"/>
                    </a:xfrm>
                    <a:prstGeom prst="rect">
                      <a:avLst/>
                    </a:prstGeom>
                    <a:noFill/>
                  </pic:spPr>
                </pic:pic>
              </a:graphicData>
            </a:graphic>
          </wp:anchor>
        </w:drawing>
        <w:drawing>
          <wp:anchor simplePos="0" relativeHeight="251657728" behindDoc="1" locked="0" layoutInCell="0" allowOverlap="1">
            <wp:simplePos x="0" y="0"/>
            <wp:positionH relativeFrom="column">
              <wp:posOffset>1036955</wp:posOffset>
            </wp:positionH>
            <wp:positionV relativeFrom="paragraph">
              <wp:posOffset>-5384800</wp:posOffset>
            </wp:positionV>
            <wp:extent cx="537083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3">
                      <a:extLst>
                        <a:ext uri="{28A0092B-C50C-407E-A947-70E740481C1C}"/>
                      </a:extLst>
                    </a:blip>
                    <a:srcRect/>
                    <a:stretch>
                      <a:fillRect/>
                    </a:stretch>
                  </pic:blipFill>
                  <pic:spPr bwMode="auto">
                    <a:xfrm>
                      <a:off x="0" y="0"/>
                      <a:ext cx="5370830" cy="8255"/>
                    </a:xfrm>
                    <a:prstGeom prst="rect">
                      <a:avLst/>
                    </a:prstGeom>
                    <a:noFill/>
                  </pic:spPr>
                </pic:pic>
              </a:graphicData>
            </a:graphic>
          </wp:anchor>
        </w:drawing>
        <w:drawing>
          <wp:anchor simplePos="0" relativeHeight="251657728" behindDoc="1" locked="0" layoutInCell="0" allowOverlap="1">
            <wp:simplePos x="0" y="0"/>
            <wp:positionH relativeFrom="column">
              <wp:posOffset>1036955</wp:posOffset>
            </wp:positionH>
            <wp:positionV relativeFrom="paragraph">
              <wp:posOffset>-5247640</wp:posOffset>
            </wp:positionV>
            <wp:extent cx="403923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4">
                      <a:extLst>
                        <a:ext uri="{28A0092B-C50C-407E-A947-70E740481C1C}"/>
                      </a:extLst>
                    </a:blip>
                    <a:srcRect/>
                    <a:stretch>
                      <a:fillRect/>
                    </a:stretch>
                  </pic:blipFill>
                  <pic:spPr bwMode="auto">
                    <a:xfrm>
                      <a:off x="0" y="0"/>
                      <a:ext cx="4039235" cy="8890"/>
                    </a:xfrm>
                    <a:prstGeom prst="rect">
                      <a:avLst/>
                    </a:prstGeom>
                    <a:noFill/>
                  </pic:spPr>
                </pic:pic>
              </a:graphicData>
            </a:graphic>
          </wp:anchor>
        </w:drawing>
        <w:drawing>
          <wp:anchor simplePos="0" relativeHeight="251657728" behindDoc="1" locked="0" layoutInCell="0" allowOverlap="1">
            <wp:simplePos x="0" y="0"/>
            <wp:positionH relativeFrom="column">
              <wp:posOffset>1036955</wp:posOffset>
            </wp:positionH>
            <wp:positionV relativeFrom="paragraph">
              <wp:posOffset>-5110480</wp:posOffset>
            </wp:positionV>
            <wp:extent cx="563435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5">
                      <a:extLst>
                        <a:ext uri="{28A0092B-C50C-407E-A947-70E740481C1C}"/>
                      </a:extLst>
                    </a:blip>
                    <a:srcRect/>
                    <a:stretch>
                      <a:fillRect/>
                    </a:stretch>
                  </pic:blipFill>
                  <pic:spPr bwMode="auto">
                    <a:xfrm>
                      <a:off x="0" y="0"/>
                      <a:ext cx="5634355" cy="8255"/>
                    </a:xfrm>
                    <a:prstGeom prst="rect">
                      <a:avLst/>
                    </a:prstGeom>
                    <a:noFill/>
                  </pic:spPr>
                </pic:pic>
              </a:graphicData>
            </a:graphic>
          </wp:anchor>
        </w:drawing>
        <w:drawing>
          <wp:anchor simplePos="0" relativeHeight="251657728" behindDoc="1" locked="0" layoutInCell="0" allowOverlap="1">
            <wp:simplePos x="0" y="0"/>
            <wp:positionH relativeFrom="column">
              <wp:posOffset>1036955</wp:posOffset>
            </wp:positionH>
            <wp:positionV relativeFrom="paragraph">
              <wp:posOffset>-4973320</wp:posOffset>
            </wp:positionV>
            <wp:extent cx="550164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6">
                      <a:extLst>
                        <a:ext uri="{28A0092B-C50C-407E-A947-70E740481C1C}"/>
                      </a:extLst>
                    </a:blip>
                    <a:srcRect/>
                    <a:stretch>
                      <a:fillRect/>
                    </a:stretch>
                  </pic:blipFill>
                  <pic:spPr bwMode="auto">
                    <a:xfrm>
                      <a:off x="0" y="0"/>
                      <a:ext cx="5501640" cy="8255"/>
                    </a:xfrm>
                    <a:prstGeom prst="rect">
                      <a:avLst/>
                    </a:prstGeom>
                    <a:noFill/>
                  </pic:spPr>
                </pic:pic>
              </a:graphicData>
            </a:graphic>
          </wp:anchor>
        </w:drawing>
        <w:drawing>
          <wp:anchor simplePos="0" relativeHeight="251657728" behindDoc="1" locked="0" layoutInCell="0" allowOverlap="1">
            <wp:simplePos x="0" y="0"/>
            <wp:positionH relativeFrom="column">
              <wp:posOffset>1036955</wp:posOffset>
            </wp:positionH>
            <wp:positionV relativeFrom="paragraph">
              <wp:posOffset>-4836160</wp:posOffset>
            </wp:positionV>
            <wp:extent cx="563435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7">
                      <a:extLst>
                        <a:ext uri="{28A0092B-C50C-407E-A947-70E740481C1C}"/>
                      </a:extLst>
                    </a:blip>
                    <a:srcRect/>
                    <a:stretch>
                      <a:fillRect/>
                    </a:stretch>
                  </pic:blipFill>
                  <pic:spPr bwMode="auto">
                    <a:xfrm>
                      <a:off x="0" y="0"/>
                      <a:ext cx="5634355" cy="8255"/>
                    </a:xfrm>
                    <a:prstGeom prst="rect">
                      <a:avLst/>
                    </a:prstGeom>
                    <a:noFill/>
                  </pic:spPr>
                </pic:pic>
              </a:graphicData>
            </a:graphic>
          </wp:anchor>
        </w:drawing>
        <w:drawing>
          <wp:anchor simplePos="0" relativeHeight="251657728" behindDoc="1" locked="0" layoutInCell="0" allowOverlap="1">
            <wp:simplePos x="0" y="0"/>
            <wp:positionH relativeFrom="column">
              <wp:posOffset>1036955</wp:posOffset>
            </wp:positionH>
            <wp:positionV relativeFrom="paragraph">
              <wp:posOffset>-4699000</wp:posOffset>
            </wp:positionV>
            <wp:extent cx="315404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68">
                      <a:extLst>
                        <a:ext uri="{28A0092B-C50C-407E-A947-70E740481C1C}"/>
                      </a:extLst>
                    </a:blip>
                    <a:srcRect/>
                    <a:stretch>
                      <a:fillRect/>
                    </a:stretch>
                  </pic:blipFill>
                  <pic:spPr bwMode="auto">
                    <a:xfrm>
                      <a:off x="0" y="0"/>
                      <a:ext cx="3154045" cy="8255"/>
                    </a:xfrm>
                    <a:prstGeom prst="rect">
                      <a:avLst/>
                    </a:prstGeom>
                    <a:noFill/>
                  </pic:spPr>
                </pic:pic>
              </a:graphicData>
            </a:graphic>
          </wp:anchor>
        </w:drawing>
        <w:drawing>
          <wp:anchor simplePos="0" relativeHeight="251657728" behindDoc="1" locked="0" layoutInCell="0" allowOverlap="1">
            <wp:simplePos x="0" y="0"/>
            <wp:positionH relativeFrom="column">
              <wp:posOffset>1036955</wp:posOffset>
            </wp:positionH>
            <wp:positionV relativeFrom="paragraph">
              <wp:posOffset>-4561840</wp:posOffset>
            </wp:positionV>
            <wp:extent cx="530542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69">
                      <a:extLst>
                        <a:ext uri="{28A0092B-C50C-407E-A947-70E740481C1C}"/>
                      </a:extLst>
                    </a:blip>
                    <a:srcRect/>
                    <a:stretch>
                      <a:fillRect/>
                    </a:stretch>
                  </pic:blipFill>
                  <pic:spPr bwMode="auto">
                    <a:xfrm>
                      <a:off x="0" y="0"/>
                      <a:ext cx="5305425" cy="8890"/>
                    </a:xfrm>
                    <a:prstGeom prst="rect">
                      <a:avLst/>
                    </a:prstGeom>
                    <a:noFill/>
                  </pic:spPr>
                </pic:pic>
              </a:graphicData>
            </a:graphic>
          </wp:anchor>
        </w:drawing>
        <w:drawing>
          <wp:anchor simplePos="0" relativeHeight="251657728" behindDoc="1" locked="0" layoutInCell="0" allowOverlap="1">
            <wp:simplePos x="0" y="0"/>
            <wp:positionH relativeFrom="column">
              <wp:posOffset>1036955</wp:posOffset>
            </wp:positionH>
            <wp:positionV relativeFrom="paragraph">
              <wp:posOffset>-4424680</wp:posOffset>
            </wp:positionV>
            <wp:extent cx="563435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70">
                      <a:extLst>
                        <a:ext uri="{28A0092B-C50C-407E-A947-70E740481C1C}"/>
                      </a:extLst>
                    </a:blip>
                    <a:srcRect/>
                    <a:stretch>
                      <a:fillRect/>
                    </a:stretch>
                  </pic:blipFill>
                  <pic:spPr bwMode="auto">
                    <a:xfrm>
                      <a:off x="0" y="0"/>
                      <a:ext cx="5634355" cy="8255"/>
                    </a:xfrm>
                    <a:prstGeom prst="rect">
                      <a:avLst/>
                    </a:prstGeom>
                    <a:noFill/>
                  </pic:spPr>
                </pic:pic>
              </a:graphicData>
            </a:graphic>
          </wp:anchor>
        </w:drawing>
        <w:drawing>
          <wp:anchor simplePos="0" relativeHeight="251657728" behindDoc="1" locked="0" layoutInCell="0" allowOverlap="1">
            <wp:simplePos x="0" y="0"/>
            <wp:positionH relativeFrom="column">
              <wp:posOffset>1036955</wp:posOffset>
            </wp:positionH>
            <wp:positionV relativeFrom="paragraph">
              <wp:posOffset>-4287520</wp:posOffset>
            </wp:positionV>
            <wp:extent cx="56311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71">
                      <a:extLst>
                        <a:ext uri="{28A0092B-C50C-407E-A947-70E740481C1C}"/>
                      </a:extLst>
                    </a:blip>
                    <a:srcRect/>
                    <a:stretch>
                      <a:fillRect/>
                    </a:stretch>
                  </pic:blipFill>
                  <pic:spPr bwMode="auto">
                    <a:xfrm>
                      <a:off x="0" y="0"/>
                      <a:ext cx="5631180" cy="8255"/>
                    </a:xfrm>
                    <a:prstGeom prst="rect">
                      <a:avLst/>
                    </a:prstGeom>
                    <a:noFill/>
                  </pic:spPr>
                </pic:pic>
              </a:graphicData>
            </a:graphic>
          </wp:anchor>
        </w:drawing>
        <w:drawing>
          <wp:anchor simplePos="0" relativeHeight="251657728" behindDoc="1" locked="0" layoutInCell="0" allowOverlap="1">
            <wp:simplePos x="0" y="0"/>
            <wp:positionH relativeFrom="column">
              <wp:posOffset>1036955</wp:posOffset>
            </wp:positionH>
            <wp:positionV relativeFrom="paragraph">
              <wp:posOffset>-4150360</wp:posOffset>
            </wp:positionV>
            <wp:extent cx="335724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72">
                      <a:extLst>
                        <a:ext uri="{28A0092B-C50C-407E-A947-70E740481C1C}"/>
                      </a:extLst>
                    </a:blip>
                    <a:srcRect/>
                    <a:stretch>
                      <a:fillRect/>
                    </a:stretch>
                  </pic:blipFill>
                  <pic:spPr bwMode="auto">
                    <a:xfrm>
                      <a:off x="0" y="0"/>
                      <a:ext cx="3357245" cy="8255"/>
                    </a:xfrm>
                    <a:prstGeom prst="rect">
                      <a:avLst/>
                    </a:prstGeom>
                    <a:noFill/>
                  </pic:spPr>
                </pic:pic>
              </a:graphicData>
            </a:graphic>
          </wp:anchor>
        </w:drawing>
        <w:drawing>
          <wp:anchor simplePos="0" relativeHeight="251657728" behindDoc="1" locked="0" layoutInCell="0" allowOverlap="1">
            <wp:simplePos x="0" y="0"/>
            <wp:positionH relativeFrom="column">
              <wp:posOffset>1036955</wp:posOffset>
            </wp:positionH>
            <wp:positionV relativeFrom="paragraph">
              <wp:posOffset>-4013200</wp:posOffset>
            </wp:positionV>
            <wp:extent cx="537781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73">
                      <a:extLst>
                        <a:ext uri="{28A0092B-C50C-407E-A947-70E740481C1C}"/>
                      </a:extLst>
                    </a:blip>
                    <a:srcRect/>
                    <a:stretch>
                      <a:fillRect/>
                    </a:stretch>
                  </pic:blipFill>
                  <pic:spPr bwMode="auto">
                    <a:xfrm>
                      <a:off x="0" y="0"/>
                      <a:ext cx="5377815" cy="8255"/>
                    </a:xfrm>
                    <a:prstGeom prst="rect">
                      <a:avLst/>
                    </a:prstGeom>
                    <a:noFill/>
                  </pic:spPr>
                </pic:pic>
              </a:graphicData>
            </a:graphic>
          </wp:anchor>
        </w:drawing>
        <w:drawing>
          <wp:anchor simplePos="0" relativeHeight="251657728" behindDoc="1" locked="0" layoutInCell="0" allowOverlap="1">
            <wp:simplePos x="0" y="0"/>
            <wp:positionH relativeFrom="column">
              <wp:posOffset>1036955</wp:posOffset>
            </wp:positionH>
            <wp:positionV relativeFrom="paragraph">
              <wp:posOffset>-3876040</wp:posOffset>
            </wp:positionV>
            <wp:extent cx="469011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74">
                      <a:extLst>
                        <a:ext uri="{28A0092B-C50C-407E-A947-70E740481C1C}"/>
                      </a:extLst>
                    </a:blip>
                    <a:srcRect/>
                    <a:stretch>
                      <a:fillRect/>
                    </a:stretch>
                  </pic:blipFill>
                  <pic:spPr bwMode="auto">
                    <a:xfrm>
                      <a:off x="0" y="0"/>
                      <a:ext cx="4690110" cy="8255"/>
                    </a:xfrm>
                    <a:prstGeom prst="rect">
                      <a:avLst/>
                    </a:prstGeom>
                    <a:noFill/>
                  </pic:spPr>
                </pic:pic>
              </a:graphicData>
            </a:graphic>
          </wp:anchor>
        </w:drawing>
        <w:drawing>
          <wp:anchor simplePos="0" relativeHeight="251657728" behindDoc="1" locked="0" layoutInCell="0" allowOverlap="1">
            <wp:simplePos x="0" y="0"/>
            <wp:positionH relativeFrom="column">
              <wp:posOffset>1036955</wp:posOffset>
            </wp:positionH>
            <wp:positionV relativeFrom="paragraph">
              <wp:posOffset>-3738880</wp:posOffset>
            </wp:positionV>
            <wp:extent cx="558736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75">
                      <a:extLst>
                        <a:ext uri="{28A0092B-C50C-407E-A947-70E740481C1C}"/>
                      </a:extLst>
                    </a:blip>
                    <a:srcRect/>
                    <a:stretch>
                      <a:fillRect/>
                    </a:stretch>
                  </pic:blipFill>
                  <pic:spPr bwMode="auto">
                    <a:xfrm>
                      <a:off x="0" y="0"/>
                      <a:ext cx="5587365" cy="8890"/>
                    </a:xfrm>
                    <a:prstGeom prst="rect">
                      <a:avLst/>
                    </a:prstGeom>
                    <a:noFill/>
                  </pic:spPr>
                </pic:pic>
              </a:graphicData>
            </a:graphic>
          </wp:anchor>
        </w:drawing>
        <w:drawing>
          <wp:anchor simplePos="0" relativeHeight="251657728" behindDoc="1" locked="0" layoutInCell="0" allowOverlap="1">
            <wp:simplePos x="0" y="0"/>
            <wp:positionH relativeFrom="column">
              <wp:posOffset>1036955</wp:posOffset>
            </wp:positionH>
            <wp:positionV relativeFrom="paragraph">
              <wp:posOffset>-3601720</wp:posOffset>
            </wp:positionV>
            <wp:extent cx="356997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6">
                      <a:extLst>
                        <a:ext uri="{28A0092B-C50C-407E-A947-70E740481C1C}"/>
                      </a:extLst>
                    </a:blip>
                    <a:srcRect/>
                    <a:stretch>
                      <a:fillRect/>
                    </a:stretch>
                  </pic:blipFill>
                  <pic:spPr bwMode="auto">
                    <a:xfrm>
                      <a:off x="0" y="0"/>
                      <a:ext cx="3569970" cy="8255"/>
                    </a:xfrm>
                    <a:prstGeom prst="rect">
                      <a:avLst/>
                    </a:prstGeom>
                    <a:noFill/>
                  </pic:spPr>
                </pic:pic>
              </a:graphicData>
            </a:graphic>
          </wp:anchor>
        </w:drawing>
        <w:drawing>
          <wp:anchor simplePos="0" relativeHeight="251657728" behindDoc="1" locked="0" layoutInCell="0" allowOverlap="1">
            <wp:simplePos x="0" y="0"/>
            <wp:positionH relativeFrom="column">
              <wp:posOffset>1036955</wp:posOffset>
            </wp:positionH>
            <wp:positionV relativeFrom="paragraph">
              <wp:posOffset>-3464560</wp:posOffset>
            </wp:positionV>
            <wp:extent cx="562864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77">
                      <a:extLst>
                        <a:ext uri="{28A0092B-C50C-407E-A947-70E740481C1C}"/>
                      </a:extLst>
                    </a:blip>
                    <a:srcRect/>
                    <a:stretch>
                      <a:fillRect/>
                    </a:stretch>
                  </pic:blipFill>
                  <pic:spPr bwMode="auto">
                    <a:xfrm>
                      <a:off x="0" y="0"/>
                      <a:ext cx="5628640" cy="8255"/>
                    </a:xfrm>
                    <a:prstGeom prst="rect">
                      <a:avLst/>
                    </a:prstGeom>
                    <a:noFill/>
                  </pic:spPr>
                </pic:pic>
              </a:graphicData>
            </a:graphic>
          </wp:anchor>
        </w:drawing>
        <w:drawing>
          <wp:anchor simplePos="0" relativeHeight="251657728" behindDoc="1" locked="0" layoutInCell="0" allowOverlap="1">
            <wp:simplePos x="0" y="0"/>
            <wp:positionH relativeFrom="column">
              <wp:posOffset>1036955</wp:posOffset>
            </wp:positionH>
            <wp:positionV relativeFrom="paragraph">
              <wp:posOffset>-3327400</wp:posOffset>
            </wp:positionV>
            <wp:extent cx="503237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78">
                      <a:extLst>
                        <a:ext uri="{28A0092B-C50C-407E-A947-70E740481C1C}"/>
                      </a:extLst>
                    </a:blip>
                    <a:srcRect/>
                    <a:stretch>
                      <a:fillRect/>
                    </a:stretch>
                  </pic:blipFill>
                  <pic:spPr bwMode="auto">
                    <a:xfrm>
                      <a:off x="0" y="0"/>
                      <a:ext cx="5032375" cy="8255"/>
                    </a:xfrm>
                    <a:prstGeom prst="rect">
                      <a:avLst/>
                    </a:prstGeom>
                    <a:noFill/>
                  </pic:spPr>
                </pic:pic>
              </a:graphicData>
            </a:graphic>
          </wp:anchor>
        </w:drawing>
        <w:drawing>
          <wp:anchor simplePos="0" relativeHeight="251657728" behindDoc="1" locked="0" layoutInCell="0" allowOverlap="1">
            <wp:simplePos x="0" y="0"/>
            <wp:positionH relativeFrom="column">
              <wp:posOffset>1036955</wp:posOffset>
            </wp:positionH>
            <wp:positionV relativeFrom="paragraph">
              <wp:posOffset>-3190240</wp:posOffset>
            </wp:positionV>
            <wp:extent cx="562864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79">
                      <a:extLst>
                        <a:ext uri="{28A0092B-C50C-407E-A947-70E740481C1C}"/>
                      </a:extLst>
                    </a:blip>
                    <a:srcRect/>
                    <a:stretch>
                      <a:fillRect/>
                    </a:stretch>
                  </pic:blipFill>
                  <pic:spPr bwMode="auto">
                    <a:xfrm>
                      <a:off x="0" y="0"/>
                      <a:ext cx="5628640" cy="8255"/>
                    </a:xfrm>
                    <a:prstGeom prst="rect">
                      <a:avLst/>
                    </a:prstGeom>
                    <a:noFill/>
                  </pic:spPr>
                </pic:pic>
              </a:graphicData>
            </a:graphic>
          </wp:anchor>
        </w:drawing>
        <w:drawing>
          <wp:anchor simplePos="0" relativeHeight="251657728" behindDoc="1" locked="0" layoutInCell="0" allowOverlap="1">
            <wp:simplePos x="0" y="0"/>
            <wp:positionH relativeFrom="column">
              <wp:posOffset>1036955</wp:posOffset>
            </wp:positionH>
            <wp:positionV relativeFrom="paragraph">
              <wp:posOffset>-3053080</wp:posOffset>
            </wp:positionV>
            <wp:extent cx="557974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80">
                      <a:extLst>
                        <a:ext uri="{28A0092B-C50C-407E-A947-70E740481C1C}"/>
                      </a:extLst>
                    </a:blip>
                    <a:srcRect/>
                    <a:stretch>
                      <a:fillRect/>
                    </a:stretch>
                  </pic:blipFill>
                  <pic:spPr bwMode="auto">
                    <a:xfrm>
                      <a:off x="0" y="0"/>
                      <a:ext cx="5579745" cy="8890"/>
                    </a:xfrm>
                    <a:prstGeom prst="rect">
                      <a:avLst/>
                    </a:prstGeom>
                    <a:noFill/>
                  </pic:spPr>
                </pic:pic>
              </a:graphicData>
            </a:graphic>
          </wp:anchor>
        </w:drawing>
        <w:drawing>
          <wp:anchor simplePos="0" relativeHeight="251657728" behindDoc="1" locked="0" layoutInCell="0" allowOverlap="1">
            <wp:simplePos x="0" y="0"/>
            <wp:positionH relativeFrom="column">
              <wp:posOffset>1036955</wp:posOffset>
            </wp:positionH>
            <wp:positionV relativeFrom="paragraph">
              <wp:posOffset>-2915920</wp:posOffset>
            </wp:positionV>
            <wp:extent cx="38989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81">
                      <a:extLst>
                        <a:ext uri="{28A0092B-C50C-407E-A947-70E740481C1C}"/>
                      </a:extLst>
                    </a:blip>
                    <a:srcRect/>
                    <a:stretch>
                      <a:fillRect/>
                    </a:stretch>
                  </pic:blipFill>
                  <pic:spPr bwMode="auto">
                    <a:xfrm>
                      <a:off x="0" y="0"/>
                      <a:ext cx="389890" cy="8255"/>
                    </a:xfrm>
                    <a:prstGeom prst="rect">
                      <a:avLst/>
                    </a:prstGeom>
                    <a:noFill/>
                  </pic:spPr>
                </pic:pic>
              </a:graphicData>
            </a:graphic>
          </wp:anchor>
        </w:drawing>
        <w:drawing>
          <wp:anchor simplePos="0" relativeHeight="251657728" behindDoc="1" locked="0" layoutInCell="0" allowOverlap="1">
            <wp:simplePos x="0" y="0"/>
            <wp:positionH relativeFrom="column">
              <wp:posOffset>1036955</wp:posOffset>
            </wp:positionH>
            <wp:positionV relativeFrom="paragraph">
              <wp:posOffset>-2778760</wp:posOffset>
            </wp:positionV>
            <wp:extent cx="561276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82">
                      <a:extLst>
                        <a:ext uri="{28A0092B-C50C-407E-A947-70E740481C1C}"/>
                      </a:extLst>
                    </a:blip>
                    <a:srcRect/>
                    <a:stretch>
                      <a:fillRect/>
                    </a:stretch>
                  </pic:blipFill>
                  <pic:spPr bwMode="auto">
                    <a:xfrm>
                      <a:off x="0" y="0"/>
                      <a:ext cx="5612765" cy="8890"/>
                    </a:xfrm>
                    <a:prstGeom prst="rect">
                      <a:avLst/>
                    </a:prstGeom>
                    <a:noFill/>
                  </pic:spPr>
                </pic:pic>
              </a:graphicData>
            </a:graphic>
          </wp:anchor>
        </w:drawing>
        <w:drawing>
          <wp:anchor simplePos="0" relativeHeight="251657728" behindDoc="1" locked="0" layoutInCell="0" allowOverlap="1">
            <wp:simplePos x="0" y="0"/>
            <wp:positionH relativeFrom="column">
              <wp:posOffset>1036955</wp:posOffset>
            </wp:positionH>
            <wp:positionV relativeFrom="paragraph">
              <wp:posOffset>-2641600</wp:posOffset>
            </wp:positionV>
            <wp:extent cx="549656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83">
                      <a:extLst>
                        <a:ext uri="{28A0092B-C50C-407E-A947-70E740481C1C}"/>
                      </a:extLst>
                    </a:blip>
                    <a:srcRect/>
                    <a:stretch>
                      <a:fillRect/>
                    </a:stretch>
                  </pic:blipFill>
                  <pic:spPr bwMode="auto">
                    <a:xfrm>
                      <a:off x="0" y="0"/>
                      <a:ext cx="5496560" cy="8255"/>
                    </a:xfrm>
                    <a:prstGeom prst="rect">
                      <a:avLst/>
                    </a:prstGeom>
                    <a:noFill/>
                  </pic:spPr>
                </pic:pic>
              </a:graphicData>
            </a:graphic>
          </wp:anchor>
        </w:drawing>
        <w:drawing>
          <wp:anchor simplePos="0" relativeHeight="251657728" behindDoc="1" locked="0" layoutInCell="0" allowOverlap="1">
            <wp:simplePos x="0" y="0"/>
            <wp:positionH relativeFrom="column">
              <wp:posOffset>1036955</wp:posOffset>
            </wp:positionH>
            <wp:positionV relativeFrom="paragraph">
              <wp:posOffset>-2504440</wp:posOffset>
            </wp:positionV>
            <wp:extent cx="83121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84">
                      <a:extLst>
                        <a:ext uri="{28A0092B-C50C-407E-A947-70E740481C1C}"/>
                      </a:extLst>
                    </a:blip>
                    <a:srcRect/>
                    <a:stretch>
                      <a:fillRect/>
                    </a:stretch>
                  </pic:blipFill>
                  <pic:spPr bwMode="auto">
                    <a:xfrm>
                      <a:off x="0" y="0"/>
                      <a:ext cx="831215" cy="8255"/>
                    </a:xfrm>
                    <a:prstGeom prst="rect">
                      <a:avLst/>
                    </a:prstGeom>
                    <a:noFill/>
                  </pic:spPr>
                </pic:pic>
              </a:graphicData>
            </a:graphic>
          </wp:anchor>
        </w:drawing>
        <w:drawing>
          <wp:anchor simplePos="0" relativeHeight="251657728" behindDoc="1" locked="0" layoutInCell="0" allowOverlap="1">
            <wp:simplePos x="0" y="0"/>
            <wp:positionH relativeFrom="column">
              <wp:posOffset>1036955</wp:posOffset>
            </wp:positionH>
            <wp:positionV relativeFrom="paragraph">
              <wp:posOffset>-2367280</wp:posOffset>
            </wp:positionV>
            <wp:extent cx="529209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85">
                      <a:extLst>
                        <a:ext uri="{28A0092B-C50C-407E-A947-70E740481C1C}"/>
                      </a:extLst>
                    </a:blip>
                    <a:srcRect/>
                    <a:stretch>
                      <a:fillRect/>
                    </a:stretch>
                  </pic:blipFill>
                  <pic:spPr bwMode="auto">
                    <a:xfrm>
                      <a:off x="0" y="0"/>
                      <a:ext cx="5292090" cy="8890"/>
                    </a:xfrm>
                    <a:prstGeom prst="rect">
                      <a:avLst/>
                    </a:prstGeom>
                    <a:noFill/>
                  </pic:spPr>
                </pic:pic>
              </a:graphicData>
            </a:graphic>
          </wp:anchor>
        </w:drawing>
        <w:drawing>
          <wp:anchor simplePos="0" relativeHeight="251657728" behindDoc="1" locked="0" layoutInCell="0" allowOverlap="1">
            <wp:simplePos x="0" y="0"/>
            <wp:positionH relativeFrom="column">
              <wp:posOffset>1036955</wp:posOffset>
            </wp:positionH>
            <wp:positionV relativeFrom="paragraph">
              <wp:posOffset>-2230120</wp:posOffset>
            </wp:positionV>
            <wp:extent cx="373316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86">
                      <a:extLst>
                        <a:ext uri="{28A0092B-C50C-407E-A947-70E740481C1C}"/>
                      </a:extLst>
                    </a:blip>
                    <a:srcRect/>
                    <a:stretch>
                      <a:fillRect/>
                    </a:stretch>
                  </pic:blipFill>
                  <pic:spPr bwMode="auto">
                    <a:xfrm>
                      <a:off x="0" y="0"/>
                      <a:ext cx="3733165" cy="8255"/>
                    </a:xfrm>
                    <a:prstGeom prst="rect">
                      <a:avLst/>
                    </a:prstGeom>
                    <a:noFill/>
                  </pic:spPr>
                </pic:pic>
              </a:graphicData>
            </a:graphic>
          </wp:anchor>
        </w:drawing>
        <w:drawing>
          <wp:anchor simplePos="0" relativeHeight="251657728" behindDoc="1" locked="0" layoutInCell="0" allowOverlap="1">
            <wp:simplePos x="0" y="0"/>
            <wp:positionH relativeFrom="column">
              <wp:posOffset>1036955</wp:posOffset>
            </wp:positionH>
            <wp:positionV relativeFrom="paragraph">
              <wp:posOffset>-2092960</wp:posOffset>
            </wp:positionV>
            <wp:extent cx="546354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87">
                      <a:extLst>
                        <a:ext uri="{28A0092B-C50C-407E-A947-70E740481C1C}"/>
                      </a:extLst>
                    </a:blip>
                    <a:srcRect/>
                    <a:stretch>
                      <a:fillRect/>
                    </a:stretch>
                  </pic:blipFill>
                  <pic:spPr bwMode="auto">
                    <a:xfrm>
                      <a:off x="0" y="0"/>
                      <a:ext cx="5463540" cy="8890"/>
                    </a:xfrm>
                    <a:prstGeom prst="rect">
                      <a:avLst/>
                    </a:prstGeom>
                    <a:noFill/>
                  </pic:spPr>
                </pic:pic>
              </a:graphicData>
            </a:graphic>
          </wp:anchor>
        </w:drawing>
        <w:drawing>
          <wp:anchor simplePos="0" relativeHeight="251657728" behindDoc="1" locked="0" layoutInCell="0" allowOverlap="1">
            <wp:simplePos x="0" y="0"/>
            <wp:positionH relativeFrom="column">
              <wp:posOffset>1036955</wp:posOffset>
            </wp:positionH>
            <wp:positionV relativeFrom="paragraph">
              <wp:posOffset>-1955800</wp:posOffset>
            </wp:positionV>
            <wp:extent cx="309372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88">
                      <a:extLst>
                        <a:ext uri="{28A0092B-C50C-407E-A947-70E740481C1C}"/>
                      </a:extLst>
                    </a:blip>
                    <a:srcRect/>
                    <a:stretch>
                      <a:fillRect/>
                    </a:stretch>
                  </pic:blipFill>
                  <pic:spPr bwMode="auto">
                    <a:xfrm>
                      <a:off x="0" y="0"/>
                      <a:ext cx="3093720" cy="8255"/>
                    </a:xfrm>
                    <a:prstGeom prst="rect">
                      <a:avLst/>
                    </a:prstGeom>
                    <a:noFill/>
                  </pic:spPr>
                </pic:pic>
              </a:graphicData>
            </a:graphic>
          </wp:anchor>
        </w:drawing>
        <w:drawing>
          <wp:anchor simplePos="0" relativeHeight="251657728" behindDoc="1" locked="0" layoutInCell="0" allowOverlap="1">
            <wp:simplePos x="0" y="0"/>
            <wp:positionH relativeFrom="column">
              <wp:posOffset>1036955</wp:posOffset>
            </wp:positionH>
            <wp:positionV relativeFrom="paragraph">
              <wp:posOffset>-1818640</wp:posOffset>
            </wp:positionV>
            <wp:extent cx="547243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89">
                      <a:extLst>
                        <a:ext uri="{28A0092B-C50C-407E-A947-70E740481C1C}"/>
                      </a:extLst>
                    </a:blip>
                    <a:srcRect/>
                    <a:stretch>
                      <a:fillRect/>
                    </a:stretch>
                  </pic:blipFill>
                  <pic:spPr bwMode="auto">
                    <a:xfrm>
                      <a:off x="0" y="0"/>
                      <a:ext cx="5472430" cy="8255"/>
                    </a:xfrm>
                    <a:prstGeom prst="rect">
                      <a:avLst/>
                    </a:prstGeom>
                    <a:noFill/>
                  </pic:spPr>
                </pic:pic>
              </a:graphicData>
            </a:graphic>
          </wp:anchor>
        </w:drawing>
        <w:drawing>
          <wp:anchor simplePos="0" relativeHeight="251657728" behindDoc="1" locked="0" layoutInCell="0" allowOverlap="1">
            <wp:simplePos x="0" y="0"/>
            <wp:positionH relativeFrom="column">
              <wp:posOffset>1036955</wp:posOffset>
            </wp:positionH>
            <wp:positionV relativeFrom="paragraph">
              <wp:posOffset>-1681480</wp:posOffset>
            </wp:positionV>
            <wp:extent cx="415544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90">
                      <a:extLst>
                        <a:ext uri="{28A0092B-C50C-407E-A947-70E740481C1C}"/>
                      </a:extLst>
                    </a:blip>
                    <a:srcRect/>
                    <a:stretch>
                      <a:fillRect/>
                    </a:stretch>
                  </pic:blipFill>
                  <pic:spPr bwMode="auto">
                    <a:xfrm>
                      <a:off x="0" y="0"/>
                      <a:ext cx="4155440" cy="8890"/>
                    </a:xfrm>
                    <a:prstGeom prst="rect">
                      <a:avLst/>
                    </a:prstGeom>
                    <a:noFill/>
                  </pic:spPr>
                </pic:pic>
              </a:graphicData>
            </a:graphic>
          </wp:anchor>
        </w:drawing>
        <w:drawing>
          <wp:anchor simplePos="0" relativeHeight="251657728" behindDoc="1" locked="0" layoutInCell="0" allowOverlap="1">
            <wp:simplePos x="0" y="0"/>
            <wp:positionH relativeFrom="column">
              <wp:posOffset>1036955</wp:posOffset>
            </wp:positionH>
            <wp:positionV relativeFrom="paragraph">
              <wp:posOffset>-1544320</wp:posOffset>
            </wp:positionV>
            <wp:extent cx="541591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91">
                      <a:extLst>
                        <a:ext uri="{28A0092B-C50C-407E-A947-70E740481C1C}"/>
                      </a:extLst>
                    </a:blip>
                    <a:srcRect/>
                    <a:stretch>
                      <a:fillRect/>
                    </a:stretch>
                  </pic:blipFill>
                  <pic:spPr bwMode="auto">
                    <a:xfrm>
                      <a:off x="0" y="0"/>
                      <a:ext cx="5415915" cy="8255"/>
                    </a:xfrm>
                    <a:prstGeom prst="rect">
                      <a:avLst/>
                    </a:prstGeom>
                    <a:noFill/>
                  </pic:spPr>
                </pic:pic>
              </a:graphicData>
            </a:graphic>
          </wp:anchor>
        </w:drawing>
        <w:drawing>
          <wp:anchor simplePos="0" relativeHeight="251657728" behindDoc="1" locked="0" layoutInCell="0" allowOverlap="1">
            <wp:simplePos x="0" y="0"/>
            <wp:positionH relativeFrom="column">
              <wp:posOffset>1036955</wp:posOffset>
            </wp:positionH>
            <wp:positionV relativeFrom="paragraph">
              <wp:posOffset>-1407160</wp:posOffset>
            </wp:positionV>
            <wp:extent cx="45770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92">
                      <a:extLst>
                        <a:ext uri="{28A0092B-C50C-407E-A947-70E740481C1C}"/>
                      </a:extLst>
                    </a:blip>
                    <a:srcRect/>
                    <a:stretch>
                      <a:fillRect/>
                    </a:stretch>
                  </pic:blipFill>
                  <pic:spPr bwMode="auto">
                    <a:xfrm>
                      <a:off x="0" y="0"/>
                      <a:ext cx="4577080" cy="8255"/>
                    </a:xfrm>
                    <a:prstGeom prst="rect">
                      <a:avLst/>
                    </a:prstGeom>
                    <a:noFill/>
                  </pic:spPr>
                </pic:pic>
              </a:graphicData>
            </a:graphic>
          </wp:anchor>
        </w:drawing>
        <w:drawing>
          <wp:anchor simplePos="0" relativeHeight="251657728" behindDoc="1" locked="0" layoutInCell="0" allowOverlap="1">
            <wp:simplePos x="0" y="0"/>
            <wp:positionH relativeFrom="column">
              <wp:posOffset>1036955</wp:posOffset>
            </wp:positionH>
            <wp:positionV relativeFrom="paragraph">
              <wp:posOffset>-1270000</wp:posOffset>
            </wp:positionV>
            <wp:extent cx="5634355"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93">
                      <a:extLst>
                        <a:ext uri="{28A0092B-C50C-407E-A947-70E740481C1C}"/>
                      </a:extLst>
                    </a:blip>
                    <a:srcRect/>
                    <a:stretch>
                      <a:fillRect/>
                    </a:stretch>
                  </pic:blipFill>
                  <pic:spPr bwMode="auto">
                    <a:xfrm>
                      <a:off x="0" y="0"/>
                      <a:ext cx="5634355" cy="8890"/>
                    </a:xfrm>
                    <a:prstGeom prst="rect">
                      <a:avLst/>
                    </a:prstGeom>
                    <a:noFill/>
                  </pic:spPr>
                </pic:pic>
              </a:graphicData>
            </a:graphic>
          </wp:anchor>
        </w:drawing>
        <w:drawing>
          <wp:anchor simplePos="0" relativeHeight="251657728" behindDoc="1" locked="0" layoutInCell="0" allowOverlap="1">
            <wp:simplePos x="0" y="0"/>
            <wp:positionH relativeFrom="column">
              <wp:posOffset>1036955</wp:posOffset>
            </wp:positionH>
            <wp:positionV relativeFrom="paragraph">
              <wp:posOffset>-1132840</wp:posOffset>
            </wp:positionV>
            <wp:extent cx="329374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94">
                      <a:extLst>
                        <a:ext uri="{28A0092B-C50C-407E-A947-70E740481C1C}"/>
                      </a:extLst>
                    </a:blip>
                    <a:srcRect/>
                    <a:stretch>
                      <a:fillRect/>
                    </a:stretch>
                  </pic:blipFill>
                  <pic:spPr bwMode="auto">
                    <a:xfrm>
                      <a:off x="0" y="0"/>
                      <a:ext cx="3293745" cy="8255"/>
                    </a:xfrm>
                    <a:prstGeom prst="rect">
                      <a:avLst/>
                    </a:prstGeom>
                    <a:noFill/>
                  </pic:spPr>
                </pic:pic>
              </a:graphicData>
            </a:graphic>
          </wp:anchor>
        </w:drawing>
        <w:drawing>
          <wp:anchor simplePos="0" relativeHeight="251657728" behindDoc="1" locked="0" layoutInCell="0" allowOverlap="1">
            <wp:simplePos x="0" y="0"/>
            <wp:positionH relativeFrom="column">
              <wp:posOffset>1036955</wp:posOffset>
            </wp:positionH>
            <wp:positionV relativeFrom="paragraph">
              <wp:posOffset>-995680</wp:posOffset>
            </wp:positionV>
            <wp:extent cx="556831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95">
                      <a:extLst>
                        <a:ext uri="{28A0092B-C50C-407E-A947-70E740481C1C}"/>
                      </a:extLst>
                    </a:blip>
                    <a:srcRect/>
                    <a:stretch>
                      <a:fillRect/>
                    </a:stretch>
                  </pic:blipFill>
                  <pic:spPr bwMode="auto">
                    <a:xfrm>
                      <a:off x="0" y="0"/>
                      <a:ext cx="5568315" cy="8255"/>
                    </a:xfrm>
                    <a:prstGeom prst="rect">
                      <a:avLst/>
                    </a:prstGeom>
                    <a:noFill/>
                  </pic:spPr>
                </pic:pic>
              </a:graphicData>
            </a:graphic>
          </wp:anchor>
        </w:drawing>
        <w:drawing>
          <wp:anchor simplePos="0" relativeHeight="251657728" behindDoc="1" locked="0" layoutInCell="0" allowOverlap="1">
            <wp:simplePos x="0" y="0"/>
            <wp:positionH relativeFrom="column">
              <wp:posOffset>1036955</wp:posOffset>
            </wp:positionH>
            <wp:positionV relativeFrom="paragraph">
              <wp:posOffset>-858520</wp:posOffset>
            </wp:positionV>
            <wp:extent cx="3632835"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96">
                      <a:extLst>
                        <a:ext uri="{28A0092B-C50C-407E-A947-70E740481C1C}"/>
                      </a:extLst>
                    </a:blip>
                    <a:srcRect/>
                    <a:stretch>
                      <a:fillRect/>
                    </a:stretch>
                  </pic:blipFill>
                  <pic:spPr bwMode="auto">
                    <a:xfrm>
                      <a:off x="0" y="0"/>
                      <a:ext cx="3632835" cy="8890"/>
                    </a:xfrm>
                    <a:prstGeom prst="rect">
                      <a:avLst/>
                    </a:prstGeom>
                    <a:noFill/>
                  </pic:spPr>
                </pic:pic>
              </a:graphicData>
            </a:graphic>
          </wp:anchor>
        </w:drawing>
        <w:drawing>
          <wp:anchor simplePos="0" relativeHeight="251657728" behindDoc="1" locked="0" layoutInCell="0" allowOverlap="1">
            <wp:simplePos x="0" y="0"/>
            <wp:positionH relativeFrom="column">
              <wp:posOffset>1036955</wp:posOffset>
            </wp:positionH>
            <wp:positionV relativeFrom="paragraph">
              <wp:posOffset>-721360</wp:posOffset>
            </wp:positionV>
            <wp:extent cx="538035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97">
                      <a:extLst>
                        <a:ext uri="{28A0092B-C50C-407E-A947-70E740481C1C}"/>
                      </a:extLst>
                    </a:blip>
                    <a:srcRect/>
                    <a:stretch>
                      <a:fillRect/>
                    </a:stretch>
                  </pic:blipFill>
                  <pic:spPr bwMode="auto">
                    <a:xfrm>
                      <a:off x="0" y="0"/>
                      <a:ext cx="5380355" cy="8255"/>
                    </a:xfrm>
                    <a:prstGeom prst="rect">
                      <a:avLst/>
                    </a:prstGeom>
                    <a:noFill/>
                  </pic:spPr>
                </pic:pic>
              </a:graphicData>
            </a:graphic>
          </wp:anchor>
        </w:drawing>
        <w:drawing>
          <wp:anchor simplePos="0" relativeHeight="251657728" behindDoc="1" locked="0" layoutInCell="0" allowOverlap="1">
            <wp:simplePos x="0" y="0"/>
            <wp:positionH relativeFrom="column">
              <wp:posOffset>1036955</wp:posOffset>
            </wp:positionH>
            <wp:positionV relativeFrom="paragraph">
              <wp:posOffset>-584200</wp:posOffset>
            </wp:positionV>
            <wp:extent cx="465455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98">
                      <a:extLst>
                        <a:ext uri="{28A0092B-C50C-407E-A947-70E740481C1C}"/>
                      </a:extLst>
                    </a:blip>
                    <a:srcRect/>
                    <a:stretch>
                      <a:fillRect/>
                    </a:stretch>
                  </pic:blipFill>
                  <pic:spPr bwMode="auto">
                    <a:xfrm>
                      <a:off x="0" y="0"/>
                      <a:ext cx="4654550" cy="8890"/>
                    </a:xfrm>
                    <a:prstGeom prst="rect">
                      <a:avLst/>
                    </a:prstGeom>
                    <a:noFill/>
                  </pic:spPr>
                </pic:pic>
              </a:graphicData>
            </a:graphic>
          </wp:anchor>
        </w:drawing>
        <w:drawing>
          <wp:anchor simplePos="0" relativeHeight="251657728" behindDoc="1" locked="0" layoutInCell="0" allowOverlap="1">
            <wp:simplePos x="0" y="0"/>
            <wp:positionH relativeFrom="column">
              <wp:posOffset>1036955</wp:posOffset>
            </wp:positionH>
            <wp:positionV relativeFrom="paragraph">
              <wp:posOffset>-447040</wp:posOffset>
            </wp:positionV>
            <wp:extent cx="561213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99">
                      <a:extLst>
                        <a:ext uri="{28A0092B-C50C-407E-A947-70E740481C1C}"/>
                      </a:extLst>
                    </a:blip>
                    <a:srcRect/>
                    <a:stretch>
                      <a:fillRect/>
                    </a:stretch>
                  </pic:blipFill>
                  <pic:spPr bwMode="auto">
                    <a:xfrm>
                      <a:off x="0" y="0"/>
                      <a:ext cx="5612130" cy="8255"/>
                    </a:xfrm>
                    <a:prstGeom prst="rect">
                      <a:avLst/>
                    </a:prstGeom>
                    <a:noFill/>
                  </pic:spPr>
                </pic:pic>
              </a:graphicData>
            </a:graphic>
          </wp:anchor>
        </w:drawing>
        <w:drawing>
          <wp:anchor simplePos="0" relativeHeight="251657728" behindDoc="1" locked="0" layoutInCell="0" allowOverlap="1">
            <wp:simplePos x="0" y="0"/>
            <wp:positionH relativeFrom="column">
              <wp:posOffset>1036955</wp:posOffset>
            </wp:positionH>
            <wp:positionV relativeFrom="paragraph">
              <wp:posOffset>-309880</wp:posOffset>
            </wp:positionV>
            <wp:extent cx="465455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00">
                      <a:extLst>
                        <a:ext uri="{28A0092B-C50C-407E-A947-70E740481C1C}"/>
                      </a:extLst>
                    </a:blip>
                    <a:srcRect/>
                    <a:stretch>
                      <a:fillRect/>
                    </a:stretch>
                  </pic:blipFill>
                  <pic:spPr bwMode="auto">
                    <a:xfrm>
                      <a:off x="0" y="0"/>
                      <a:ext cx="4654550" cy="8255"/>
                    </a:xfrm>
                    <a:prstGeom prst="rect">
                      <a:avLst/>
                    </a:prstGeom>
                    <a:noFill/>
                  </pic:spPr>
                </pic:pic>
              </a:graphicData>
            </a:graphic>
          </wp:anchor>
        </w:drawing>
        <w:drawing>
          <wp:anchor simplePos="0" relativeHeight="251657728" behindDoc="1" locked="0" layoutInCell="0" allowOverlap="1">
            <wp:simplePos x="0" y="0"/>
            <wp:positionH relativeFrom="column">
              <wp:posOffset>1036955</wp:posOffset>
            </wp:positionH>
            <wp:positionV relativeFrom="paragraph">
              <wp:posOffset>-172720</wp:posOffset>
            </wp:positionV>
            <wp:extent cx="5352415"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01">
                      <a:extLst>
                        <a:ext uri="{28A0092B-C50C-407E-A947-70E740481C1C}"/>
                      </a:extLst>
                    </a:blip>
                    <a:srcRect/>
                    <a:stretch>
                      <a:fillRect/>
                    </a:stretch>
                  </pic:blipFill>
                  <pic:spPr bwMode="auto">
                    <a:xfrm>
                      <a:off x="0" y="0"/>
                      <a:ext cx="5352415" cy="8890"/>
                    </a:xfrm>
                    <a:prstGeom prst="rect">
                      <a:avLst/>
                    </a:prstGeom>
                    <a:noFill/>
                  </pic:spPr>
                </pic:pic>
              </a:graphicData>
            </a:graphic>
          </wp:anchor>
        </w:drawing>
        <w:drawing>
          <wp:anchor simplePos="0" relativeHeight="251657728" behindDoc="1" locked="0" layoutInCell="0" allowOverlap="1">
            <wp:simplePos x="0" y="0"/>
            <wp:positionH relativeFrom="column">
              <wp:posOffset>1036955</wp:posOffset>
            </wp:positionH>
            <wp:positionV relativeFrom="paragraph">
              <wp:posOffset>-35560</wp:posOffset>
            </wp:positionV>
            <wp:extent cx="356679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02">
                      <a:extLst>
                        <a:ext uri="{28A0092B-C50C-407E-A947-70E740481C1C}"/>
                      </a:extLst>
                    </a:blip>
                    <a:srcRect/>
                    <a:stretch>
                      <a:fillRect/>
                    </a:stretch>
                  </pic:blipFill>
                  <pic:spPr bwMode="auto">
                    <a:xfrm>
                      <a:off x="0" y="0"/>
                      <a:ext cx="3566795" cy="8255"/>
                    </a:xfrm>
                    <a:prstGeom prst="rect">
                      <a:avLst/>
                    </a:prstGeom>
                    <a:noFill/>
                  </pic:spPr>
                </pic:pic>
              </a:graphicData>
            </a:graphic>
          </wp:anchor>
        </w:drawing>
      </w:r>
    </w:p>
    <w:p>
      <w:pPr>
        <w:spacing w:after="0" w:line="161" w:lineRule="exact"/>
        <w:rPr>
          <w:rFonts w:ascii="Times New Roman" w:cs="Times New Roman" w:eastAsia="Times New Roman" w:hAnsi="Times New Roman"/>
          <w:sz w:val="18"/>
          <w:szCs w:val="18"/>
          <w:color w:val="auto"/>
        </w:rPr>
      </w:pPr>
    </w:p>
    <w:p>
      <w:pPr>
        <w:ind w:left="4843"/>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-449580</wp:posOffset>
            </wp:positionH>
            <wp:positionV relativeFrom="paragraph">
              <wp:posOffset>484505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03"/>
          </w:cols>
          <w:pgMar w:left="1017" w:top="1201" w:right="379" w:bottom="1440" w:gutter="0" w:footer="0" w:header="0"/>
        </w:sectPr>
      </w:pPr>
    </w:p>
    <w:bookmarkStart w:id="86" w:name="page87"/>
    <w:bookmarkEnd w:id="86"/>
    <w:p>
      <w:pPr>
        <w:ind w:left="1220" w:right="280" w:hanging="590"/>
        <w:spacing w:after="0" w:line="261" w:lineRule="auto"/>
        <w:tabs>
          <w:tab w:leader="none" w:pos="1220" w:val="left"/>
        </w:tabs>
        <w:numPr>
          <w:ilvl w:val="0"/>
          <w:numId w:val="24"/>
        </w:numPr>
        <w:rPr>
          <w:rFonts w:ascii="Times New Roman" w:cs="Times New Roman" w:eastAsia="Times New Roman" w:hAnsi="Times New Roman"/>
          <w:sz w:val="18"/>
          <w:szCs w:val="18"/>
          <w:u w:val="single" w:color="auto"/>
          <w:color w:val="0000FF"/>
        </w:rPr>
      </w:pPr>
      <w:hyperlink r:id="rId204">
        <w:r>
          <w:rPr>
            <w:rFonts w:ascii="Times New Roman" w:cs="Times New Roman" w:eastAsia="Times New Roman" w:hAnsi="Times New Roman"/>
            <w:sz w:val="18"/>
            <w:szCs w:val="18"/>
            <w:u w:val="single" w:color="auto"/>
            <w:color w:val="0000FF"/>
          </w:rPr>
          <w:t>Form of Genesco Inc. Performance Share Unit Agreement. Incorporated by reference to Exhibit 10.2 to the Company's</w:t>
        </w:r>
      </w:hyperlink>
      <w:r>
        <w:rPr>
          <w:rFonts w:ascii="Times New Roman" w:cs="Times New Roman" w:eastAsia="Times New Roman" w:hAnsi="Times New Roman"/>
          <w:sz w:val="18"/>
          <w:szCs w:val="18"/>
          <w:u w:val="single" w:color="auto"/>
          <w:color w:val="0000FF"/>
        </w:rPr>
        <w:t xml:space="preserve"> </w:t>
      </w:r>
      <w:hyperlink r:id="rId204">
        <w:r>
          <w:rPr>
            <w:rFonts w:ascii="Times New Roman" w:cs="Times New Roman" w:eastAsia="Times New Roman" w:hAnsi="Times New Roman"/>
            <w:sz w:val="18"/>
            <w:szCs w:val="18"/>
            <w:u w:val="single" w:color="auto"/>
            <w:color w:val="0000FF"/>
          </w:rPr>
          <w:t>Quarterly Report on Form 10-Q for the quarter ended April 29, 2023 (File No. 1-3083).</w:t>
        </w:r>
      </w:hyperlink>
    </w:p>
    <w:p>
      <w:pPr>
        <w:ind w:left="1220" w:right="280" w:hanging="590"/>
        <w:spacing w:after="0" w:line="250" w:lineRule="auto"/>
        <w:tabs>
          <w:tab w:leader="none" w:pos="1220" w:val="left"/>
        </w:tabs>
        <w:numPr>
          <w:ilvl w:val="0"/>
          <w:numId w:val="24"/>
        </w:numPr>
        <w:rPr>
          <w:rFonts w:ascii="Times New Roman" w:cs="Times New Roman" w:eastAsia="Times New Roman" w:hAnsi="Times New Roman"/>
          <w:sz w:val="18"/>
          <w:szCs w:val="18"/>
          <w:u w:val="single" w:color="auto"/>
          <w:color w:val="0000FF"/>
        </w:rPr>
      </w:pPr>
      <w:hyperlink r:id="rId205">
        <w:r>
          <w:rPr>
            <w:rFonts w:ascii="Times New Roman" w:cs="Times New Roman" w:eastAsia="Times New Roman" w:hAnsi="Times New Roman"/>
            <w:sz w:val="18"/>
            <w:szCs w:val="18"/>
            <w:u w:val="single" w:color="auto"/>
            <w:color w:val="0000FF"/>
          </w:rPr>
          <w:t>Form of Genesco Inc. Performance Share Unit Agreement. Incorporated by reference to Exhibit 10.2 to the Company's</w:t>
        </w:r>
      </w:hyperlink>
      <w:r>
        <w:rPr>
          <w:rFonts w:ascii="Times New Roman" w:cs="Times New Roman" w:eastAsia="Times New Roman" w:hAnsi="Times New Roman"/>
          <w:sz w:val="18"/>
          <w:szCs w:val="18"/>
          <w:u w:val="single" w:color="auto"/>
          <w:color w:val="0000FF"/>
        </w:rPr>
        <w:t xml:space="preserve"> </w:t>
      </w:r>
      <w:hyperlink r:id="rId205">
        <w:r>
          <w:rPr>
            <w:rFonts w:ascii="Times New Roman" w:cs="Times New Roman" w:eastAsia="Times New Roman" w:hAnsi="Times New Roman"/>
            <w:sz w:val="18"/>
            <w:szCs w:val="18"/>
            <w:u w:val="single" w:color="auto"/>
            <w:color w:val="0000FF"/>
          </w:rPr>
          <w:t>Quarterly Report on Form 10-Q for the quarter ended May 4, 2024 (File No. 1-3083).</w:t>
        </w:r>
      </w:hyperlink>
    </w:p>
    <w:p>
      <w:pPr>
        <w:ind w:left="1220" w:right="300" w:hanging="590"/>
        <w:spacing w:after="0" w:line="250" w:lineRule="auto"/>
        <w:tabs>
          <w:tab w:leader="none" w:pos="1220" w:val="left"/>
        </w:tabs>
        <w:numPr>
          <w:ilvl w:val="0"/>
          <w:numId w:val="24"/>
        </w:numPr>
        <w:rPr>
          <w:rFonts w:ascii="Times New Roman" w:cs="Times New Roman" w:eastAsia="Times New Roman" w:hAnsi="Times New Roman"/>
          <w:sz w:val="18"/>
          <w:szCs w:val="18"/>
          <w:u w:val="single" w:color="auto"/>
          <w:color w:val="0000FF"/>
        </w:rPr>
      </w:pPr>
      <w:hyperlink r:id="rId206">
        <w:r>
          <w:rPr>
            <w:rFonts w:ascii="Times New Roman" w:cs="Times New Roman" w:eastAsia="Times New Roman" w:hAnsi="Times New Roman"/>
            <w:sz w:val="18"/>
            <w:szCs w:val="18"/>
            <w:u w:val="single" w:color="auto"/>
            <w:color w:val="0000FF"/>
          </w:rPr>
          <w:t>Form of Genesco Inc. Restricted Share Award Agreement. Incorporated by reference to Exhibit 10.3 to the Company's</w:t>
        </w:r>
      </w:hyperlink>
      <w:r>
        <w:rPr>
          <w:rFonts w:ascii="Times New Roman" w:cs="Times New Roman" w:eastAsia="Times New Roman" w:hAnsi="Times New Roman"/>
          <w:sz w:val="18"/>
          <w:szCs w:val="18"/>
          <w:u w:val="single" w:color="auto"/>
          <w:color w:val="0000FF"/>
        </w:rPr>
        <w:t xml:space="preserve"> </w:t>
      </w:r>
      <w:hyperlink r:id="rId206">
        <w:r>
          <w:rPr>
            <w:rFonts w:ascii="Times New Roman" w:cs="Times New Roman" w:eastAsia="Times New Roman" w:hAnsi="Times New Roman"/>
            <w:sz w:val="18"/>
            <w:szCs w:val="18"/>
            <w:u w:val="single" w:color="auto"/>
            <w:color w:val="0000FF"/>
          </w:rPr>
          <w:t>Quarterly Report on Form 10-Q for the quarter ended April 29, 2023 (File No. 1-3083).</w:t>
        </w:r>
      </w:hyperlink>
    </w:p>
    <w:p>
      <w:pPr>
        <w:ind w:left="1220" w:right="120" w:hanging="590"/>
        <w:spacing w:after="0" w:line="250" w:lineRule="auto"/>
        <w:tabs>
          <w:tab w:leader="none" w:pos="12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of Indemnification Agreement For Directors. Incorporated by reference to Exhibit (10)m to the Company’s Annual Report on Form 10-K for the fiscal year ended January 31, 1993 (File No.1-3083). (P)</w:t>
      </w:r>
    </w:p>
    <w:p>
      <w:pPr>
        <w:ind w:left="1220" w:right="260" w:hanging="590"/>
        <w:spacing w:after="0" w:line="250" w:lineRule="auto"/>
        <w:tabs>
          <w:tab w:leader="none" w:pos="1220" w:val="left"/>
        </w:tabs>
        <w:numPr>
          <w:ilvl w:val="0"/>
          <w:numId w:val="24"/>
        </w:numPr>
        <w:rPr>
          <w:rFonts w:ascii="Times New Roman" w:cs="Times New Roman" w:eastAsia="Times New Roman" w:hAnsi="Times New Roman"/>
          <w:sz w:val="18"/>
          <w:szCs w:val="18"/>
          <w:u w:val="single" w:color="auto"/>
          <w:color w:val="0000FF"/>
        </w:rPr>
      </w:pPr>
      <w:hyperlink r:id="rId207">
        <w:r>
          <w:rPr>
            <w:rFonts w:ascii="Times New Roman" w:cs="Times New Roman" w:eastAsia="Times New Roman" w:hAnsi="Times New Roman"/>
            <w:sz w:val="18"/>
            <w:szCs w:val="18"/>
            <w:u w:val="single" w:color="auto"/>
            <w:color w:val="0000FF"/>
          </w:rPr>
          <w:t>Form of Non-Executive Director Indemnification Agreement. Incorporated by reference to Exhibit (10.1) to the current</w:t>
        </w:r>
      </w:hyperlink>
      <w:r>
        <w:rPr>
          <w:rFonts w:ascii="Times New Roman" w:cs="Times New Roman" w:eastAsia="Times New Roman" w:hAnsi="Times New Roman"/>
          <w:sz w:val="18"/>
          <w:szCs w:val="18"/>
          <w:u w:val="single" w:color="auto"/>
          <w:color w:val="0000FF"/>
        </w:rPr>
        <w:t xml:space="preserve"> </w:t>
      </w:r>
      <w:hyperlink r:id="rId207">
        <w:r>
          <w:rPr>
            <w:rFonts w:ascii="Times New Roman" w:cs="Times New Roman" w:eastAsia="Times New Roman" w:hAnsi="Times New Roman"/>
            <w:sz w:val="18"/>
            <w:szCs w:val="18"/>
            <w:u w:val="single" w:color="auto"/>
            <w:color w:val="0000FF"/>
          </w:rPr>
          <w:t>report on Form 8-K filed November 3, 2008 (File No. 1-3083).</w:t>
        </w:r>
      </w:hyperlink>
    </w:p>
    <w:p>
      <w:pPr>
        <w:ind w:left="1220" w:right="420" w:hanging="590"/>
        <w:spacing w:after="0" w:line="250" w:lineRule="auto"/>
        <w:tabs>
          <w:tab w:leader="none" w:pos="1220" w:val="left"/>
        </w:tabs>
        <w:numPr>
          <w:ilvl w:val="0"/>
          <w:numId w:val="24"/>
        </w:numPr>
        <w:rPr>
          <w:rFonts w:ascii="Times New Roman" w:cs="Times New Roman" w:eastAsia="Times New Roman" w:hAnsi="Times New Roman"/>
          <w:sz w:val="18"/>
          <w:szCs w:val="18"/>
          <w:u w:val="single" w:color="auto"/>
          <w:color w:val="0000FF"/>
        </w:rPr>
      </w:pPr>
      <w:hyperlink r:id="rId208">
        <w:r>
          <w:rPr>
            <w:rFonts w:ascii="Times New Roman" w:cs="Times New Roman" w:eastAsia="Times New Roman" w:hAnsi="Times New Roman"/>
            <w:sz w:val="18"/>
            <w:szCs w:val="18"/>
            <w:u w:val="single" w:color="auto"/>
            <w:color w:val="0000FF"/>
          </w:rPr>
          <w:t>Form of Officer Indemnification Agreement. Incorporated by reference to Exhibit (10.2) to the Company’s Quarterly</w:t>
        </w:r>
      </w:hyperlink>
      <w:r>
        <w:rPr>
          <w:rFonts w:ascii="Times New Roman" w:cs="Times New Roman" w:eastAsia="Times New Roman" w:hAnsi="Times New Roman"/>
          <w:sz w:val="18"/>
          <w:szCs w:val="18"/>
          <w:u w:val="single" w:color="auto"/>
          <w:color w:val="0000FF"/>
        </w:rPr>
        <w:t xml:space="preserve"> </w:t>
      </w:r>
      <w:hyperlink r:id="rId208">
        <w:r>
          <w:rPr>
            <w:rFonts w:ascii="Times New Roman" w:cs="Times New Roman" w:eastAsia="Times New Roman" w:hAnsi="Times New Roman"/>
            <w:sz w:val="18"/>
            <w:szCs w:val="18"/>
            <w:u w:val="single" w:color="auto"/>
            <w:color w:val="0000FF"/>
          </w:rPr>
          <w:t>Report on Form 10-Q for the quarter ended November 1, 2008 (File No.1-3083).</w:t>
        </w:r>
      </w:hyperlink>
    </w:p>
    <w:p>
      <w:pPr>
        <w:jc w:val="both"/>
        <w:ind w:left="1220" w:right="60" w:hanging="590"/>
        <w:spacing w:after="0" w:line="250" w:lineRule="auto"/>
        <w:tabs>
          <w:tab w:leader="none" w:pos="1220" w:val="left"/>
        </w:tabs>
        <w:numPr>
          <w:ilvl w:val="0"/>
          <w:numId w:val="24"/>
        </w:numPr>
        <w:rPr>
          <w:rFonts w:ascii="Times New Roman" w:cs="Times New Roman" w:eastAsia="Times New Roman" w:hAnsi="Times New Roman"/>
          <w:sz w:val="18"/>
          <w:szCs w:val="18"/>
          <w:u w:val="single" w:color="auto"/>
          <w:color w:val="0000FF"/>
        </w:rPr>
      </w:pPr>
      <w:hyperlink r:id="rId143">
        <w:r>
          <w:rPr>
            <w:rFonts w:ascii="Times New Roman" w:cs="Times New Roman" w:eastAsia="Times New Roman" w:hAnsi="Times New Roman"/>
            <w:sz w:val="18"/>
            <w:szCs w:val="18"/>
            <w:u w:val="single" w:color="auto"/>
            <w:color w:val="0000FF"/>
          </w:rPr>
          <w:t>Form of Employment Protection Agreement between the Company and certain executive officers dated as of February 26,</w:t>
        </w:r>
      </w:hyperlink>
      <w:r>
        <w:rPr>
          <w:rFonts w:ascii="Times New Roman" w:cs="Times New Roman" w:eastAsia="Times New Roman" w:hAnsi="Times New Roman"/>
          <w:sz w:val="18"/>
          <w:szCs w:val="18"/>
          <w:u w:val="single" w:color="auto"/>
          <w:color w:val="0000FF"/>
        </w:rPr>
        <w:t xml:space="preserve"> </w:t>
      </w:r>
      <w:hyperlink r:id="rId143">
        <w:r>
          <w:rPr>
            <w:rFonts w:ascii="Times New Roman" w:cs="Times New Roman" w:eastAsia="Times New Roman" w:hAnsi="Times New Roman"/>
            <w:sz w:val="18"/>
            <w:szCs w:val="18"/>
            <w:u w:val="single" w:color="auto"/>
            <w:color w:val="0000FF"/>
          </w:rPr>
          <w:t>1997. Incorporated by reference to Exhibit (10)p to the Company’s Annual Report on Form 10-K for the fiscal year ended</w:t>
        </w:r>
      </w:hyperlink>
      <w:r>
        <w:rPr>
          <w:rFonts w:ascii="Times New Roman" w:cs="Times New Roman" w:eastAsia="Times New Roman" w:hAnsi="Times New Roman"/>
          <w:sz w:val="18"/>
          <w:szCs w:val="18"/>
          <w:u w:val="single" w:color="auto"/>
          <w:color w:val="0000FF"/>
        </w:rPr>
        <w:t xml:space="preserve"> </w:t>
      </w:r>
      <w:hyperlink r:id="rId143">
        <w:r>
          <w:rPr>
            <w:rFonts w:ascii="Times New Roman" w:cs="Times New Roman" w:eastAsia="Times New Roman" w:hAnsi="Times New Roman"/>
            <w:sz w:val="18"/>
            <w:szCs w:val="18"/>
            <w:u w:val="single" w:color="auto"/>
            <w:color w:val="0000FF"/>
          </w:rPr>
          <w:t>February 1, 1997 (File No.1-3083).</w:t>
        </w:r>
      </w:hyperlink>
    </w:p>
    <w:p>
      <w:pPr>
        <w:spacing w:after="0" w:line="1" w:lineRule="exact"/>
        <w:rPr>
          <w:rFonts w:ascii="Times New Roman" w:cs="Times New Roman" w:eastAsia="Times New Roman" w:hAnsi="Times New Roman"/>
          <w:sz w:val="18"/>
          <w:szCs w:val="18"/>
          <w:u w:val="single" w:color="auto"/>
          <w:color w:val="0000FF"/>
        </w:rPr>
      </w:pPr>
    </w:p>
    <w:p>
      <w:pPr>
        <w:ind w:left="1220" w:right="600" w:hanging="590"/>
        <w:spacing w:after="0" w:line="250" w:lineRule="auto"/>
        <w:tabs>
          <w:tab w:leader="none" w:pos="1220" w:val="left"/>
        </w:tabs>
        <w:numPr>
          <w:ilvl w:val="0"/>
          <w:numId w:val="24"/>
        </w:numPr>
        <w:rPr>
          <w:rFonts w:ascii="Times New Roman" w:cs="Times New Roman" w:eastAsia="Times New Roman" w:hAnsi="Times New Roman"/>
          <w:sz w:val="18"/>
          <w:szCs w:val="18"/>
          <w:u w:val="single" w:color="auto"/>
          <w:color w:val="0000FF"/>
        </w:rPr>
      </w:pPr>
      <w:hyperlink r:id="rId209">
        <w:r>
          <w:rPr>
            <w:rFonts w:ascii="Times New Roman" w:cs="Times New Roman" w:eastAsia="Times New Roman" w:hAnsi="Times New Roman"/>
            <w:sz w:val="18"/>
            <w:szCs w:val="18"/>
            <w:u w:val="single" w:color="auto"/>
            <w:color w:val="0000FF"/>
          </w:rPr>
          <w:t>First Amendment to Form of Employment Protection Agreement. Incorporated by reference to Exhibit (10)s to the</w:t>
        </w:r>
      </w:hyperlink>
      <w:r>
        <w:rPr>
          <w:rFonts w:ascii="Times New Roman" w:cs="Times New Roman" w:eastAsia="Times New Roman" w:hAnsi="Times New Roman"/>
          <w:sz w:val="18"/>
          <w:szCs w:val="18"/>
          <w:u w:val="single" w:color="auto"/>
          <w:color w:val="0000FF"/>
        </w:rPr>
        <w:t xml:space="preserve"> </w:t>
      </w:r>
      <w:hyperlink r:id="rId209">
        <w:r>
          <w:rPr>
            <w:rFonts w:ascii="Times New Roman" w:cs="Times New Roman" w:eastAsia="Times New Roman" w:hAnsi="Times New Roman"/>
            <w:sz w:val="18"/>
            <w:szCs w:val="18"/>
            <w:u w:val="single" w:color="auto"/>
            <w:color w:val="0000FF"/>
          </w:rPr>
          <w:t>Company’s Annual Report on Form 10-K for the fiscal year ended January 30, 2010 (File No.1-3083).</w:t>
        </w:r>
      </w:hyperlink>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768350</wp:posOffset>
            </wp:positionH>
            <wp:positionV relativeFrom="paragraph">
              <wp:posOffset>-2219325</wp:posOffset>
            </wp:positionV>
            <wp:extent cx="546481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10">
                      <a:extLst>
                        <a:ext uri="{28A0092B-C50C-407E-A947-70E740481C1C}"/>
                      </a:extLst>
                    </a:blip>
                    <a:srcRect/>
                    <a:stretch>
                      <a:fillRect/>
                    </a:stretch>
                  </pic:blipFill>
                  <pic:spPr bwMode="auto">
                    <a:xfrm>
                      <a:off x="0" y="0"/>
                      <a:ext cx="5464810" cy="8255"/>
                    </a:xfrm>
                    <a:prstGeom prst="rect">
                      <a:avLst/>
                    </a:prstGeom>
                    <a:noFill/>
                  </pic:spPr>
                </pic:pic>
              </a:graphicData>
            </a:graphic>
          </wp:anchor>
        </w:drawing>
        <w:drawing>
          <wp:anchor simplePos="0" relativeHeight="251657728" behindDoc="1" locked="0" layoutInCell="0" allowOverlap="1">
            <wp:simplePos x="0" y="0"/>
            <wp:positionH relativeFrom="column">
              <wp:posOffset>768350</wp:posOffset>
            </wp:positionH>
            <wp:positionV relativeFrom="paragraph">
              <wp:posOffset>-2082165</wp:posOffset>
            </wp:positionV>
            <wp:extent cx="4001135"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11">
                      <a:extLst>
                        <a:ext uri="{28A0092B-C50C-407E-A947-70E740481C1C}"/>
                      </a:extLst>
                    </a:blip>
                    <a:srcRect/>
                    <a:stretch>
                      <a:fillRect/>
                    </a:stretch>
                  </pic:blipFill>
                  <pic:spPr bwMode="auto">
                    <a:xfrm>
                      <a:off x="0" y="0"/>
                      <a:ext cx="4001135" cy="8890"/>
                    </a:xfrm>
                    <a:prstGeom prst="rect">
                      <a:avLst/>
                    </a:prstGeom>
                    <a:noFill/>
                  </pic:spPr>
                </pic:pic>
              </a:graphicData>
            </a:graphic>
          </wp:anchor>
        </w:drawing>
        <w:drawing>
          <wp:anchor simplePos="0" relativeHeight="251657728" behindDoc="1" locked="0" layoutInCell="0" allowOverlap="1">
            <wp:simplePos x="0" y="0"/>
            <wp:positionH relativeFrom="column">
              <wp:posOffset>768350</wp:posOffset>
            </wp:positionH>
            <wp:positionV relativeFrom="paragraph">
              <wp:posOffset>-1945005</wp:posOffset>
            </wp:positionV>
            <wp:extent cx="546481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12">
                      <a:extLst>
                        <a:ext uri="{28A0092B-C50C-407E-A947-70E740481C1C}"/>
                      </a:extLst>
                    </a:blip>
                    <a:srcRect/>
                    <a:stretch>
                      <a:fillRect/>
                    </a:stretch>
                  </pic:blipFill>
                  <pic:spPr bwMode="auto">
                    <a:xfrm>
                      <a:off x="0" y="0"/>
                      <a:ext cx="5464810" cy="8255"/>
                    </a:xfrm>
                    <a:prstGeom prst="rect">
                      <a:avLst/>
                    </a:prstGeom>
                    <a:noFill/>
                  </pic:spPr>
                </pic:pic>
              </a:graphicData>
            </a:graphic>
          </wp:anchor>
        </w:drawing>
        <w:drawing>
          <wp:anchor simplePos="0" relativeHeight="251657728" behindDoc="1" locked="0" layoutInCell="0" allowOverlap="1">
            <wp:simplePos x="0" y="0"/>
            <wp:positionH relativeFrom="column">
              <wp:posOffset>768350</wp:posOffset>
            </wp:positionH>
            <wp:positionV relativeFrom="paragraph">
              <wp:posOffset>-1807845</wp:posOffset>
            </wp:positionV>
            <wp:extent cx="391223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13">
                      <a:extLst>
                        <a:ext uri="{28A0092B-C50C-407E-A947-70E740481C1C}"/>
                      </a:extLst>
                    </a:blip>
                    <a:srcRect/>
                    <a:stretch>
                      <a:fillRect/>
                    </a:stretch>
                  </pic:blipFill>
                  <pic:spPr bwMode="auto">
                    <a:xfrm>
                      <a:off x="0" y="0"/>
                      <a:ext cx="3912235" cy="8255"/>
                    </a:xfrm>
                    <a:prstGeom prst="rect">
                      <a:avLst/>
                    </a:prstGeom>
                    <a:noFill/>
                  </pic:spPr>
                </pic:pic>
              </a:graphicData>
            </a:graphic>
          </wp:anchor>
        </w:drawing>
        <w:drawing>
          <wp:anchor simplePos="0" relativeHeight="251657728" behindDoc="1" locked="0" layoutInCell="0" allowOverlap="1">
            <wp:simplePos x="0" y="0"/>
            <wp:positionH relativeFrom="column">
              <wp:posOffset>768350</wp:posOffset>
            </wp:positionH>
            <wp:positionV relativeFrom="paragraph">
              <wp:posOffset>-1670685</wp:posOffset>
            </wp:positionV>
            <wp:extent cx="545211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14">
                      <a:extLst>
                        <a:ext uri="{28A0092B-C50C-407E-A947-70E740481C1C}"/>
                      </a:extLst>
                    </a:blip>
                    <a:srcRect/>
                    <a:stretch>
                      <a:fillRect/>
                    </a:stretch>
                  </pic:blipFill>
                  <pic:spPr bwMode="auto">
                    <a:xfrm>
                      <a:off x="0" y="0"/>
                      <a:ext cx="5452110" cy="8255"/>
                    </a:xfrm>
                    <a:prstGeom prst="rect">
                      <a:avLst/>
                    </a:prstGeom>
                    <a:noFill/>
                  </pic:spPr>
                </pic:pic>
              </a:graphicData>
            </a:graphic>
          </wp:anchor>
        </w:drawing>
        <w:drawing>
          <wp:anchor simplePos="0" relativeHeight="251657728" behindDoc="1" locked="0" layoutInCell="0" allowOverlap="1">
            <wp:simplePos x="0" y="0"/>
            <wp:positionH relativeFrom="column">
              <wp:posOffset>768350</wp:posOffset>
            </wp:positionH>
            <wp:positionV relativeFrom="paragraph">
              <wp:posOffset>-1533525</wp:posOffset>
            </wp:positionV>
            <wp:extent cx="400113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15">
                      <a:extLst>
                        <a:ext uri="{28A0092B-C50C-407E-A947-70E740481C1C}"/>
                      </a:extLst>
                    </a:blip>
                    <a:srcRect/>
                    <a:stretch>
                      <a:fillRect/>
                    </a:stretch>
                  </pic:blipFill>
                  <pic:spPr bwMode="auto">
                    <a:xfrm>
                      <a:off x="0" y="0"/>
                      <a:ext cx="4001135" cy="8255"/>
                    </a:xfrm>
                    <a:prstGeom prst="rect">
                      <a:avLst/>
                    </a:prstGeom>
                    <a:noFill/>
                  </pic:spPr>
                </pic:pic>
              </a:graphicData>
            </a:graphic>
          </wp:anchor>
        </w:drawing>
        <w:drawing>
          <wp:anchor simplePos="0" relativeHeight="251657728" behindDoc="1" locked="0" layoutInCell="0" allowOverlap="1">
            <wp:simplePos x="0" y="0"/>
            <wp:positionH relativeFrom="column">
              <wp:posOffset>768350</wp:posOffset>
            </wp:positionH>
            <wp:positionV relativeFrom="paragraph">
              <wp:posOffset>-1122045</wp:posOffset>
            </wp:positionV>
            <wp:extent cx="548513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16">
                      <a:extLst>
                        <a:ext uri="{28A0092B-C50C-407E-A947-70E740481C1C}"/>
                      </a:extLst>
                    </a:blip>
                    <a:srcRect/>
                    <a:stretch>
                      <a:fillRect/>
                    </a:stretch>
                  </pic:blipFill>
                  <pic:spPr bwMode="auto">
                    <a:xfrm>
                      <a:off x="0" y="0"/>
                      <a:ext cx="5485130" cy="8255"/>
                    </a:xfrm>
                    <a:prstGeom prst="rect">
                      <a:avLst/>
                    </a:prstGeom>
                    <a:noFill/>
                  </pic:spPr>
                </pic:pic>
              </a:graphicData>
            </a:graphic>
          </wp:anchor>
        </w:drawing>
        <w:drawing>
          <wp:anchor simplePos="0" relativeHeight="251657728" behindDoc="1" locked="0" layoutInCell="0" allowOverlap="1">
            <wp:simplePos x="0" y="0"/>
            <wp:positionH relativeFrom="column">
              <wp:posOffset>768350</wp:posOffset>
            </wp:positionH>
            <wp:positionV relativeFrom="paragraph">
              <wp:posOffset>-984885</wp:posOffset>
            </wp:positionV>
            <wp:extent cx="287782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17">
                      <a:extLst>
                        <a:ext uri="{28A0092B-C50C-407E-A947-70E740481C1C}"/>
                      </a:extLst>
                    </a:blip>
                    <a:srcRect/>
                    <a:stretch>
                      <a:fillRect/>
                    </a:stretch>
                  </pic:blipFill>
                  <pic:spPr bwMode="auto">
                    <a:xfrm>
                      <a:off x="0" y="0"/>
                      <a:ext cx="2877820" cy="8255"/>
                    </a:xfrm>
                    <a:prstGeom prst="rect">
                      <a:avLst/>
                    </a:prstGeom>
                    <a:noFill/>
                  </pic:spPr>
                </pic:pic>
              </a:graphicData>
            </a:graphic>
          </wp:anchor>
        </w:drawing>
        <w:drawing>
          <wp:anchor simplePos="0" relativeHeight="251657728" behindDoc="1" locked="0" layoutInCell="0" allowOverlap="1">
            <wp:simplePos x="0" y="0"/>
            <wp:positionH relativeFrom="column">
              <wp:posOffset>768350</wp:posOffset>
            </wp:positionH>
            <wp:positionV relativeFrom="paragraph">
              <wp:posOffset>-847725</wp:posOffset>
            </wp:positionV>
            <wp:extent cx="538416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18">
                      <a:extLst>
                        <a:ext uri="{28A0092B-C50C-407E-A947-70E740481C1C}"/>
                      </a:extLst>
                    </a:blip>
                    <a:srcRect/>
                    <a:stretch>
                      <a:fillRect/>
                    </a:stretch>
                  </pic:blipFill>
                  <pic:spPr bwMode="auto">
                    <a:xfrm>
                      <a:off x="0" y="0"/>
                      <a:ext cx="5384165" cy="8255"/>
                    </a:xfrm>
                    <a:prstGeom prst="rect">
                      <a:avLst/>
                    </a:prstGeom>
                    <a:noFill/>
                  </pic:spPr>
                </pic:pic>
              </a:graphicData>
            </a:graphic>
          </wp:anchor>
        </w:drawing>
        <w:drawing>
          <wp:anchor simplePos="0" relativeHeight="251657728" behindDoc="1" locked="0" layoutInCell="0" allowOverlap="1">
            <wp:simplePos x="0" y="0"/>
            <wp:positionH relativeFrom="column">
              <wp:posOffset>768350</wp:posOffset>
            </wp:positionH>
            <wp:positionV relativeFrom="paragraph">
              <wp:posOffset>-710565</wp:posOffset>
            </wp:positionV>
            <wp:extent cx="368998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19">
                      <a:extLst>
                        <a:ext uri="{28A0092B-C50C-407E-A947-70E740481C1C}"/>
                      </a:extLst>
                    </a:blip>
                    <a:srcRect/>
                    <a:stretch>
                      <a:fillRect/>
                    </a:stretch>
                  </pic:blipFill>
                  <pic:spPr bwMode="auto">
                    <a:xfrm>
                      <a:off x="0" y="0"/>
                      <a:ext cx="3689985" cy="8255"/>
                    </a:xfrm>
                    <a:prstGeom prst="rect">
                      <a:avLst/>
                    </a:prstGeom>
                    <a:noFill/>
                  </pic:spPr>
                </pic:pic>
              </a:graphicData>
            </a:graphic>
          </wp:anchor>
        </w:drawing>
        <w:drawing>
          <wp:anchor simplePos="0" relativeHeight="251657728" behindDoc="1" locked="0" layoutInCell="0" allowOverlap="1">
            <wp:simplePos x="0" y="0"/>
            <wp:positionH relativeFrom="column">
              <wp:posOffset>768350</wp:posOffset>
            </wp:positionH>
            <wp:positionV relativeFrom="paragraph">
              <wp:posOffset>-573405</wp:posOffset>
            </wp:positionV>
            <wp:extent cx="561594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20">
                      <a:extLst>
                        <a:ext uri="{28A0092B-C50C-407E-A947-70E740481C1C}"/>
                      </a:extLst>
                    </a:blip>
                    <a:srcRect/>
                    <a:stretch>
                      <a:fillRect/>
                    </a:stretch>
                  </pic:blipFill>
                  <pic:spPr bwMode="auto">
                    <a:xfrm>
                      <a:off x="0" y="0"/>
                      <a:ext cx="5615940" cy="8890"/>
                    </a:xfrm>
                    <a:prstGeom prst="rect">
                      <a:avLst/>
                    </a:prstGeom>
                    <a:noFill/>
                  </pic:spPr>
                </pic:pic>
              </a:graphicData>
            </a:graphic>
          </wp:anchor>
        </w:drawing>
        <w:drawing>
          <wp:anchor simplePos="0" relativeHeight="251657728" behindDoc="1" locked="0" layoutInCell="0" allowOverlap="1">
            <wp:simplePos x="0" y="0"/>
            <wp:positionH relativeFrom="column">
              <wp:posOffset>768350</wp:posOffset>
            </wp:positionH>
            <wp:positionV relativeFrom="paragraph">
              <wp:posOffset>-436245</wp:posOffset>
            </wp:positionV>
            <wp:extent cx="561276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21">
                      <a:extLst>
                        <a:ext uri="{28A0092B-C50C-407E-A947-70E740481C1C}"/>
                      </a:extLst>
                    </a:blip>
                    <a:srcRect/>
                    <a:stretch>
                      <a:fillRect/>
                    </a:stretch>
                  </pic:blipFill>
                  <pic:spPr bwMode="auto">
                    <a:xfrm>
                      <a:off x="0" y="0"/>
                      <a:ext cx="5612765" cy="8255"/>
                    </a:xfrm>
                    <a:prstGeom prst="rect">
                      <a:avLst/>
                    </a:prstGeom>
                    <a:noFill/>
                  </pic:spPr>
                </pic:pic>
              </a:graphicData>
            </a:graphic>
          </wp:anchor>
        </w:drawing>
        <w:drawing>
          <wp:anchor simplePos="0" relativeHeight="251657728" behindDoc="1" locked="0" layoutInCell="0" allowOverlap="1">
            <wp:simplePos x="0" y="0"/>
            <wp:positionH relativeFrom="column">
              <wp:posOffset>768350</wp:posOffset>
            </wp:positionH>
            <wp:positionV relativeFrom="paragraph">
              <wp:posOffset>-299085</wp:posOffset>
            </wp:positionV>
            <wp:extent cx="161480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22">
                      <a:extLst>
                        <a:ext uri="{28A0092B-C50C-407E-A947-70E740481C1C}"/>
                      </a:extLst>
                    </a:blip>
                    <a:srcRect/>
                    <a:stretch>
                      <a:fillRect/>
                    </a:stretch>
                  </pic:blipFill>
                  <pic:spPr bwMode="auto">
                    <a:xfrm>
                      <a:off x="0" y="0"/>
                      <a:ext cx="1614805" cy="8255"/>
                    </a:xfrm>
                    <a:prstGeom prst="rect">
                      <a:avLst/>
                    </a:prstGeom>
                    <a:noFill/>
                  </pic:spPr>
                </pic:pic>
              </a:graphicData>
            </a:graphic>
          </wp:anchor>
        </w:drawing>
        <w:drawing>
          <wp:anchor simplePos="0" relativeHeight="251657728" behindDoc="1" locked="0" layoutInCell="0" allowOverlap="1">
            <wp:simplePos x="0" y="0"/>
            <wp:positionH relativeFrom="column">
              <wp:posOffset>768350</wp:posOffset>
            </wp:positionH>
            <wp:positionV relativeFrom="paragraph">
              <wp:posOffset>-161925</wp:posOffset>
            </wp:positionV>
            <wp:extent cx="527050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23">
                      <a:extLst>
                        <a:ext uri="{28A0092B-C50C-407E-A947-70E740481C1C}"/>
                      </a:extLst>
                    </a:blip>
                    <a:srcRect/>
                    <a:stretch>
                      <a:fillRect/>
                    </a:stretch>
                  </pic:blipFill>
                  <pic:spPr bwMode="auto">
                    <a:xfrm>
                      <a:off x="0" y="0"/>
                      <a:ext cx="5270500" cy="8255"/>
                    </a:xfrm>
                    <a:prstGeom prst="rect">
                      <a:avLst/>
                    </a:prstGeom>
                    <a:noFill/>
                  </pic:spPr>
                </pic:pic>
              </a:graphicData>
            </a:graphic>
          </wp:anchor>
        </w:drawing>
        <w:drawing>
          <wp:anchor simplePos="0" relativeHeight="251657728" behindDoc="1" locked="0" layoutInCell="0" allowOverlap="1">
            <wp:simplePos x="0" y="0"/>
            <wp:positionH relativeFrom="column">
              <wp:posOffset>768350</wp:posOffset>
            </wp:positionH>
            <wp:positionV relativeFrom="paragraph">
              <wp:posOffset>-24765</wp:posOffset>
            </wp:positionV>
            <wp:extent cx="469011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24">
                      <a:extLst>
                        <a:ext uri="{28A0092B-C50C-407E-A947-70E740481C1C}"/>
                      </a:extLst>
                    </a:blip>
                    <a:srcRect/>
                    <a:stretch>
                      <a:fillRect/>
                    </a:stretch>
                  </pic:blipFill>
                  <pic:spPr bwMode="auto">
                    <a:xfrm>
                      <a:off x="0" y="0"/>
                      <a:ext cx="4690110" cy="8255"/>
                    </a:xfrm>
                    <a:prstGeom prst="rect">
                      <a:avLst/>
                    </a:prstGeom>
                    <a:noFill/>
                  </pic:spPr>
                </pic:pic>
              </a:graphicData>
            </a:graphic>
          </wp:anchor>
        </w:drawing>
      </w:r>
    </w:p>
    <w:p>
      <w:pPr>
        <w:ind w:left="1220" w:right="120" w:hanging="590"/>
        <w:spacing w:after="0" w:line="250" w:lineRule="auto"/>
        <w:tabs>
          <w:tab w:leader="none" w:pos="1220" w:val="left"/>
        </w:tabs>
        <w:numPr>
          <w:ilvl w:val="0"/>
          <w:numId w:val="25"/>
        </w:numPr>
        <w:rPr>
          <w:rFonts w:ascii="Times New Roman" w:cs="Times New Roman" w:eastAsia="Times New Roman" w:hAnsi="Times New Roman"/>
          <w:sz w:val="18"/>
          <w:szCs w:val="18"/>
          <w:u w:val="single" w:color="auto"/>
          <w:color w:val="0000FF"/>
        </w:rPr>
      </w:pPr>
      <w:hyperlink r:id="rId225">
        <w:r>
          <w:rPr>
            <w:rFonts w:ascii="Times New Roman" w:cs="Times New Roman" w:eastAsia="Times New Roman" w:hAnsi="Times New Roman"/>
            <w:sz w:val="18"/>
            <w:szCs w:val="18"/>
            <w:u w:val="single" w:color="auto"/>
            <w:color w:val="0000FF"/>
          </w:rPr>
          <w:t>Form of Employment Protection Agreement between the Company and certain executive officers dated as of October 30,</w:t>
        </w:r>
      </w:hyperlink>
      <w:r>
        <w:rPr>
          <w:rFonts w:ascii="Times New Roman" w:cs="Times New Roman" w:eastAsia="Times New Roman" w:hAnsi="Times New Roman"/>
          <w:sz w:val="18"/>
          <w:szCs w:val="18"/>
          <w:u w:val="single" w:color="auto"/>
          <w:color w:val="0000FF"/>
        </w:rPr>
        <w:t xml:space="preserve"> </w:t>
      </w:r>
      <w:hyperlink r:id="rId225">
        <w:r>
          <w:rPr>
            <w:rFonts w:ascii="Times New Roman" w:cs="Times New Roman" w:eastAsia="Times New Roman" w:hAnsi="Times New Roman"/>
            <w:sz w:val="18"/>
            <w:szCs w:val="18"/>
            <w:u w:val="single" w:color="auto"/>
            <w:color w:val="0000FF"/>
          </w:rPr>
          <w:t>2019. Incorporated by reference to Exhibit 10.1 to the current report on Form 8-K filed October 31, 2019 (File No. 1-</w:t>
        </w:r>
      </w:hyperlink>
      <w:hyperlink r:id="rId225">
        <w:r>
          <w:rPr>
            <w:rFonts w:ascii="Times New Roman" w:cs="Times New Roman" w:eastAsia="Times New Roman" w:hAnsi="Times New Roman"/>
            <w:sz w:val="18"/>
            <w:szCs w:val="18"/>
            <w:u w:val="single" w:color="auto"/>
            <w:color w:val="0000FF"/>
          </w:rPr>
          <w:t>3083).</w:t>
        </w:r>
      </w:hyperlink>
    </w:p>
    <w:p>
      <w:pPr>
        <w:spacing w:after="0" w:line="1" w:lineRule="exact"/>
        <w:rPr>
          <w:rFonts w:ascii="Times New Roman" w:cs="Times New Roman" w:eastAsia="Times New Roman" w:hAnsi="Times New Roman"/>
          <w:sz w:val="18"/>
          <w:szCs w:val="18"/>
          <w:u w:val="single" w:color="auto"/>
          <w:color w:val="0000FF"/>
        </w:rPr>
      </w:pPr>
    </w:p>
    <w:p>
      <w:pPr>
        <w:ind w:left="1220" w:right="40" w:hanging="590"/>
        <w:spacing w:after="0" w:line="250" w:lineRule="auto"/>
        <w:tabs>
          <w:tab w:leader="none" w:pos="1220" w:val="left"/>
        </w:tabs>
        <w:numPr>
          <w:ilvl w:val="0"/>
          <w:numId w:val="25"/>
        </w:numPr>
        <w:rPr>
          <w:rFonts w:ascii="Times New Roman" w:cs="Times New Roman" w:eastAsia="Times New Roman" w:hAnsi="Times New Roman"/>
          <w:sz w:val="18"/>
          <w:szCs w:val="18"/>
          <w:u w:val="single" w:color="auto"/>
          <w:color w:val="0000FF"/>
        </w:rPr>
      </w:pPr>
      <w:hyperlink r:id="rId226">
        <w:r>
          <w:rPr>
            <w:rFonts w:ascii="Times New Roman" w:cs="Times New Roman" w:eastAsia="Times New Roman" w:hAnsi="Times New Roman"/>
            <w:sz w:val="18"/>
            <w:szCs w:val="18"/>
            <w:u w:val="single" w:color="auto"/>
            <w:color w:val="0000FF"/>
          </w:rPr>
          <w:t>Form of Employment Protection Agreement. Incorporated by reference to Exhibit 10.1 to the Current Report on Form 8-K</w:t>
        </w:r>
      </w:hyperlink>
      <w:r>
        <w:rPr>
          <w:rFonts w:ascii="Times New Roman" w:cs="Times New Roman" w:eastAsia="Times New Roman" w:hAnsi="Times New Roman"/>
          <w:sz w:val="18"/>
          <w:szCs w:val="18"/>
          <w:u w:val="single" w:color="auto"/>
          <w:color w:val="0000FF"/>
        </w:rPr>
        <w:t xml:space="preserve"> </w:t>
      </w:r>
      <w:hyperlink r:id="rId226">
        <w:r>
          <w:rPr>
            <w:rFonts w:ascii="Times New Roman" w:cs="Times New Roman" w:eastAsia="Times New Roman" w:hAnsi="Times New Roman"/>
            <w:sz w:val="18"/>
            <w:szCs w:val="18"/>
            <w:u w:val="single" w:color="auto"/>
            <w:color w:val="0000FF"/>
          </w:rPr>
          <w:t>filed February 7, 2025 (File No. 1-3083).</w:t>
        </w:r>
      </w:hyperlink>
    </w:p>
    <w:p>
      <w:pPr>
        <w:ind w:left="1220" w:right="240" w:hanging="590"/>
        <w:spacing w:after="0" w:line="250" w:lineRule="auto"/>
        <w:tabs>
          <w:tab w:leader="none" w:pos="1220" w:val="left"/>
        </w:tabs>
        <w:numPr>
          <w:ilvl w:val="0"/>
          <w:numId w:val="25"/>
        </w:numPr>
        <w:rPr>
          <w:rFonts w:ascii="Times New Roman" w:cs="Times New Roman" w:eastAsia="Times New Roman" w:hAnsi="Times New Roman"/>
          <w:sz w:val="18"/>
          <w:szCs w:val="18"/>
          <w:u w:val="single" w:color="auto"/>
          <w:color w:val="0000FF"/>
        </w:rPr>
      </w:pPr>
      <w:hyperlink r:id="rId227">
        <w:r>
          <w:rPr>
            <w:rFonts w:ascii="Times New Roman" w:cs="Times New Roman" w:eastAsia="Times New Roman" w:hAnsi="Times New Roman"/>
            <w:sz w:val="18"/>
            <w:szCs w:val="18"/>
            <w:u w:val="single" w:color="auto"/>
            <w:color w:val="0000FF"/>
          </w:rPr>
          <w:t>Genesco Inc. Executive Severance Plan. Incorporated by reference to Exhibit (10.1) to the Current Report on Form 8-K</w:t>
        </w:r>
      </w:hyperlink>
      <w:r>
        <w:rPr>
          <w:rFonts w:ascii="Times New Roman" w:cs="Times New Roman" w:eastAsia="Times New Roman" w:hAnsi="Times New Roman"/>
          <w:sz w:val="18"/>
          <w:szCs w:val="18"/>
          <w:u w:val="single" w:color="auto"/>
          <w:color w:val="0000FF"/>
        </w:rPr>
        <w:t xml:space="preserve"> </w:t>
      </w:r>
      <w:hyperlink r:id="rId227">
        <w:r>
          <w:rPr>
            <w:rFonts w:ascii="Times New Roman" w:cs="Times New Roman" w:eastAsia="Times New Roman" w:hAnsi="Times New Roman"/>
            <w:sz w:val="18"/>
            <w:szCs w:val="18"/>
            <w:u w:val="single" w:color="auto"/>
            <w:color w:val="0000FF"/>
          </w:rPr>
          <w:t>filed on May 3, 2024 (File No. 1-3083).</w:t>
        </w:r>
      </w:hyperlink>
    </w:p>
    <w:p>
      <w:pPr>
        <w:ind w:left="1220" w:right="60" w:hanging="590"/>
        <w:spacing w:after="0" w:line="250" w:lineRule="auto"/>
        <w:tabs>
          <w:tab w:leader="none" w:pos="1220" w:val="left"/>
        </w:tabs>
        <w:numPr>
          <w:ilvl w:val="0"/>
          <w:numId w:val="25"/>
        </w:numPr>
        <w:rPr>
          <w:rFonts w:ascii="Times New Roman" w:cs="Times New Roman" w:eastAsia="Times New Roman" w:hAnsi="Times New Roman"/>
          <w:sz w:val="18"/>
          <w:szCs w:val="18"/>
          <w:u w:val="single" w:color="auto"/>
          <w:color w:val="0000FF"/>
        </w:rPr>
      </w:pPr>
      <w:hyperlink r:id="rId228">
        <w:r>
          <w:rPr>
            <w:rFonts w:ascii="Times New Roman" w:cs="Times New Roman" w:eastAsia="Times New Roman" w:hAnsi="Times New Roman"/>
            <w:sz w:val="18"/>
            <w:szCs w:val="18"/>
            <w:u w:val="single" w:color="auto"/>
            <w:color w:val="0000FF"/>
          </w:rPr>
          <w:t>Genesco Inc. Deferred Income Plan dated as of July 1, 2000. Incorporated by reference to Exhibit (10)p to the Company’s</w:t>
        </w:r>
      </w:hyperlink>
      <w:r>
        <w:rPr>
          <w:rFonts w:ascii="Times New Roman" w:cs="Times New Roman" w:eastAsia="Times New Roman" w:hAnsi="Times New Roman"/>
          <w:sz w:val="18"/>
          <w:szCs w:val="18"/>
          <w:u w:val="single" w:color="auto"/>
          <w:color w:val="0000FF"/>
        </w:rPr>
        <w:t xml:space="preserve"> </w:t>
      </w:r>
      <w:hyperlink r:id="rId228">
        <w:r>
          <w:rPr>
            <w:rFonts w:ascii="Times New Roman" w:cs="Times New Roman" w:eastAsia="Times New Roman" w:hAnsi="Times New Roman"/>
            <w:sz w:val="18"/>
            <w:szCs w:val="18"/>
            <w:u w:val="single" w:color="auto"/>
            <w:color w:val="0000FF"/>
          </w:rPr>
          <w:t>Annual Report on Form 10-K for the fiscal year ended January 29, 2005. Amended and Restated Deferred Income Plan</w:t>
        </w:r>
      </w:hyperlink>
      <w:r>
        <w:rPr>
          <w:rFonts w:ascii="Times New Roman" w:cs="Times New Roman" w:eastAsia="Times New Roman" w:hAnsi="Times New Roman"/>
          <w:sz w:val="18"/>
          <w:szCs w:val="18"/>
          <w:u w:val="single" w:color="auto"/>
          <w:color w:val="0000FF"/>
        </w:rPr>
        <w:t xml:space="preserve"> </w:t>
      </w:r>
      <w:hyperlink r:id="rId228">
        <w:r>
          <w:rPr>
            <w:rFonts w:ascii="Times New Roman" w:cs="Times New Roman" w:eastAsia="Times New Roman" w:hAnsi="Times New Roman"/>
            <w:sz w:val="18"/>
            <w:szCs w:val="18"/>
            <w:u w:val="single" w:color="auto"/>
            <w:color w:val="0000FF"/>
          </w:rPr>
          <w:t>dated August 22, 2007. Incorporated by reference to Exhibit (10)r to the Company’s Annual Report on Form 10-K for the</w:t>
        </w:r>
      </w:hyperlink>
      <w:r>
        <w:rPr>
          <w:rFonts w:ascii="Times New Roman" w:cs="Times New Roman" w:eastAsia="Times New Roman" w:hAnsi="Times New Roman"/>
          <w:sz w:val="18"/>
          <w:szCs w:val="18"/>
          <w:u w:val="single" w:color="auto"/>
          <w:color w:val="0000FF"/>
        </w:rPr>
        <w:t xml:space="preserve"> </w:t>
      </w:r>
      <w:hyperlink r:id="rId228">
        <w:r>
          <w:rPr>
            <w:rFonts w:ascii="Times New Roman" w:cs="Times New Roman" w:eastAsia="Times New Roman" w:hAnsi="Times New Roman"/>
            <w:sz w:val="18"/>
            <w:szCs w:val="18"/>
            <w:u w:val="single" w:color="auto"/>
            <w:color w:val="0000FF"/>
          </w:rPr>
          <w:t>fiscal year ended February 2, 2008 (File No.1-3083).</w:t>
        </w:r>
      </w:hyperlink>
    </w:p>
    <w:p>
      <w:pPr>
        <w:spacing w:after="0" w:line="1" w:lineRule="exact"/>
        <w:rPr>
          <w:rFonts w:ascii="Times New Roman" w:cs="Times New Roman" w:eastAsia="Times New Roman" w:hAnsi="Times New Roman"/>
          <w:sz w:val="18"/>
          <w:szCs w:val="18"/>
          <w:u w:val="single" w:color="auto"/>
          <w:color w:val="0000FF"/>
        </w:rPr>
      </w:pPr>
    </w:p>
    <w:p>
      <w:pPr>
        <w:ind w:left="1220" w:hanging="590"/>
        <w:spacing w:after="0" w:line="250" w:lineRule="auto"/>
        <w:tabs>
          <w:tab w:leader="none" w:pos="1220" w:val="left"/>
        </w:tabs>
        <w:numPr>
          <w:ilvl w:val="0"/>
          <w:numId w:val="25"/>
        </w:numPr>
        <w:rPr>
          <w:rFonts w:ascii="Times New Roman" w:cs="Times New Roman" w:eastAsia="Times New Roman" w:hAnsi="Times New Roman"/>
          <w:sz w:val="18"/>
          <w:szCs w:val="18"/>
          <w:u w:val="single" w:color="auto"/>
          <w:color w:val="0000FF"/>
        </w:rPr>
      </w:pPr>
      <w:hyperlink r:id="rId229">
        <w:r>
          <w:rPr>
            <w:rFonts w:ascii="Times New Roman" w:cs="Times New Roman" w:eastAsia="Times New Roman" w:hAnsi="Times New Roman"/>
            <w:sz w:val="18"/>
            <w:szCs w:val="18"/>
            <w:u w:val="single" w:color="auto"/>
            <w:color w:val="0000FF"/>
          </w:rPr>
          <w:t>The Schuh Group Limited 2015 Management Bonus Scheme. Incorporated by reference to Exhibit (10)a to the Company’s</w:t>
        </w:r>
      </w:hyperlink>
      <w:r>
        <w:rPr>
          <w:rFonts w:ascii="Times New Roman" w:cs="Times New Roman" w:eastAsia="Times New Roman" w:hAnsi="Times New Roman"/>
          <w:sz w:val="18"/>
          <w:szCs w:val="18"/>
          <w:u w:val="single" w:color="auto"/>
          <w:color w:val="0000FF"/>
        </w:rPr>
        <w:t xml:space="preserve"> </w:t>
      </w:r>
      <w:hyperlink r:id="rId229">
        <w:r>
          <w:rPr>
            <w:rFonts w:ascii="Times New Roman" w:cs="Times New Roman" w:eastAsia="Times New Roman" w:hAnsi="Times New Roman"/>
            <w:sz w:val="18"/>
            <w:szCs w:val="18"/>
            <w:u w:val="single" w:color="auto"/>
            <w:color w:val="0000FF"/>
          </w:rPr>
          <w:t>Quarterly Report on Form 10-Q for the quarter ended July 30, 2011 (File No.1-3083).</w:t>
        </w:r>
      </w:hyperlink>
    </w:p>
    <w:p>
      <w:pPr>
        <w:ind w:left="1220" w:right="80" w:hanging="590"/>
        <w:spacing w:after="0" w:line="250" w:lineRule="auto"/>
        <w:tabs>
          <w:tab w:leader="none" w:pos="1220" w:val="left"/>
        </w:tabs>
        <w:numPr>
          <w:ilvl w:val="0"/>
          <w:numId w:val="25"/>
        </w:numPr>
        <w:rPr>
          <w:rFonts w:ascii="Times New Roman" w:cs="Times New Roman" w:eastAsia="Times New Roman" w:hAnsi="Times New Roman"/>
          <w:sz w:val="18"/>
          <w:szCs w:val="18"/>
          <w:u w:val="single" w:color="auto"/>
          <w:color w:val="0000FF"/>
        </w:rPr>
      </w:pPr>
      <w:hyperlink r:id="rId230">
        <w:r>
          <w:rPr>
            <w:rFonts w:ascii="Times New Roman" w:cs="Times New Roman" w:eastAsia="Times New Roman" w:hAnsi="Times New Roman"/>
            <w:sz w:val="18"/>
            <w:szCs w:val="18"/>
            <w:u w:val="single" w:color="auto"/>
            <w:color w:val="0000FF"/>
          </w:rPr>
          <w:t>Letter Agreement dated August 30, 2023, by and between the Company and Mario Gallione. Incorporated by reference to</w:t>
        </w:r>
      </w:hyperlink>
      <w:r>
        <w:rPr>
          <w:rFonts w:ascii="Times New Roman" w:cs="Times New Roman" w:eastAsia="Times New Roman" w:hAnsi="Times New Roman"/>
          <w:sz w:val="18"/>
          <w:szCs w:val="18"/>
          <w:u w:val="single" w:color="auto"/>
          <w:color w:val="0000FF"/>
        </w:rPr>
        <w:t xml:space="preserve"> </w:t>
      </w:r>
      <w:hyperlink r:id="rId230">
        <w:r>
          <w:rPr>
            <w:rFonts w:ascii="Times New Roman" w:cs="Times New Roman" w:eastAsia="Times New Roman" w:hAnsi="Times New Roman"/>
            <w:sz w:val="18"/>
            <w:szCs w:val="18"/>
            <w:u w:val="single" w:color="auto"/>
            <w:color w:val="0000FF"/>
          </w:rPr>
          <w:t>Exhibit 10.1 to the current report on Form 8-K filed August 31, 2023. (File No. 1-3083).</w:t>
        </w:r>
      </w:hyperlink>
    </w:p>
    <w:p>
      <w:pPr>
        <w:ind w:left="1220" w:right="160" w:hanging="590"/>
        <w:spacing w:after="0" w:line="250" w:lineRule="auto"/>
        <w:tabs>
          <w:tab w:leader="none" w:pos="1220" w:val="left"/>
        </w:tabs>
        <w:numPr>
          <w:ilvl w:val="0"/>
          <w:numId w:val="25"/>
        </w:numPr>
        <w:rPr>
          <w:rFonts w:ascii="Times New Roman" w:cs="Times New Roman" w:eastAsia="Times New Roman" w:hAnsi="Times New Roman"/>
          <w:sz w:val="18"/>
          <w:szCs w:val="18"/>
          <w:u w:val="single" w:color="auto"/>
          <w:color w:val="0000FF"/>
        </w:rPr>
      </w:pPr>
      <w:hyperlink r:id="rId231">
        <w:r>
          <w:rPr>
            <w:rFonts w:ascii="Times New Roman" w:cs="Times New Roman" w:eastAsia="Times New Roman" w:hAnsi="Times New Roman"/>
            <w:sz w:val="18"/>
            <w:szCs w:val="18"/>
            <w:u w:val="single" w:color="auto"/>
            <w:color w:val="0000FF"/>
          </w:rPr>
          <w:t>Form of Genesco Inc. Restricted Share Award Agreement. Incorporated by reference to Exhibit (10)cc to the Company's</w:t>
        </w:r>
      </w:hyperlink>
      <w:r>
        <w:rPr>
          <w:rFonts w:ascii="Times New Roman" w:cs="Times New Roman" w:eastAsia="Times New Roman" w:hAnsi="Times New Roman"/>
          <w:sz w:val="18"/>
          <w:szCs w:val="18"/>
          <w:u w:val="single" w:color="auto"/>
          <w:color w:val="0000FF"/>
        </w:rPr>
        <w:t xml:space="preserve"> </w:t>
      </w:r>
      <w:hyperlink r:id="rId231">
        <w:r>
          <w:rPr>
            <w:rFonts w:ascii="Times New Roman" w:cs="Times New Roman" w:eastAsia="Times New Roman" w:hAnsi="Times New Roman"/>
            <w:sz w:val="18"/>
            <w:szCs w:val="18"/>
            <w:u w:val="single" w:color="auto"/>
            <w:color w:val="0000FF"/>
          </w:rPr>
          <w:t>Annual Report on Form 10-K for the fiscal year ended February 3, 2024. (File No. 1-3083).</w:t>
        </w:r>
      </w:hyperlink>
    </w:p>
    <w:p>
      <w:pPr>
        <w:ind w:left="1220" w:right="100" w:hanging="590"/>
        <w:spacing w:after="0" w:line="250" w:lineRule="auto"/>
        <w:tabs>
          <w:tab w:leader="none" w:pos="1220" w:val="left"/>
        </w:tabs>
        <w:numPr>
          <w:ilvl w:val="0"/>
          <w:numId w:val="25"/>
        </w:numPr>
        <w:rPr>
          <w:rFonts w:ascii="Times New Roman" w:cs="Times New Roman" w:eastAsia="Times New Roman" w:hAnsi="Times New Roman"/>
          <w:sz w:val="18"/>
          <w:szCs w:val="18"/>
          <w:u w:val="single" w:color="auto"/>
          <w:color w:val="0000FF"/>
        </w:rPr>
      </w:pPr>
      <w:hyperlink r:id="rId232">
        <w:r>
          <w:rPr>
            <w:rFonts w:ascii="Times New Roman" w:cs="Times New Roman" w:eastAsia="Times New Roman" w:hAnsi="Times New Roman"/>
            <w:sz w:val="18"/>
            <w:szCs w:val="18"/>
            <w:u w:val="single" w:color="auto"/>
            <w:color w:val="0000FF"/>
          </w:rPr>
          <w:t>Basic Form of Exchange Agreement (Restricted Stock). Incorporated by reference to Exhibit 10.1 to the current report on</w:t>
        </w:r>
      </w:hyperlink>
      <w:r>
        <w:rPr>
          <w:rFonts w:ascii="Times New Roman" w:cs="Times New Roman" w:eastAsia="Times New Roman" w:hAnsi="Times New Roman"/>
          <w:sz w:val="18"/>
          <w:szCs w:val="18"/>
          <w:u w:val="single" w:color="auto"/>
          <w:color w:val="0000FF"/>
        </w:rPr>
        <w:t xml:space="preserve"> </w:t>
      </w:r>
      <w:hyperlink r:id="rId232">
        <w:r>
          <w:rPr>
            <w:rFonts w:ascii="Times New Roman" w:cs="Times New Roman" w:eastAsia="Times New Roman" w:hAnsi="Times New Roman"/>
            <w:sz w:val="18"/>
            <w:szCs w:val="18"/>
            <w:u w:val="single" w:color="auto"/>
            <w:color w:val="0000FF"/>
          </w:rPr>
          <w:t>Form 8-K filed April 29, 2009 (File No. 1-3083).</w:t>
        </w:r>
      </w:hyperlink>
    </w:p>
    <w:p>
      <w:pPr>
        <w:ind w:left="1220" w:right="160" w:hanging="590"/>
        <w:spacing w:after="0" w:line="250" w:lineRule="auto"/>
        <w:tabs>
          <w:tab w:leader="none" w:pos="1220" w:val="left"/>
        </w:tabs>
        <w:numPr>
          <w:ilvl w:val="0"/>
          <w:numId w:val="25"/>
        </w:numPr>
        <w:rPr>
          <w:rFonts w:ascii="Times New Roman" w:cs="Times New Roman" w:eastAsia="Times New Roman" w:hAnsi="Times New Roman"/>
          <w:sz w:val="18"/>
          <w:szCs w:val="18"/>
          <w:u w:val="single" w:color="auto"/>
          <w:color w:val="0000FF"/>
        </w:rPr>
      </w:pPr>
      <w:hyperlink r:id="rId233">
        <w:r>
          <w:rPr>
            <w:rFonts w:ascii="Times New Roman" w:cs="Times New Roman" w:eastAsia="Times New Roman" w:hAnsi="Times New Roman"/>
            <w:sz w:val="18"/>
            <w:szCs w:val="18"/>
            <w:u w:val="single" w:color="auto"/>
            <w:color w:val="0000FF"/>
          </w:rPr>
          <w:t>Basic Form of Exchange Agreement (Unrestricted Stock). Incorporated by reference to Exhibit 10.2 to the current report</w:t>
        </w:r>
      </w:hyperlink>
      <w:r>
        <w:rPr>
          <w:rFonts w:ascii="Times New Roman" w:cs="Times New Roman" w:eastAsia="Times New Roman" w:hAnsi="Times New Roman"/>
          <w:sz w:val="18"/>
          <w:szCs w:val="18"/>
          <w:u w:val="single" w:color="auto"/>
          <w:color w:val="0000FF"/>
        </w:rPr>
        <w:t xml:space="preserve"> </w:t>
      </w:r>
      <w:hyperlink r:id="rId233">
        <w:r>
          <w:rPr>
            <w:rFonts w:ascii="Times New Roman" w:cs="Times New Roman" w:eastAsia="Times New Roman" w:hAnsi="Times New Roman"/>
            <w:sz w:val="18"/>
            <w:szCs w:val="18"/>
            <w:u w:val="single" w:color="auto"/>
            <w:color w:val="0000FF"/>
          </w:rPr>
          <w:t>on Form 8-K filed April 29, 2009 (File No. 1-3083).</w:t>
        </w:r>
      </w:hyperlink>
    </w:p>
    <w:p>
      <w:pPr>
        <w:ind w:left="1220" w:right="640" w:hanging="590"/>
        <w:spacing w:after="0" w:line="250" w:lineRule="auto"/>
        <w:tabs>
          <w:tab w:leader="none" w:pos="1220" w:val="left"/>
        </w:tabs>
        <w:numPr>
          <w:ilvl w:val="0"/>
          <w:numId w:val="25"/>
        </w:numPr>
        <w:rPr>
          <w:rFonts w:ascii="Times New Roman" w:cs="Times New Roman" w:eastAsia="Times New Roman" w:hAnsi="Times New Roman"/>
          <w:sz w:val="18"/>
          <w:szCs w:val="18"/>
          <w:u w:val="single" w:color="auto"/>
          <w:color w:val="0000FF"/>
        </w:rPr>
      </w:pPr>
      <w:hyperlink r:id="rId234">
        <w:r>
          <w:rPr>
            <w:rFonts w:ascii="Times New Roman" w:cs="Times New Roman" w:eastAsia="Times New Roman" w:hAnsi="Times New Roman"/>
            <w:sz w:val="18"/>
            <w:szCs w:val="18"/>
            <w:u w:val="single" w:color="auto"/>
            <w:color w:val="0000FF"/>
          </w:rPr>
          <w:t>Form of Conversion Agreement. Incorporated by reference to Exhibit 10.1 to the current report on Form 8-K filed</w:t>
        </w:r>
      </w:hyperlink>
      <w:r>
        <w:rPr>
          <w:rFonts w:ascii="Times New Roman" w:cs="Times New Roman" w:eastAsia="Times New Roman" w:hAnsi="Times New Roman"/>
          <w:sz w:val="18"/>
          <w:szCs w:val="18"/>
          <w:u w:val="single" w:color="auto"/>
          <w:color w:val="0000FF"/>
        </w:rPr>
        <w:t xml:space="preserve"> </w:t>
      </w:r>
      <w:hyperlink r:id="rId234">
        <w:r>
          <w:rPr>
            <w:rFonts w:ascii="Times New Roman" w:cs="Times New Roman" w:eastAsia="Times New Roman" w:hAnsi="Times New Roman"/>
            <w:sz w:val="18"/>
            <w:szCs w:val="18"/>
            <w:u w:val="single" w:color="auto"/>
            <w:color w:val="0000FF"/>
          </w:rPr>
          <w:t>November 2, 2009 (File No. 1-3083).</w:t>
        </w:r>
      </w:hyperlink>
    </w:p>
    <w:p>
      <w:pPr>
        <w:ind w:left="1220" w:right="640" w:hanging="590"/>
        <w:spacing w:after="0" w:line="250" w:lineRule="auto"/>
        <w:tabs>
          <w:tab w:leader="none" w:pos="1220" w:val="left"/>
        </w:tabs>
        <w:numPr>
          <w:ilvl w:val="0"/>
          <w:numId w:val="25"/>
        </w:numPr>
        <w:rPr>
          <w:rFonts w:ascii="Times New Roman" w:cs="Times New Roman" w:eastAsia="Times New Roman" w:hAnsi="Times New Roman"/>
          <w:sz w:val="18"/>
          <w:szCs w:val="18"/>
          <w:u w:val="single" w:color="auto"/>
          <w:color w:val="0000FF"/>
        </w:rPr>
      </w:pPr>
      <w:hyperlink r:id="rId235">
        <w:r>
          <w:rPr>
            <w:rFonts w:ascii="Times New Roman" w:cs="Times New Roman" w:eastAsia="Times New Roman" w:hAnsi="Times New Roman"/>
            <w:sz w:val="18"/>
            <w:szCs w:val="18"/>
            <w:u w:val="single" w:color="auto"/>
            <w:color w:val="0000FF"/>
          </w:rPr>
          <w:t>Form of Conversion Agreement. Incorporated by reference to Exhibit 10.1 to the current report on Form 8-K filed</w:t>
        </w:r>
      </w:hyperlink>
      <w:r>
        <w:rPr>
          <w:rFonts w:ascii="Times New Roman" w:cs="Times New Roman" w:eastAsia="Times New Roman" w:hAnsi="Times New Roman"/>
          <w:sz w:val="18"/>
          <w:szCs w:val="18"/>
          <w:u w:val="single" w:color="auto"/>
          <w:color w:val="0000FF"/>
        </w:rPr>
        <w:t xml:space="preserve"> </w:t>
      </w:r>
      <w:hyperlink r:id="rId235">
        <w:r>
          <w:rPr>
            <w:rFonts w:ascii="Times New Roman" w:cs="Times New Roman" w:eastAsia="Times New Roman" w:hAnsi="Times New Roman"/>
            <w:sz w:val="18"/>
            <w:szCs w:val="18"/>
            <w:u w:val="single" w:color="auto"/>
            <w:color w:val="0000FF"/>
          </w:rPr>
          <w:t>November 6, 2009 (File No. 1-3083).</w:t>
        </w:r>
      </w:hyperlink>
    </w:p>
    <w:p>
      <w:pPr>
        <w:ind w:left="1220" w:right="180" w:hanging="590"/>
        <w:spacing w:after="0" w:line="250" w:lineRule="auto"/>
        <w:tabs>
          <w:tab w:leader="none" w:pos="1220" w:val="left"/>
        </w:tabs>
        <w:numPr>
          <w:ilvl w:val="0"/>
          <w:numId w:val="25"/>
        </w:numPr>
        <w:rPr>
          <w:rFonts w:ascii="Times New Roman" w:cs="Times New Roman" w:eastAsia="Times New Roman" w:hAnsi="Times New Roman"/>
          <w:sz w:val="18"/>
          <w:szCs w:val="18"/>
          <w:u w:val="single" w:color="auto"/>
          <w:color w:val="0000FF"/>
        </w:rPr>
      </w:pPr>
      <w:hyperlink r:id="rId145">
        <w:r>
          <w:rPr>
            <w:rFonts w:ascii="Times New Roman" w:cs="Times New Roman" w:eastAsia="Times New Roman" w:hAnsi="Times New Roman"/>
            <w:sz w:val="18"/>
            <w:szCs w:val="18"/>
            <w:u w:val="single" w:color="auto"/>
            <w:color w:val="0000FF"/>
          </w:rPr>
          <w:t>Terms and Conditions to Trademark License Agreement dated December 17, 2019, between Levi Strauss &amp; Co. and</w:t>
        </w:r>
      </w:hyperlink>
      <w:r>
        <w:rPr>
          <w:rFonts w:ascii="Times New Roman" w:cs="Times New Roman" w:eastAsia="Times New Roman" w:hAnsi="Times New Roman"/>
          <w:sz w:val="18"/>
          <w:szCs w:val="18"/>
          <w:u w:val="single" w:color="auto"/>
          <w:color w:val="0000FF"/>
        </w:rPr>
        <w:t xml:space="preserve"> </w:t>
      </w:r>
      <w:hyperlink r:id="rId145">
        <w:r>
          <w:rPr>
            <w:rFonts w:ascii="Times New Roman" w:cs="Times New Roman" w:eastAsia="Times New Roman" w:hAnsi="Times New Roman"/>
            <w:sz w:val="18"/>
            <w:szCs w:val="18"/>
            <w:u w:val="single" w:color="auto"/>
            <w:color w:val="0000FF"/>
          </w:rPr>
          <w:t>Genesco Inc.* Incorporated by reference to Exhibit (10)bb to the Company’s Annual Report on Form 10-K for the fiscal</w:t>
        </w:r>
      </w:hyperlink>
      <w:r>
        <w:rPr>
          <w:rFonts w:ascii="Times New Roman" w:cs="Times New Roman" w:eastAsia="Times New Roman" w:hAnsi="Times New Roman"/>
          <w:sz w:val="18"/>
          <w:szCs w:val="18"/>
          <w:u w:val="single" w:color="auto"/>
          <w:color w:val="0000FF"/>
        </w:rPr>
        <w:t xml:space="preserve"> </w:t>
      </w:r>
      <w:hyperlink r:id="rId145">
        <w:r>
          <w:rPr>
            <w:rFonts w:ascii="Times New Roman" w:cs="Times New Roman" w:eastAsia="Times New Roman" w:hAnsi="Times New Roman"/>
            <w:sz w:val="18"/>
            <w:szCs w:val="18"/>
            <w:u w:val="single" w:color="auto"/>
            <w:color w:val="0000FF"/>
          </w:rPr>
          <w:t>year ended February 1, 2020. (File No. 1-3083).</w:t>
        </w:r>
      </w:hyperlink>
    </w:p>
    <w:p>
      <w:pPr>
        <w:spacing w:after="0" w:line="1" w:lineRule="exact"/>
        <w:rPr>
          <w:rFonts w:ascii="Times New Roman" w:cs="Times New Roman" w:eastAsia="Times New Roman" w:hAnsi="Times New Roman"/>
          <w:sz w:val="18"/>
          <w:szCs w:val="18"/>
          <w:u w:val="single" w:color="auto"/>
          <w:color w:val="0000FF"/>
        </w:rPr>
      </w:pPr>
    </w:p>
    <w:p>
      <w:pPr>
        <w:jc w:val="both"/>
        <w:ind w:left="1220" w:right="160" w:hanging="590"/>
        <w:spacing w:after="0" w:line="255" w:lineRule="auto"/>
        <w:tabs>
          <w:tab w:leader="none" w:pos="1220" w:val="left"/>
        </w:tabs>
        <w:numPr>
          <w:ilvl w:val="0"/>
          <w:numId w:val="25"/>
        </w:numPr>
        <w:rPr>
          <w:rFonts w:ascii="Times New Roman" w:cs="Times New Roman" w:eastAsia="Times New Roman" w:hAnsi="Times New Roman"/>
          <w:sz w:val="18"/>
          <w:szCs w:val="18"/>
          <w:u w:val="single" w:color="auto"/>
          <w:color w:val="0000FF"/>
        </w:rPr>
      </w:pPr>
      <w:hyperlink r:id="rId145">
        <w:r>
          <w:rPr>
            <w:rFonts w:ascii="Times New Roman" w:cs="Times New Roman" w:eastAsia="Times New Roman" w:hAnsi="Times New Roman"/>
            <w:sz w:val="18"/>
            <w:szCs w:val="18"/>
            <w:u w:val="single" w:color="auto"/>
            <w:color w:val="0000FF"/>
          </w:rPr>
          <w:t>Schedule to Trademark License Agreement (Levi’s® Brand) dated December 17, 2019, between Levi Strauss &amp; Co. and</w:t>
        </w:r>
      </w:hyperlink>
      <w:r>
        <w:rPr>
          <w:rFonts w:ascii="Times New Roman" w:cs="Times New Roman" w:eastAsia="Times New Roman" w:hAnsi="Times New Roman"/>
          <w:sz w:val="18"/>
          <w:szCs w:val="18"/>
          <w:u w:val="single" w:color="auto"/>
          <w:color w:val="0000FF"/>
        </w:rPr>
        <w:t xml:space="preserve"> </w:t>
      </w:r>
      <w:hyperlink r:id="rId145">
        <w:r>
          <w:rPr>
            <w:rFonts w:ascii="Times New Roman" w:cs="Times New Roman" w:eastAsia="Times New Roman" w:hAnsi="Times New Roman"/>
            <w:sz w:val="18"/>
            <w:szCs w:val="18"/>
            <w:u w:val="single" w:color="auto"/>
            <w:color w:val="0000FF"/>
          </w:rPr>
          <w:t>Genesco Inc.* Incorporated by reference to Exhibit (10)cc to the Company’s Annual Report on Form 10-K for the fiscal</w:t>
        </w:r>
      </w:hyperlink>
      <w:r>
        <w:rPr>
          <w:rFonts w:ascii="Times New Roman" w:cs="Times New Roman" w:eastAsia="Times New Roman" w:hAnsi="Times New Roman"/>
          <w:sz w:val="18"/>
          <w:szCs w:val="18"/>
          <w:u w:val="single" w:color="auto"/>
          <w:color w:val="0000FF"/>
        </w:rPr>
        <w:t xml:space="preserve"> </w:t>
      </w:r>
      <w:hyperlink r:id="rId145">
        <w:r>
          <w:rPr>
            <w:rFonts w:ascii="Times New Roman" w:cs="Times New Roman" w:eastAsia="Times New Roman" w:hAnsi="Times New Roman"/>
            <w:sz w:val="18"/>
            <w:szCs w:val="18"/>
            <w:u w:val="single" w:color="auto"/>
            <w:color w:val="0000FF"/>
          </w:rPr>
          <w:t>year ended February 1, 2020. (File No. 1-3083).</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768350</wp:posOffset>
            </wp:positionH>
            <wp:positionV relativeFrom="paragraph">
              <wp:posOffset>-4147185</wp:posOffset>
            </wp:positionV>
            <wp:extent cx="557149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36">
                      <a:extLst>
                        <a:ext uri="{28A0092B-C50C-407E-A947-70E740481C1C}"/>
                      </a:extLst>
                    </a:blip>
                    <a:srcRect/>
                    <a:stretch>
                      <a:fillRect/>
                    </a:stretch>
                  </pic:blipFill>
                  <pic:spPr bwMode="auto">
                    <a:xfrm>
                      <a:off x="0" y="0"/>
                      <a:ext cx="5571490" cy="8255"/>
                    </a:xfrm>
                    <a:prstGeom prst="rect">
                      <a:avLst/>
                    </a:prstGeom>
                    <a:noFill/>
                  </pic:spPr>
                </pic:pic>
              </a:graphicData>
            </a:graphic>
          </wp:anchor>
        </w:drawing>
        <w:drawing>
          <wp:anchor simplePos="0" relativeHeight="251657728" behindDoc="1" locked="0" layoutInCell="0" allowOverlap="1">
            <wp:simplePos x="0" y="0"/>
            <wp:positionH relativeFrom="column">
              <wp:posOffset>768350</wp:posOffset>
            </wp:positionH>
            <wp:positionV relativeFrom="paragraph">
              <wp:posOffset>-4010025</wp:posOffset>
            </wp:positionV>
            <wp:extent cx="536829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37">
                      <a:extLst>
                        <a:ext uri="{28A0092B-C50C-407E-A947-70E740481C1C}"/>
                      </a:extLst>
                    </a:blip>
                    <a:srcRect/>
                    <a:stretch>
                      <a:fillRect/>
                    </a:stretch>
                  </pic:blipFill>
                  <pic:spPr bwMode="auto">
                    <a:xfrm>
                      <a:off x="0" y="0"/>
                      <a:ext cx="5368290" cy="8890"/>
                    </a:xfrm>
                    <a:prstGeom prst="rect">
                      <a:avLst/>
                    </a:prstGeom>
                    <a:noFill/>
                  </pic:spPr>
                </pic:pic>
              </a:graphicData>
            </a:graphic>
          </wp:anchor>
        </w:drawing>
        <w:drawing>
          <wp:anchor simplePos="0" relativeHeight="251657728" behindDoc="1" locked="0" layoutInCell="0" allowOverlap="1">
            <wp:simplePos x="0" y="0"/>
            <wp:positionH relativeFrom="column">
              <wp:posOffset>768350</wp:posOffset>
            </wp:positionH>
            <wp:positionV relativeFrom="paragraph">
              <wp:posOffset>-3872865</wp:posOffset>
            </wp:positionV>
            <wp:extent cx="29527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38">
                      <a:extLst>
                        <a:ext uri="{28A0092B-C50C-407E-A947-70E740481C1C}"/>
                      </a:extLst>
                    </a:blip>
                    <a:srcRect/>
                    <a:stretch>
                      <a:fillRect/>
                    </a:stretch>
                  </pic:blipFill>
                  <pic:spPr bwMode="auto">
                    <a:xfrm>
                      <a:off x="0" y="0"/>
                      <a:ext cx="295275" cy="8255"/>
                    </a:xfrm>
                    <a:prstGeom prst="rect">
                      <a:avLst/>
                    </a:prstGeom>
                    <a:noFill/>
                  </pic:spPr>
                </pic:pic>
              </a:graphicData>
            </a:graphic>
          </wp:anchor>
        </w:drawing>
        <w:drawing>
          <wp:anchor simplePos="0" relativeHeight="251657728" behindDoc="1" locked="0" layoutInCell="0" allowOverlap="1">
            <wp:simplePos x="0" y="0"/>
            <wp:positionH relativeFrom="column">
              <wp:posOffset>768350</wp:posOffset>
            </wp:positionH>
            <wp:positionV relativeFrom="paragraph">
              <wp:posOffset>-3735705</wp:posOffset>
            </wp:positionV>
            <wp:extent cx="562864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39">
                      <a:extLst>
                        <a:ext uri="{28A0092B-C50C-407E-A947-70E740481C1C}"/>
                      </a:extLst>
                    </a:blip>
                    <a:srcRect/>
                    <a:stretch>
                      <a:fillRect/>
                    </a:stretch>
                  </pic:blipFill>
                  <pic:spPr bwMode="auto">
                    <a:xfrm>
                      <a:off x="0" y="0"/>
                      <a:ext cx="5628640" cy="8255"/>
                    </a:xfrm>
                    <a:prstGeom prst="rect">
                      <a:avLst/>
                    </a:prstGeom>
                    <a:noFill/>
                  </pic:spPr>
                </pic:pic>
              </a:graphicData>
            </a:graphic>
          </wp:anchor>
        </w:drawing>
        <w:drawing>
          <wp:anchor simplePos="0" relativeHeight="251657728" behindDoc="1" locked="0" layoutInCell="0" allowOverlap="1">
            <wp:simplePos x="0" y="0"/>
            <wp:positionH relativeFrom="column">
              <wp:posOffset>768350</wp:posOffset>
            </wp:positionH>
            <wp:positionV relativeFrom="paragraph">
              <wp:posOffset>-3598545</wp:posOffset>
            </wp:positionV>
            <wp:extent cx="188150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40">
                      <a:extLst>
                        <a:ext uri="{28A0092B-C50C-407E-A947-70E740481C1C}"/>
                      </a:extLst>
                    </a:blip>
                    <a:srcRect/>
                    <a:stretch>
                      <a:fillRect/>
                    </a:stretch>
                  </pic:blipFill>
                  <pic:spPr bwMode="auto">
                    <a:xfrm>
                      <a:off x="0" y="0"/>
                      <a:ext cx="1881505" cy="8255"/>
                    </a:xfrm>
                    <a:prstGeom prst="rect">
                      <a:avLst/>
                    </a:prstGeom>
                    <a:noFill/>
                  </pic:spPr>
                </pic:pic>
              </a:graphicData>
            </a:graphic>
          </wp:anchor>
        </w:drawing>
        <w:drawing>
          <wp:anchor simplePos="0" relativeHeight="251657728" behindDoc="1" locked="0" layoutInCell="0" allowOverlap="1">
            <wp:simplePos x="0" y="0"/>
            <wp:positionH relativeFrom="column">
              <wp:posOffset>768350</wp:posOffset>
            </wp:positionH>
            <wp:positionV relativeFrom="paragraph">
              <wp:posOffset>-3461385</wp:posOffset>
            </wp:positionV>
            <wp:extent cx="54914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41">
                      <a:extLst>
                        <a:ext uri="{28A0092B-C50C-407E-A947-70E740481C1C}"/>
                      </a:extLst>
                    </a:blip>
                    <a:srcRect/>
                    <a:stretch>
                      <a:fillRect/>
                    </a:stretch>
                  </pic:blipFill>
                  <pic:spPr bwMode="auto">
                    <a:xfrm>
                      <a:off x="0" y="0"/>
                      <a:ext cx="5491480" cy="8255"/>
                    </a:xfrm>
                    <a:prstGeom prst="rect">
                      <a:avLst/>
                    </a:prstGeom>
                    <a:noFill/>
                  </pic:spPr>
                </pic:pic>
              </a:graphicData>
            </a:graphic>
          </wp:anchor>
        </w:drawing>
        <w:drawing>
          <wp:anchor simplePos="0" relativeHeight="251657728" behindDoc="1" locked="0" layoutInCell="0" allowOverlap="1">
            <wp:simplePos x="0" y="0"/>
            <wp:positionH relativeFrom="column">
              <wp:posOffset>768350</wp:posOffset>
            </wp:positionH>
            <wp:positionV relativeFrom="paragraph">
              <wp:posOffset>-3324225</wp:posOffset>
            </wp:positionV>
            <wp:extent cx="182118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42">
                      <a:extLst>
                        <a:ext uri="{28A0092B-C50C-407E-A947-70E740481C1C}"/>
                      </a:extLst>
                    </a:blip>
                    <a:srcRect/>
                    <a:stretch>
                      <a:fillRect/>
                    </a:stretch>
                  </pic:blipFill>
                  <pic:spPr bwMode="auto">
                    <a:xfrm>
                      <a:off x="0" y="0"/>
                      <a:ext cx="1821180" cy="8890"/>
                    </a:xfrm>
                    <a:prstGeom prst="rect">
                      <a:avLst/>
                    </a:prstGeom>
                    <a:noFill/>
                  </pic:spPr>
                </pic:pic>
              </a:graphicData>
            </a:graphic>
          </wp:anchor>
        </w:drawing>
        <w:drawing>
          <wp:anchor simplePos="0" relativeHeight="251657728" behindDoc="1" locked="0" layoutInCell="0" allowOverlap="1">
            <wp:simplePos x="0" y="0"/>
            <wp:positionH relativeFrom="column">
              <wp:posOffset>768350</wp:posOffset>
            </wp:positionH>
            <wp:positionV relativeFrom="paragraph">
              <wp:posOffset>-3187065</wp:posOffset>
            </wp:positionV>
            <wp:extent cx="561213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43">
                      <a:extLst>
                        <a:ext uri="{28A0092B-C50C-407E-A947-70E740481C1C}"/>
                      </a:extLst>
                    </a:blip>
                    <a:srcRect/>
                    <a:stretch>
                      <a:fillRect/>
                    </a:stretch>
                  </pic:blipFill>
                  <pic:spPr bwMode="auto">
                    <a:xfrm>
                      <a:off x="0" y="0"/>
                      <a:ext cx="5612130" cy="8255"/>
                    </a:xfrm>
                    <a:prstGeom prst="rect">
                      <a:avLst/>
                    </a:prstGeom>
                    <a:noFill/>
                  </pic:spPr>
                </pic:pic>
              </a:graphicData>
            </a:graphic>
          </wp:anchor>
        </w:drawing>
        <w:drawing>
          <wp:anchor simplePos="0" relativeHeight="251657728" behindDoc="1" locked="0" layoutInCell="0" allowOverlap="1">
            <wp:simplePos x="0" y="0"/>
            <wp:positionH relativeFrom="column">
              <wp:posOffset>768350</wp:posOffset>
            </wp:positionH>
            <wp:positionV relativeFrom="paragraph">
              <wp:posOffset>-3049905</wp:posOffset>
            </wp:positionV>
            <wp:extent cx="5485765"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44">
                      <a:extLst>
                        <a:ext uri="{28A0092B-C50C-407E-A947-70E740481C1C}"/>
                      </a:extLst>
                    </a:blip>
                    <a:srcRect/>
                    <a:stretch>
                      <a:fillRect/>
                    </a:stretch>
                  </pic:blipFill>
                  <pic:spPr bwMode="auto">
                    <a:xfrm>
                      <a:off x="0" y="0"/>
                      <a:ext cx="5485765" cy="8890"/>
                    </a:xfrm>
                    <a:prstGeom prst="rect">
                      <a:avLst/>
                    </a:prstGeom>
                    <a:noFill/>
                  </pic:spPr>
                </pic:pic>
              </a:graphicData>
            </a:graphic>
          </wp:anchor>
        </w:drawing>
        <w:drawing>
          <wp:anchor simplePos="0" relativeHeight="251657728" behindDoc="1" locked="0" layoutInCell="0" allowOverlap="1">
            <wp:simplePos x="0" y="0"/>
            <wp:positionH relativeFrom="column">
              <wp:posOffset>768350</wp:posOffset>
            </wp:positionH>
            <wp:positionV relativeFrom="paragraph">
              <wp:posOffset>-2912745</wp:posOffset>
            </wp:positionV>
            <wp:extent cx="559689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45">
                      <a:extLst>
                        <a:ext uri="{28A0092B-C50C-407E-A947-70E740481C1C}"/>
                      </a:extLst>
                    </a:blip>
                    <a:srcRect/>
                    <a:stretch>
                      <a:fillRect/>
                    </a:stretch>
                  </pic:blipFill>
                  <pic:spPr bwMode="auto">
                    <a:xfrm>
                      <a:off x="0" y="0"/>
                      <a:ext cx="5596890" cy="8255"/>
                    </a:xfrm>
                    <a:prstGeom prst="rect">
                      <a:avLst/>
                    </a:prstGeom>
                    <a:noFill/>
                  </pic:spPr>
                </pic:pic>
              </a:graphicData>
            </a:graphic>
          </wp:anchor>
        </w:drawing>
        <w:drawing>
          <wp:anchor simplePos="0" relativeHeight="251657728" behindDoc="1" locked="0" layoutInCell="0" allowOverlap="1">
            <wp:simplePos x="0" y="0"/>
            <wp:positionH relativeFrom="column">
              <wp:posOffset>768350</wp:posOffset>
            </wp:positionH>
            <wp:positionV relativeFrom="paragraph">
              <wp:posOffset>-2775585</wp:posOffset>
            </wp:positionV>
            <wp:extent cx="2417445"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46">
                      <a:extLst>
                        <a:ext uri="{28A0092B-C50C-407E-A947-70E740481C1C}"/>
                      </a:extLst>
                    </a:blip>
                    <a:srcRect/>
                    <a:stretch>
                      <a:fillRect/>
                    </a:stretch>
                  </pic:blipFill>
                  <pic:spPr bwMode="auto">
                    <a:xfrm>
                      <a:off x="0" y="0"/>
                      <a:ext cx="2417445" cy="8890"/>
                    </a:xfrm>
                    <a:prstGeom prst="rect">
                      <a:avLst/>
                    </a:prstGeom>
                    <a:noFill/>
                  </pic:spPr>
                </pic:pic>
              </a:graphicData>
            </a:graphic>
          </wp:anchor>
        </w:drawing>
        <w:drawing>
          <wp:anchor simplePos="0" relativeHeight="251657728" behindDoc="1" locked="0" layoutInCell="0" allowOverlap="1">
            <wp:simplePos x="0" y="0"/>
            <wp:positionH relativeFrom="column">
              <wp:posOffset>768350</wp:posOffset>
            </wp:positionH>
            <wp:positionV relativeFrom="paragraph">
              <wp:posOffset>-2638425</wp:posOffset>
            </wp:positionV>
            <wp:extent cx="563435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47">
                      <a:extLst>
                        <a:ext uri="{28A0092B-C50C-407E-A947-70E740481C1C}"/>
                      </a:extLst>
                    </a:blip>
                    <a:srcRect/>
                    <a:stretch>
                      <a:fillRect/>
                    </a:stretch>
                  </pic:blipFill>
                  <pic:spPr bwMode="auto">
                    <a:xfrm>
                      <a:off x="0" y="0"/>
                      <a:ext cx="5634355" cy="8255"/>
                    </a:xfrm>
                    <a:prstGeom prst="rect">
                      <a:avLst/>
                    </a:prstGeom>
                    <a:noFill/>
                  </pic:spPr>
                </pic:pic>
              </a:graphicData>
            </a:graphic>
          </wp:anchor>
        </w:drawing>
        <w:drawing>
          <wp:anchor simplePos="0" relativeHeight="251657728" behindDoc="1" locked="0" layoutInCell="0" allowOverlap="1">
            <wp:simplePos x="0" y="0"/>
            <wp:positionH relativeFrom="column">
              <wp:posOffset>768350</wp:posOffset>
            </wp:positionH>
            <wp:positionV relativeFrom="paragraph">
              <wp:posOffset>-2501265</wp:posOffset>
            </wp:positionV>
            <wp:extent cx="392176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48">
                      <a:extLst>
                        <a:ext uri="{28A0092B-C50C-407E-A947-70E740481C1C}"/>
                      </a:extLst>
                    </a:blip>
                    <a:srcRect/>
                    <a:stretch>
                      <a:fillRect/>
                    </a:stretch>
                  </pic:blipFill>
                  <pic:spPr bwMode="auto">
                    <a:xfrm>
                      <a:off x="0" y="0"/>
                      <a:ext cx="3921760" cy="8255"/>
                    </a:xfrm>
                    <a:prstGeom prst="rect">
                      <a:avLst/>
                    </a:prstGeom>
                    <a:noFill/>
                  </pic:spPr>
                </pic:pic>
              </a:graphicData>
            </a:graphic>
          </wp:anchor>
        </w:drawing>
        <w:drawing>
          <wp:anchor simplePos="0" relativeHeight="251657728" behindDoc="1" locked="0" layoutInCell="0" allowOverlap="1">
            <wp:simplePos x="0" y="0"/>
            <wp:positionH relativeFrom="column">
              <wp:posOffset>768350</wp:posOffset>
            </wp:positionH>
            <wp:positionV relativeFrom="paragraph">
              <wp:posOffset>-2364105</wp:posOffset>
            </wp:positionV>
            <wp:extent cx="559308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49">
                      <a:extLst>
                        <a:ext uri="{28A0092B-C50C-407E-A947-70E740481C1C}"/>
                      </a:extLst>
                    </a:blip>
                    <a:srcRect/>
                    <a:stretch>
                      <a:fillRect/>
                    </a:stretch>
                  </pic:blipFill>
                  <pic:spPr bwMode="auto">
                    <a:xfrm>
                      <a:off x="0" y="0"/>
                      <a:ext cx="5593080" cy="8890"/>
                    </a:xfrm>
                    <a:prstGeom prst="rect">
                      <a:avLst/>
                    </a:prstGeom>
                    <a:noFill/>
                  </pic:spPr>
                </pic:pic>
              </a:graphicData>
            </a:graphic>
          </wp:anchor>
        </w:drawing>
        <w:drawing>
          <wp:anchor simplePos="0" relativeHeight="251657728" behindDoc="1" locked="0" layoutInCell="0" allowOverlap="1">
            <wp:simplePos x="0" y="0"/>
            <wp:positionH relativeFrom="column">
              <wp:posOffset>768350</wp:posOffset>
            </wp:positionH>
            <wp:positionV relativeFrom="paragraph">
              <wp:posOffset>-2226945</wp:posOffset>
            </wp:positionV>
            <wp:extent cx="404304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50">
                      <a:extLst>
                        <a:ext uri="{28A0092B-C50C-407E-A947-70E740481C1C}"/>
                      </a:extLst>
                    </a:blip>
                    <a:srcRect/>
                    <a:stretch>
                      <a:fillRect/>
                    </a:stretch>
                  </pic:blipFill>
                  <pic:spPr bwMode="auto">
                    <a:xfrm>
                      <a:off x="0" y="0"/>
                      <a:ext cx="4043045" cy="8255"/>
                    </a:xfrm>
                    <a:prstGeom prst="rect">
                      <a:avLst/>
                    </a:prstGeom>
                    <a:noFill/>
                  </pic:spPr>
                </pic:pic>
              </a:graphicData>
            </a:graphic>
          </wp:anchor>
        </w:drawing>
        <w:drawing>
          <wp:anchor simplePos="0" relativeHeight="251657728" behindDoc="1" locked="0" layoutInCell="0" allowOverlap="1">
            <wp:simplePos x="0" y="0"/>
            <wp:positionH relativeFrom="column">
              <wp:posOffset>768350</wp:posOffset>
            </wp:positionH>
            <wp:positionV relativeFrom="paragraph">
              <wp:posOffset>-2089785</wp:posOffset>
            </wp:positionV>
            <wp:extent cx="554418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51">
                      <a:extLst>
                        <a:ext uri="{28A0092B-C50C-407E-A947-70E740481C1C}"/>
                      </a:extLst>
                    </a:blip>
                    <a:srcRect/>
                    <a:stretch>
                      <a:fillRect/>
                    </a:stretch>
                  </pic:blipFill>
                  <pic:spPr bwMode="auto">
                    <a:xfrm>
                      <a:off x="0" y="0"/>
                      <a:ext cx="5544185" cy="8255"/>
                    </a:xfrm>
                    <a:prstGeom prst="rect">
                      <a:avLst/>
                    </a:prstGeom>
                    <a:noFill/>
                  </pic:spPr>
                </pic:pic>
              </a:graphicData>
            </a:graphic>
          </wp:anchor>
        </w:drawing>
        <w:drawing>
          <wp:anchor simplePos="0" relativeHeight="251657728" behindDoc="1" locked="0" layoutInCell="0" allowOverlap="1">
            <wp:simplePos x="0" y="0"/>
            <wp:positionH relativeFrom="column">
              <wp:posOffset>768350</wp:posOffset>
            </wp:positionH>
            <wp:positionV relativeFrom="paragraph">
              <wp:posOffset>-1952625</wp:posOffset>
            </wp:positionV>
            <wp:extent cx="4191635"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52">
                      <a:extLst>
                        <a:ext uri="{28A0092B-C50C-407E-A947-70E740481C1C}"/>
                      </a:extLst>
                    </a:blip>
                    <a:srcRect/>
                    <a:stretch>
                      <a:fillRect/>
                    </a:stretch>
                  </pic:blipFill>
                  <pic:spPr bwMode="auto">
                    <a:xfrm>
                      <a:off x="0" y="0"/>
                      <a:ext cx="4191635" cy="8890"/>
                    </a:xfrm>
                    <a:prstGeom prst="rect">
                      <a:avLst/>
                    </a:prstGeom>
                    <a:noFill/>
                  </pic:spPr>
                </pic:pic>
              </a:graphicData>
            </a:graphic>
          </wp:anchor>
        </w:drawing>
        <w:drawing>
          <wp:anchor simplePos="0" relativeHeight="251657728" behindDoc="1" locked="0" layoutInCell="0" allowOverlap="1">
            <wp:simplePos x="0" y="0"/>
            <wp:positionH relativeFrom="column">
              <wp:posOffset>768350</wp:posOffset>
            </wp:positionH>
            <wp:positionV relativeFrom="paragraph">
              <wp:posOffset>-1815465</wp:posOffset>
            </wp:positionV>
            <wp:extent cx="558355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53">
                      <a:extLst>
                        <a:ext uri="{28A0092B-C50C-407E-A947-70E740481C1C}"/>
                      </a:extLst>
                    </a:blip>
                    <a:srcRect/>
                    <a:stretch>
                      <a:fillRect/>
                    </a:stretch>
                  </pic:blipFill>
                  <pic:spPr bwMode="auto">
                    <a:xfrm>
                      <a:off x="0" y="0"/>
                      <a:ext cx="5583555" cy="8255"/>
                    </a:xfrm>
                    <a:prstGeom prst="rect">
                      <a:avLst/>
                    </a:prstGeom>
                    <a:noFill/>
                  </pic:spPr>
                </pic:pic>
              </a:graphicData>
            </a:graphic>
          </wp:anchor>
        </w:drawing>
        <w:drawing>
          <wp:anchor simplePos="0" relativeHeight="251657728" behindDoc="1" locked="0" layoutInCell="0" allowOverlap="1">
            <wp:simplePos x="0" y="0"/>
            <wp:positionH relativeFrom="column">
              <wp:posOffset>768350</wp:posOffset>
            </wp:positionH>
            <wp:positionV relativeFrom="paragraph">
              <wp:posOffset>-1678305</wp:posOffset>
            </wp:positionV>
            <wp:extent cx="224980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54">
                      <a:extLst>
                        <a:ext uri="{28A0092B-C50C-407E-A947-70E740481C1C}"/>
                      </a:extLst>
                    </a:blip>
                    <a:srcRect/>
                    <a:stretch>
                      <a:fillRect/>
                    </a:stretch>
                  </pic:blipFill>
                  <pic:spPr bwMode="auto">
                    <a:xfrm>
                      <a:off x="0" y="0"/>
                      <a:ext cx="2249805" cy="8255"/>
                    </a:xfrm>
                    <a:prstGeom prst="rect">
                      <a:avLst/>
                    </a:prstGeom>
                    <a:noFill/>
                  </pic:spPr>
                </pic:pic>
              </a:graphicData>
            </a:graphic>
          </wp:anchor>
        </w:drawing>
        <w:drawing>
          <wp:anchor simplePos="0" relativeHeight="251657728" behindDoc="1" locked="0" layoutInCell="0" allowOverlap="1">
            <wp:simplePos x="0" y="0"/>
            <wp:positionH relativeFrom="column">
              <wp:posOffset>768350</wp:posOffset>
            </wp:positionH>
            <wp:positionV relativeFrom="paragraph">
              <wp:posOffset>-1541145</wp:posOffset>
            </wp:positionV>
            <wp:extent cx="554228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55">
                      <a:extLst>
                        <a:ext uri="{28A0092B-C50C-407E-A947-70E740481C1C}"/>
                      </a:extLst>
                    </a:blip>
                    <a:srcRect/>
                    <a:stretch>
                      <a:fillRect/>
                    </a:stretch>
                  </pic:blipFill>
                  <pic:spPr bwMode="auto">
                    <a:xfrm>
                      <a:off x="0" y="0"/>
                      <a:ext cx="5542280" cy="8890"/>
                    </a:xfrm>
                    <a:prstGeom prst="rect">
                      <a:avLst/>
                    </a:prstGeom>
                    <a:noFill/>
                  </pic:spPr>
                </pic:pic>
              </a:graphicData>
            </a:graphic>
          </wp:anchor>
        </w:drawing>
        <w:drawing>
          <wp:anchor simplePos="0" relativeHeight="251657728" behindDoc="1" locked="0" layoutInCell="0" allowOverlap="1">
            <wp:simplePos x="0" y="0"/>
            <wp:positionH relativeFrom="column">
              <wp:posOffset>768350</wp:posOffset>
            </wp:positionH>
            <wp:positionV relativeFrom="paragraph">
              <wp:posOffset>-1403985</wp:posOffset>
            </wp:positionV>
            <wp:extent cx="239268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56">
                      <a:extLst>
                        <a:ext uri="{28A0092B-C50C-407E-A947-70E740481C1C}"/>
                      </a:extLst>
                    </a:blip>
                    <a:srcRect/>
                    <a:stretch>
                      <a:fillRect/>
                    </a:stretch>
                  </pic:blipFill>
                  <pic:spPr bwMode="auto">
                    <a:xfrm>
                      <a:off x="0" y="0"/>
                      <a:ext cx="2392680" cy="8255"/>
                    </a:xfrm>
                    <a:prstGeom prst="rect">
                      <a:avLst/>
                    </a:prstGeom>
                    <a:noFill/>
                  </pic:spPr>
                </pic:pic>
              </a:graphicData>
            </a:graphic>
          </wp:anchor>
        </w:drawing>
        <w:drawing>
          <wp:anchor simplePos="0" relativeHeight="251657728" behindDoc="1" locked="0" layoutInCell="0" allowOverlap="1">
            <wp:simplePos x="0" y="0"/>
            <wp:positionH relativeFrom="column">
              <wp:posOffset>768350</wp:posOffset>
            </wp:positionH>
            <wp:positionV relativeFrom="paragraph">
              <wp:posOffset>-1266825</wp:posOffset>
            </wp:positionV>
            <wp:extent cx="524129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57">
                      <a:extLst>
                        <a:ext uri="{28A0092B-C50C-407E-A947-70E740481C1C}"/>
                      </a:extLst>
                    </a:blip>
                    <a:srcRect/>
                    <a:stretch>
                      <a:fillRect/>
                    </a:stretch>
                  </pic:blipFill>
                  <pic:spPr bwMode="auto">
                    <a:xfrm>
                      <a:off x="0" y="0"/>
                      <a:ext cx="5241290" cy="8890"/>
                    </a:xfrm>
                    <a:prstGeom prst="rect">
                      <a:avLst/>
                    </a:prstGeom>
                    <a:noFill/>
                  </pic:spPr>
                </pic:pic>
              </a:graphicData>
            </a:graphic>
          </wp:anchor>
        </w:drawing>
        <w:drawing>
          <wp:anchor simplePos="0" relativeHeight="251657728" behindDoc="1" locked="0" layoutInCell="0" allowOverlap="1">
            <wp:simplePos x="0" y="0"/>
            <wp:positionH relativeFrom="column">
              <wp:posOffset>768350</wp:posOffset>
            </wp:positionH>
            <wp:positionV relativeFrom="paragraph">
              <wp:posOffset>-1129665</wp:posOffset>
            </wp:positionV>
            <wp:extent cx="171323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58">
                      <a:extLst>
                        <a:ext uri="{28A0092B-C50C-407E-A947-70E740481C1C}"/>
                      </a:extLst>
                    </a:blip>
                    <a:srcRect/>
                    <a:stretch>
                      <a:fillRect/>
                    </a:stretch>
                  </pic:blipFill>
                  <pic:spPr bwMode="auto">
                    <a:xfrm>
                      <a:off x="0" y="0"/>
                      <a:ext cx="1713230" cy="8890"/>
                    </a:xfrm>
                    <a:prstGeom prst="rect">
                      <a:avLst/>
                    </a:prstGeom>
                    <a:noFill/>
                  </pic:spPr>
                </pic:pic>
              </a:graphicData>
            </a:graphic>
          </wp:anchor>
        </w:drawing>
        <w:drawing>
          <wp:anchor simplePos="0" relativeHeight="251657728" behindDoc="1" locked="0" layoutInCell="0" allowOverlap="1">
            <wp:simplePos x="0" y="0"/>
            <wp:positionH relativeFrom="column">
              <wp:posOffset>768350</wp:posOffset>
            </wp:positionH>
            <wp:positionV relativeFrom="paragraph">
              <wp:posOffset>-992505</wp:posOffset>
            </wp:positionV>
            <wp:extent cx="524129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59">
                      <a:extLst>
                        <a:ext uri="{28A0092B-C50C-407E-A947-70E740481C1C}"/>
                      </a:extLst>
                    </a:blip>
                    <a:srcRect/>
                    <a:stretch>
                      <a:fillRect/>
                    </a:stretch>
                  </pic:blipFill>
                  <pic:spPr bwMode="auto">
                    <a:xfrm>
                      <a:off x="0" y="0"/>
                      <a:ext cx="5241290" cy="8255"/>
                    </a:xfrm>
                    <a:prstGeom prst="rect">
                      <a:avLst/>
                    </a:prstGeom>
                    <a:noFill/>
                  </pic:spPr>
                </pic:pic>
              </a:graphicData>
            </a:graphic>
          </wp:anchor>
        </w:drawing>
        <w:drawing>
          <wp:anchor simplePos="0" relativeHeight="251657728" behindDoc="1" locked="0" layoutInCell="0" allowOverlap="1">
            <wp:simplePos x="0" y="0"/>
            <wp:positionH relativeFrom="column">
              <wp:posOffset>768350</wp:posOffset>
            </wp:positionH>
            <wp:positionV relativeFrom="paragraph">
              <wp:posOffset>-855345</wp:posOffset>
            </wp:positionV>
            <wp:extent cx="171323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60">
                      <a:extLst>
                        <a:ext uri="{28A0092B-C50C-407E-A947-70E740481C1C}"/>
                      </a:extLst>
                    </a:blip>
                    <a:srcRect/>
                    <a:stretch>
                      <a:fillRect/>
                    </a:stretch>
                  </pic:blipFill>
                  <pic:spPr bwMode="auto">
                    <a:xfrm>
                      <a:off x="0" y="0"/>
                      <a:ext cx="1713230" cy="8890"/>
                    </a:xfrm>
                    <a:prstGeom prst="rect">
                      <a:avLst/>
                    </a:prstGeom>
                    <a:noFill/>
                  </pic:spPr>
                </pic:pic>
              </a:graphicData>
            </a:graphic>
          </wp:anchor>
        </w:drawing>
        <w:drawing>
          <wp:anchor simplePos="0" relativeHeight="251657728" behindDoc="1" locked="0" layoutInCell="0" allowOverlap="1">
            <wp:simplePos x="0" y="0"/>
            <wp:positionH relativeFrom="column">
              <wp:posOffset>768350</wp:posOffset>
            </wp:positionH>
            <wp:positionV relativeFrom="paragraph">
              <wp:posOffset>-718185</wp:posOffset>
            </wp:positionV>
            <wp:extent cx="534924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61">
                      <a:extLst>
                        <a:ext uri="{28A0092B-C50C-407E-A947-70E740481C1C}"/>
                      </a:extLst>
                    </a:blip>
                    <a:srcRect/>
                    <a:stretch>
                      <a:fillRect/>
                    </a:stretch>
                  </pic:blipFill>
                  <pic:spPr bwMode="auto">
                    <a:xfrm>
                      <a:off x="0" y="0"/>
                      <a:ext cx="5349240" cy="8255"/>
                    </a:xfrm>
                    <a:prstGeom prst="rect">
                      <a:avLst/>
                    </a:prstGeom>
                    <a:noFill/>
                  </pic:spPr>
                </pic:pic>
              </a:graphicData>
            </a:graphic>
          </wp:anchor>
        </w:drawing>
        <w:drawing>
          <wp:anchor simplePos="0" relativeHeight="251657728" behindDoc="1" locked="0" layoutInCell="0" allowOverlap="1">
            <wp:simplePos x="0" y="0"/>
            <wp:positionH relativeFrom="column">
              <wp:posOffset>768350</wp:posOffset>
            </wp:positionH>
            <wp:positionV relativeFrom="paragraph">
              <wp:posOffset>-581025</wp:posOffset>
            </wp:positionV>
            <wp:extent cx="553974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62">
                      <a:extLst>
                        <a:ext uri="{28A0092B-C50C-407E-A947-70E740481C1C}"/>
                      </a:extLst>
                    </a:blip>
                    <a:srcRect/>
                    <a:stretch>
                      <a:fillRect/>
                    </a:stretch>
                  </pic:blipFill>
                  <pic:spPr bwMode="auto">
                    <a:xfrm>
                      <a:off x="0" y="0"/>
                      <a:ext cx="5539740" cy="8255"/>
                    </a:xfrm>
                    <a:prstGeom prst="rect">
                      <a:avLst/>
                    </a:prstGeom>
                    <a:noFill/>
                  </pic:spPr>
                </pic:pic>
              </a:graphicData>
            </a:graphic>
          </wp:anchor>
        </w:drawing>
        <w:drawing>
          <wp:anchor simplePos="0" relativeHeight="251657728" behindDoc="1" locked="0" layoutInCell="0" allowOverlap="1">
            <wp:simplePos x="0" y="0"/>
            <wp:positionH relativeFrom="column">
              <wp:posOffset>768350</wp:posOffset>
            </wp:positionH>
            <wp:positionV relativeFrom="paragraph">
              <wp:posOffset>-443865</wp:posOffset>
            </wp:positionV>
            <wp:extent cx="2199005"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63">
                      <a:extLst>
                        <a:ext uri="{28A0092B-C50C-407E-A947-70E740481C1C}"/>
                      </a:extLst>
                    </a:blip>
                    <a:srcRect/>
                    <a:stretch>
                      <a:fillRect/>
                    </a:stretch>
                  </pic:blipFill>
                  <pic:spPr bwMode="auto">
                    <a:xfrm>
                      <a:off x="0" y="0"/>
                      <a:ext cx="2199005" cy="8890"/>
                    </a:xfrm>
                    <a:prstGeom prst="rect">
                      <a:avLst/>
                    </a:prstGeom>
                    <a:noFill/>
                  </pic:spPr>
                </pic:pic>
              </a:graphicData>
            </a:graphic>
          </wp:anchor>
        </w:drawing>
        <w:drawing>
          <wp:anchor simplePos="0" relativeHeight="251657728" behindDoc="1" locked="0" layoutInCell="0" allowOverlap="1">
            <wp:simplePos x="0" y="0"/>
            <wp:positionH relativeFrom="column">
              <wp:posOffset>768350</wp:posOffset>
            </wp:positionH>
            <wp:positionV relativeFrom="paragraph">
              <wp:posOffset>-306705</wp:posOffset>
            </wp:positionV>
            <wp:extent cx="554355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64">
                      <a:extLst>
                        <a:ext uri="{28A0092B-C50C-407E-A947-70E740481C1C}"/>
                      </a:extLst>
                    </a:blip>
                    <a:srcRect/>
                    <a:stretch>
                      <a:fillRect/>
                    </a:stretch>
                  </pic:blipFill>
                  <pic:spPr bwMode="auto">
                    <a:xfrm>
                      <a:off x="0" y="0"/>
                      <a:ext cx="5543550" cy="8255"/>
                    </a:xfrm>
                    <a:prstGeom prst="rect">
                      <a:avLst/>
                    </a:prstGeom>
                    <a:noFill/>
                  </pic:spPr>
                </pic:pic>
              </a:graphicData>
            </a:graphic>
          </wp:anchor>
        </w:drawing>
        <w:drawing>
          <wp:anchor simplePos="0" relativeHeight="251657728" behindDoc="1" locked="0" layoutInCell="0" allowOverlap="1">
            <wp:simplePos x="0" y="0"/>
            <wp:positionH relativeFrom="column">
              <wp:posOffset>768350</wp:posOffset>
            </wp:positionH>
            <wp:positionV relativeFrom="paragraph">
              <wp:posOffset>-169545</wp:posOffset>
            </wp:positionV>
            <wp:extent cx="552704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65">
                      <a:extLst>
                        <a:ext uri="{28A0092B-C50C-407E-A947-70E740481C1C}"/>
                      </a:extLst>
                    </a:blip>
                    <a:srcRect/>
                    <a:stretch>
                      <a:fillRect/>
                    </a:stretch>
                  </pic:blipFill>
                  <pic:spPr bwMode="auto">
                    <a:xfrm>
                      <a:off x="0" y="0"/>
                      <a:ext cx="5527040" cy="8255"/>
                    </a:xfrm>
                    <a:prstGeom prst="rect">
                      <a:avLst/>
                    </a:prstGeom>
                    <a:noFill/>
                  </pic:spPr>
                </pic:pic>
              </a:graphicData>
            </a:graphic>
          </wp:anchor>
        </w:drawing>
        <w:drawing>
          <wp:anchor simplePos="0" relativeHeight="251657728" behindDoc="1" locked="0" layoutInCell="0" allowOverlap="1">
            <wp:simplePos x="0" y="0"/>
            <wp:positionH relativeFrom="column">
              <wp:posOffset>768350</wp:posOffset>
            </wp:positionH>
            <wp:positionV relativeFrom="paragraph">
              <wp:posOffset>-32385</wp:posOffset>
            </wp:positionV>
            <wp:extent cx="2199005"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66">
                      <a:extLst>
                        <a:ext uri="{28A0092B-C50C-407E-A947-70E740481C1C}"/>
                      </a:extLst>
                    </a:blip>
                    <a:srcRect/>
                    <a:stretch>
                      <a:fillRect/>
                    </a:stretch>
                  </pic:blipFill>
                  <pic:spPr bwMode="auto">
                    <a:xfrm>
                      <a:off x="0" y="0"/>
                      <a:ext cx="2199005" cy="8890"/>
                    </a:xfrm>
                    <a:prstGeom prst="rect">
                      <a:avLst/>
                    </a:prstGeom>
                    <a:noFill/>
                  </pic:spPr>
                </pic:pic>
              </a:graphicData>
            </a:graphic>
          </wp:anchor>
        </w:drawing>
      </w:r>
    </w:p>
    <w:p>
      <w:pPr>
        <w:spacing w:after="0" w:line="166" w:lineRule="exact"/>
        <w:rPr>
          <w:rFonts w:ascii="Times New Roman" w:cs="Times New Roman" w:eastAsia="Times New Roman" w:hAnsi="Times New Roman"/>
          <w:sz w:val="18"/>
          <w:szCs w:val="18"/>
          <w:u w:val="single" w:color="auto"/>
          <w:color w:val="0000FF"/>
        </w:rPr>
      </w:pPr>
    </w:p>
    <w:p>
      <w:pPr>
        <w:ind w:left="4420"/>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-718185</wp:posOffset>
            </wp:positionH>
            <wp:positionV relativeFrom="paragraph">
              <wp:posOffset>484505</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60"/>
          </w:cols>
          <w:pgMar w:left="1440" w:top="1201" w:right="399" w:bottom="1440" w:gutter="0" w:footer="0" w:header="0"/>
        </w:sectPr>
      </w:pPr>
    </w:p>
    <w:bookmarkStart w:id="87" w:name="page88"/>
    <w:bookmarkEnd w:id="87"/>
    <w:p>
      <w:pPr>
        <w:ind w:left="2340" w:right="40" w:hanging="590"/>
        <w:spacing w:after="0" w:line="257" w:lineRule="auto"/>
        <w:tabs>
          <w:tab w:leader="none" w:pos="2340" w:val="left"/>
        </w:tabs>
        <w:numPr>
          <w:ilvl w:val="0"/>
          <w:numId w:val="26"/>
        </w:numPr>
        <w:rPr>
          <w:rFonts w:ascii="Times New Roman" w:cs="Times New Roman" w:eastAsia="Times New Roman" w:hAnsi="Times New Roman"/>
          <w:sz w:val="18"/>
          <w:szCs w:val="18"/>
          <w:u w:val="single" w:color="auto"/>
          <w:color w:val="0000FF"/>
        </w:rPr>
      </w:pPr>
      <w:hyperlink r:id="rId145">
        <w:r>
          <w:rPr>
            <w:rFonts w:ascii="Times New Roman" w:cs="Times New Roman" w:eastAsia="Times New Roman" w:hAnsi="Times New Roman"/>
            <w:sz w:val="18"/>
            <w:szCs w:val="18"/>
            <w:u w:val="single" w:color="auto"/>
            <w:color w:val="0000FF"/>
          </w:rPr>
          <w:t>Schedule to Trademark License Agreement (Dockers® Brand) dated December 17, 2019, between Levi Strauss &amp; Co. and</w:t>
        </w:r>
      </w:hyperlink>
      <w:r>
        <w:rPr>
          <w:rFonts w:ascii="Times New Roman" w:cs="Times New Roman" w:eastAsia="Times New Roman" w:hAnsi="Times New Roman"/>
          <w:sz w:val="18"/>
          <w:szCs w:val="18"/>
          <w:u w:val="single" w:color="auto"/>
          <w:color w:val="0000FF"/>
        </w:rPr>
        <w:t xml:space="preserve"> </w:t>
      </w:r>
      <w:hyperlink r:id="rId145">
        <w:r>
          <w:rPr>
            <w:rFonts w:ascii="Times New Roman" w:cs="Times New Roman" w:eastAsia="Times New Roman" w:hAnsi="Times New Roman"/>
            <w:sz w:val="18"/>
            <w:szCs w:val="18"/>
            <w:u w:val="single" w:color="auto"/>
            <w:color w:val="0000FF"/>
          </w:rPr>
          <w:t>Genesco Inc.* Incorporated by reference to Exhibit (10)dd to the Company’s Annual Report on Form 10-K for the fiscal</w:t>
        </w:r>
      </w:hyperlink>
      <w:r>
        <w:rPr>
          <w:rFonts w:ascii="Times New Roman" w:cs="Times New Roman" w:eastAsia="Times New Roman" w:hAnsi="Times New Roman"/>
          <w:sz w:val="18"/>
          <w:szCs w:val="18"/>
          <w:u w:val="single" w:color="auto"/>
          <w:color w:val="0000FF"/>
        </w:rPr>
        <w:t xml:space="preserve"> </w:t>
      </w:r>
      <w:hyperlink r:id="rId145">
        <w:r>
          <w:rPr>
            <w:rFonts w:ascii="Times New Roman" w:cs="Times New Roman" w:eastAsia="Times New Roman" w:hAnsi="Times New Roman"/>
            <w:sz w:val="18"/>
            <w:szCs w:val="18"/>
            <w:u w:val="single" w:color="auto"/>
            <w:color w:val="0000FF"/>
          </w:rPr>
          <w:t>year ended February 1, 2020. (File No. 1-3083).</w:t>
        </w:r>
      </w:hyperlink>
    </w:p>
    <w:p>
      <w:pPr>
        <w:spacing w:after="0" w:line="1" w:lineRule="exact"/>
        <w:rPr>
          <w:rFonts w:ascii="Times New Roman" w:cs="Times New Roman" w:eastAsia="Times New Roman" w:hAnsi="Times New Roman"/>
          <w:sz w:val="18"/>
          <w:szCs w:val="18"/>
          <w:u w:val="single" w:color="auto"/>
          <w:color w:val="0000FF"/>
        </w:rPr>
      </w:pPr>
    </w:p>
    <w:p>
      <w:pPr>
        <w:jc w:val="both"/>
        <w:ind w:left="2340" w:right="40" w:hanging="590"/>
        <w:spacing w:after="0" w:line="250" w:lineRule="auto"/>
        <w:tabs>
          <w:tab w:leader="none" w:pos="2340" w:val="left"/>
        </w:tabs>
        <w:numPr>
          <w:ilvl w:val="0"/>
          <w:numId w:val="26"/>
        </w:numPr>
        <w:rPr>
          <w:rFonts w:ascii="Times New Roman" w:cs="Times New Roman" w:eastAsia="Times New Roman" w:hAnsi="Times New Roman"/>
          <w:sz w:val="18"/>
          <w:szCs w:val="18"/>
          <w:u w:val="single" w:color="auto"/>
          <w:color w:val="0000FF"/>
        </w:rPr>
      </w:pPr>
      <w:hyperlink r:id="rId145">
        <w:r>
          <w:rPr>
            <w:rFonts w:ascii="Times New Roman" w:cs="Times New Roman" w:eastAsia="Times New Roman" w:hAnsi="Times New Roman"/>
            <w:sz w:val="18"/>
            <w:szCs w:val="18"/>
            <w:u w:val="single" w:color="auto"/>
            <w:color w:val="0000FF"/>
          </w:rPr>
          <w:t>Amendment No. 1 to Trademark License Agreement, dated December 17, 2019, between Levi Strauss &amp; Co. and Genesco</w:t>
        </w:r>
      </w:hyperlink>
      <w:r>
        <w:rPr>
          <w:rFonts w:ascii="Times New Roman" w:cs="Times New Roman" w:eastAsia="Times New Roman" w:hAnsi="Times New Roman"/>
          <w:sz w:val="18"/>
          <w:szCs w:val="18"/>
          <w:u w:val="single" w:color="auto"/>
          <w:color w:val="0000FF"/>
        </w:rPr>
        <w:t xml:space="preserve"> </w:t>
      </w:r>
      <w:hyperlink r:id="rId145">
        <w:r>
          <w:rPr>
            <w:rFonts w:ascii="Times New Roman" w:cs="Times New Roman" w:eastAsia="Times New Roman" w:hAnsi="Times New Roman"/>
            <w:sz w:val="18"/>
            <w:szCs w:val="18"/>
            <w:u w:val="single" w:color="auto"/>
            <w:color w:val="0000FF"/>
          </w:rPr>
          <w:t>Inc.* Incorporated by reference to Exhibit (10)ee to the Company’s Annual Report on Form 10-K for the fiscal year ended</w:t>
        </w:r>
      </w:hyperlink>
      <w:r>
        <w:rPr>
          <w:rFonts w:ascii="Times New Roman" w:cs="Times New Roman" w:eastAsia="Times New Roman" w:hAnsi="Times New Roman"/>
          <w:sz w:val="18"/>
          <w:szCs w:val="18"/>
          <w:u w:val="single" w:color="auto"/>
          <w:color w:val="0000FF"/>
        </w:rPr>
        <w:t xml:space="preserve"> </w:t>
      </w:r>
      <w:hyperlink r:id="rId145">
        <w:r>
          <w:rPr>
            <w:rFonts w:ascii="Times New Roman" w:cs="Times New Roman" w:eastAsia="Times New Roman" w:hAnsi="Times New Roman"/>
            <w:sz w:val="18"/>
            <w:szCs w:val="18"/>
            <w:u w:val="single" w:color="auto"/>
            <w:color w:val="0000FF"/>
          </w:rPr>
          <w:t>February 1, 2020. (File No. 1-3083).</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1479550</wp:posOffset>
            </wp:positionH>
            <wp:positionV relativeFrom="paragraph">
              <wp:posOffset>-709930</wp:posOffset>
            </wp:positionV>
            <wp:extent cx="563245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68">
                      <a:extLst>
                        <a:ext uri="{28A0092B-C50C-407E-A947-70E740481C1C}"/>
                      </a:extLst>
                    </a:blip>
                    <a:srcRect/>
                    <a:stretch>
                      <a:fillRect/>
                    </a:stretch>
                  </pic:blipFill>
                  <pic:spPr bwMode="auto">
                    <a:xfrm>
                      <a:off x="0" y="0"/>
                      <a:ext cx="5632450" cy="8255"/>
                    </a:xfrm>
                    <a:prstGeom prst="rect">
                      <a:avLst/>
                    </a:prstGeom>
                    <a:noFill/>
                  </pic:spPr>
                </pic:pic>
              </a:graphicData>
            </a:graphic>
          </wp:anchor>
        </w:drawing>
        <w:drawing>
          <wp:anchor simplePos="0" relativeHeight="251657728" behindDoc="1" locked="0" layoutInCell="0" allowOverlap="1">
            <wp:simplePos x="0" y="0"/>
            <wp:positionH relativeFrom="column">
              <wp:posOffset>1479550</wp:posOffset>
            </wp:positionH>
            <wp:positionV relativeFrom="paragraph">
              <wp:posOffset>-572770</wp:posOffset>
            </wp:positionV>
            <wp:extent cx="553974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69">
                      <a:extLst>
                        <a:ext uri="{28A0092B-C50C-407E-A947-70E740481C1C}"/>
                      </a:extLst>
                    </a:blip>
                    <a:srcRect/>
                    <a:stretch>
                      <a:fillRect/>
                    </a:stretch>
                  </pic:blipFill>
                  <pic:spPr bwMode="auto">
                    <a:xfrm>
                      <a:off x="0" y="0"/>
                      <a:ext cx="5539740" cy="8890"/>
                    </a:xfrm>
                    <a:prstGeom prst="rect">
                      <a:avLst/>
                    </a:prstGeom>
                    <a:noFill/>
                  </pic:spPr>
                </pic:pic>
              </a:graphicData>
            </a:graphic>
          </wp:anchor>
        </w:drawing>
        <w:drawing>
          <wp:anchor simplePos="0" relativeHeight="251657728" behindDoc="1" locked="0" layoutInCell="0" allowOverlap="1">
            <wp:simplePos x="0" y="0"/>
            <wp:positionH relativeFrom="column">
              <wp:posOffset>1479550</wp:posOffset>
            </wp:positionH>
            <wp:positionV relativeFrom="paragraph">
              <wp:posOffset>-435610</wp:posOffset>
            </wp:positionV>
            <wp:extent cx="219900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70">
                      <a:extLst>
                        <a:ext uri="{28A0092B-C50C-407E-A947-70E740481C1C}"/>
                      </a:extLst>
                    </a:blip>
                    <a:srcRect/>
                    <a:stretch>
                      <a:fillRect/>
                    </a:stretch>
                  </pic:blipFill>
                  <pic:spPr bwMode="auto">
                    <a:xfrm>
                      <a:off x="0" y="0"/>
                      <a:ext cx="2199005" cy="8255"/>
                    </a:xfrm>
                    <a:prstGeom prst="rect">
                      <a:avLst/>
                    </a:prstGeom>
                    <a:noFill/>
                  </pic:spPr>
                </pic:pic>
              </a:graphicData>
            </a:graphic>
          </wp:anchor>
        </w:drawing>
        <w:drawing>
          <wp:anchor simplePos="0" relativeHeight="251657728" behindDoc="1" locked="0" layoutInCell="0" allowOverlap="1">
            <wp:simplePos x="0" y="0"/>
            <wp:positionH relativeFrom="column">
              <wp:posOffset>1479550</wp:posOffset>
            </wp:positionH>
            <wp:positionV relativeFrom="paragraph">
              <wp:posOffset>-298450</wp:posOffset>
            </wp:positionV>
            <wp:extent cx="563181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71">
                      <a:extLst>
                        <a:ext uri="{28A0092B-C50C-407E-A947-70E740481C1C}"/>
                      </a:extLst>
                    </a:blip>
                    <a:srcRect/>
                    <a:stretch>
                      <a:fillRect/>
                    </a:stretch>
                  </pic:blipFill>
                  <pic:spPr bwMode="auto">
                    <a:xfrm>
                      <a:off x="0" y="0"/>
                      <a:ext cx="5631815" cy="8255"/>
                    </a:xfrm>
                    <a:prstGeom prst="rect">
                      <a:avLst/>
                    </a:prstGeom>
                    <a:noFill/>
                  </pic:spPr>
                </pic:pic>
              </a:graphicData>
            </a:graphic>
          </wp:anchor>
        </w:drawing>
        <w:drawing>
          <wp:anchor simplePos="0" relativeHeight="251657728" behindDoc="1" locked="0" layoutInCell="0" allowOverlap="1">
            <wp:simplePos x="0" y="0"/>
            <wp:positionH relativeFrom="column">
              <wp:posOffset>1479550</wp:posOffset>
            </wp:positionH>
            <wp:positionV relativeFrom="paragraph">
              <wp:posOffset>-161290</wp:posOffset>
            </wp:positionV>
            <wp:extent cx="563118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72">
                      <a:extLst>
                        <a:ext uri="{28A0092B-C50C-407E-A947-70E740481C1C}"/>
                      </a:extLst>
                    </a:blip>
                    <a:srcRect/>
                    <a:stretch>
                      <a:fillRect/>
                    </a:stretch>
                  </pic:blipFill>
                  <pic:spPr bwMode="auto">
                    <a:xfrm>
                      <a:off x="0" y="0"/>
                      <a:ext cx="5631180" cy="8255"/>
                    </a:xfrm>
                    <a:prstGeom prst="rect">
                      <a:avLst/>
                    </a:prstGeom>
                    <a:noFill/>
                  </pic:spPr>
                </pic:pic>
              </a:graphicData>
            </a:graphic>
          </wp:anchor>
        </w:drawing>
        <w:drawing>
          <wp:anchor simplePos="0" relativeHeight="251657728" behindDoc="1" locked="0" layoutInCell="0" allowOverlap="1">
            <wp:simplePos x="0" y="0"/>
            <wp:positionH relativeFrom="column">
              <wp:posOffset>1479550</wp:posOffset>
            </wp:positionH>
            <wp:positionV relativeFrom="paragraph">
              <wp:posOffset>-24130</wp:posOffset>
            </wp:positionV>
            <wp:extent cx="167259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73">
                      <a:extLst>
                        <a:ext uri="{28A0092B-C50C-407E-A947-70E740481C1C}"/>
                      </a:extLst>
                    </a:blip>
                    <a:srcRect/>
                    <a:stretch>
                      <a:fillRect/>
                    </a:stretch>
                  </pic:blipFill>
                  <pic:spPr bwMode="auto">
                    <a:xfrm>
                      <a:off x="0" y="0"/>
                      <a:ext cx="1672590" cy="8255"/>
                    </a:xfrm>
                    <a:prstGeom prst="rect">
                      <a:avLst/>
                    </a:prstGeom>
                    <a:noFill/>
                  </pic:spPr>
                </pic:pic>
              </a:graphicData>
            </a:graphic>
          </wp:anchor>
        </w:drawing>
      </w:r>
    </w:p>
    <w:tbl>
      <w:tblPr>
        <w:tblLayout w:type="fixed"/>
        <w:tblInd w:w="700" w:type="dxa"/>
        <w:tblCellMar>
          <w:top w:w="0" w:type="dxa"/>
          <w:left w:w="0" w:type="dxa"/>
          <w:bottom w:w="0" w:type="dxa"/>
          <w:right w:w="0" w:type="dxa"/>
        </w:tblCellMar>
      </w:tblPr>
      <w:tr>
        <w:trPr>
          <w:trHeight w:val="177"/>
        </w:trPr>
        <w:tc>
          <w:tcPr>
            <w:tcW w:w="166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(19)</w:t>
            </w:r>
          </w:p>
        </w:tc>
        <w:tc>
          <w:tcPr>
            <w:tcW w:w="8840" w:type="dxa"/>
            <w:vAlign w:val="bottom"/>
            <w:gridSpan w:val="9"/>
          </w:tcPr>
          <w:p>
            <w:pPr>
              <w:spacing w:after="0" w:line="176" w:lineRule="exact"/>
              <w:rPr>
                <w:sz w:val="20"/>
                <w:szCs w:val="20"/>
                <w:color w:val="auto"/>
              </w:rPr>
            </w:pPr>
            <w:r>
              <w:rPr>
                <w:rFonts w:ascii="Times New Roman" w:cs="Times New Roman" w:eastAsia="Times New Roman" w:hAnsi="Times New Roman"/>
                <w:sz w:val="18"/>
                <w:szCs w:val="18"/>
                <w:color w:val="0000FF"/>
              </w:rPr>
              <w:t>Insider Trading Policy</w:t>
            </w:r>
          </w:p>
        </w:tc>
      </w:tr>
      <w:tr>
        <w:trPr>
          <w:trHeight w:val="20"/>
        </w:trPr>
        <w:tc>
          <w:tcPr>
            <w:tcW w:w="1660" w:type="dxa"/>
            <w:vAlign w:val="bottom"/>
            <w:tcBorders>
              <w:right w:val="single" w:sz="8" w:color="0000EE"/>
            </w:tcBorders>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EE"/>
            </w:tcBorders>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6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(21)</w:t>
            </w:r>
          </w:p>
        </w:tc>
        <w:tc>
          <w:tcPr>
            <w:tcW w:w="884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FF"/>
              </w:rPr>
              <w:t>Subsidiaries of the Company</w:t>
            </w:r>
          </w:p>
        </w:tc>
      </w:tr>
      <w:tr>
        <w:trPr>
          <w:trHeight w:val="20"/>
        </w:trPr>
        <w:tc>
          <w:tcPr>
            <w:tcW w:w="1660" w:type="dxa"/>
            <w:vAlign w:val="bottom"/>
            <w:tcBorders>
              <w:right w:val="single" w:sz="8" w:color="0000EE"/>
            </w:tcBorders>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tcBorders>
              <w:right w:val="single" w:sz="8" w:color="0000EE"/>
            </w:tcBorders>
            <w:gridSpan w:val="2"/>
            <w:shd w:val="clear" w:color="auto" w:fill="0000FF"/>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6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(23)</w:t>
            </w:r>
          </w:p>
        </w:tc>
        <w:tc>
          <w:tcPr>
            <w:tcW w:w="884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FF"/>
              </w:rPr>
              <w:t>Consent of Ernst &amp; Young LLP, Independent Registered Public Accounting Firm included on page 89.</w:t>
            </w:r>
          </w:p>
        </w:tc>
      </w:tr>
      <w:tr>
        <w:trPr>
          <w:trHeight w:val="20"/>
        </w:trPr>
        <w:tc>
          <w:tcPr>
            <w:tcW w:w="1660" w:type="dxa"/>
            <w:vAlign w:val="bottom"/>
            <w:tcBorders>
              <w:right w:val="single" w:sz="8" w:color="0000EE"/>
            </w:tcBorders>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tcBorders>
              <w:right w:val="single" w:sz="8" w:color="0000FF"/>
            </w:tcBorders>
            <w:gridSpan w:val="2"/>
            <w:shd w:val="clear" w:color="auto" w:fill="0000FF"/>
          </w:tcPr>
          <w:p>
            <w:pPr>
              <w:spacing w:after="0" w:line="20" w:lineRule="exact"/>
              <w:rPr>
                <w:sz w:val="1"/>
                <w:szCs w:val="1"/>
                <w:color w:val="auto"/>
              </w:rPr>
            </w:pPr>
          </w:p>
        </w:tc>
        <w:tc>
          <w:tcPr>
            <w:tcW w:w="53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6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(24)</w:t>
            </w:r>
          </w:p>
        </w:tc>
        <w:tc>
          <w:tcPr>
            <w:tcW w:w="884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FF"/>
              </w:rPr>
              <w:t>Power of Attorney</w:t>
            </w:r>
          </w:p>
        </w:tc>
      </w:tr>
      <w:tr>
        <w:trPr>
          <w:trHeight w:val="20"/>
        </w:trPr>
        <w:tc>
          <w:tcPr>
            <w:tcW w:w="1660" w:type="dxa"/>
            <w:vAlign w:val="bottom"/>
            <w:tcBorders>
              <w:right w:val="single" w:sz="8" w:color="0000EE"/>
            </w:tcBorders>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EE"/>
            </w:tcBorders>
            <w:shd w:val="clear" w:color="auto" w:fill="0000FF"/>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536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6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(31.1)</w:t>
            </w:r>
          </w:p>
        </w:tc>
        <w:tc>
          <w:tcPr>
            <w:tcW w:w="884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the Chief Executive Officer Pursuant to Section 302 of the Sarbanes-Oxley Act of 2002.</w:t>
            </w:r>
          </w:p>
        </w:tc>
      </w:tr>
      <w:tr>
        <w:trPr>
          <w:trHeight w:val="20"/>
        </w:trPr>
        <w:tc>
          <w:tcPr>
            <w:tcW w:w="1660" w:type="dxa"/>
            <w:vAlign w:val="bottom"/>
            <w:tcBorders>
              <w:right w:val="single" w:sz="8" w:color="0000EE"/>
            </w:tcBorders>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1160" w:type="dxa"/>
            <w:vAlign w:val="bottom"/>
            <w:tcBorders>
              <w:right w:val="single" w:sz="8" w:color="0000FF"/>
            </w:tcBorders>
            <w:gridSpan w:val="3"/>
            <w:shd w:val="clear" w:color="auto" w:fill="0000FF"/>
          </w:tcPr>
          <w:p>
            <w:pPr>
              <w:spacing w:after="0" w:line="20" w:lineRule="exact"/>
              <w:rPr>
                <w:sz w:val="1"/>
                <w:szCs w:val="1"/>
                <w:color w:val="auto"/>
              </w:rPr>
            </w:pPr>
          </w:p>
        </w:tc>
        <w:tc>
          <w:tcPr>
            <w:tcW w:w="5360" w:type="dxa"/>
            <w:vAlign w:val="bottom"/>
            <w:tcBorders>
              <w:right w:val="single" w:sz="8" w:color="0000FF"/>
            </w:tcBorders>
            <w:gridSpan w:val="2"/>
            <w:shd w:val="clear" w:color="auto" w:fill="0000FF"/>
          </w:tcPr>
          <w:p>
            <w:pPr>
              <w:spacing w:after="0" w:line="20" w:lineRule="exact"/>
              <w:rPr>
                <w:sz w:val="1"/>
                <w:szCs w:val="1"/>
                <w:color w:val="auto"/>
              </w:rPr>
            </w:pPr>
          </w:p>
        </w:tc>
        <w:tc>
          <w:tcPr>
            <w:tcW w:w="118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6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884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the Chief Financial Officer Pursuant to Section 302 of the Sarbanes-Oxley Act of 2002.</w:t>
            </w:r>
          </w:p>
        </w:tc>
      </w:tr>
      <w:tr>
        <w:trPr>
          <w:trHeight w:val="20"/>
        </w:trPr>
        <w:tc>
          <w:tcPr>
            <w:tcW w:w="1660" w:type="dxa"/>
            <w:vAlign w:val="bottom"/>
            <w:tcBorders>
              <w:right w:val="single" w:sz="8" w:color="0000EE"/>
            </w:tcBorders>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1160" w:type="dxa"/>
            <w:vAlign w:val="bottom"/>
            <w:tcBorders>
              <w:right w:val="single" w:sz="8" w:color="0000FF"/>
            </w:tcBorders>
            <w:gridSpan w:val="3"/>
            <w:shd w:val="clear" w:color="auto" w:fill="0000FF"/>
          </w:tcPr>
          <w:p>
            <w:pPr>
              <w:spacing w:after="0" w:line="20" w:lineRule="exact"/>
              <w:rPr>
                <w:sz w:val="1"/>
                <w:szCs w:val="1"/>
                <w:color w:val="auto"/>
              </w:rPr>
            </w:pPr>
          </w:p>
        </w:tc>
        <w:tc>
          <w:tcPr>
            <w:tcW w:w="5360" w:type="dxa"/>
            <w:vAlign w:val="bottom"/>
            <w:tcBorders>
              <w:right w:val="single" w:sz="8" w:color="0000EE"/>
            </w:tcBorders>
            <w:gridSpan w:val="2"/>
            <w:shd w:val="clear" w:color="auto" w:fill="0000FF"/>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6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884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FF"/>
                <w:w w:val="99"/>
              </w:rPr>
              <w:t>Certification of the Chief Executive Officer Pursuant to 18 U.S.C. Section 1350, as Adopted Pursuant to Section 906 of the</w:t>
            </w:r>
          </w:p>
        </w:tc>
      </w:tr>
      <w:tr>
        <w:trPr>
          <w:trHeight w:val="20"/>
        </w:trPr>
        <w:tc>
          <w:tcPr>
            <w:tcW w:w="1660" w:type="dxa"/>
            <w:vAlign w:val="bottom"/>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1160" w:type="dxa"/>
            <w:vAlign w:val="bottom"/>
            <w:tcBorders>
              <w:right w:val="single" w:sz="8" w:color="0000FF"/>
            </w:tcBorders>
            <w:gridSpan w:val="3"/>
            <w:shd w:val="clear" w:color="auto" w:fill="0000FF"/>
          </w:tcPr>
          <w:p>
            <w:pPr>
              <w:spacing w:after="0" w:line="20" w:lineRule="exact"/>
              <w:rPr>
                <w:sz w:val="1"/>
                <w:szCs w:val="1"/>
                <w:color w:val="auto"/>
              </w:rPr>
            </w:pPr>
          </w:p>
        </w:tc>
        <w:tc>
          <w:tcPr>
            <w:tcW w:w="6540" w:type="dxa"/>
            <w:vAlign w:val="bottom"/>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96"/>
        </w:trPr>
        <w:tc>
          <w:tcPr>
            <w:tcW w:w="1660" w:type="dxa"/>
            <w:vAlign w:val="bottom"/>
          </w:tcPr>
          <w:p>
            <w:pPr>
              <w:spacing w:after="0"/>
              <w:rPr>
                <w:sz w:val="17"/>
                <w:szCs w:val="17"/>
                <w:color w:val="auto"/>
              </w:rPr>
            </w:pPr>
          </w:p>
        </w:tc>
        <w:tc>
          <w:tcPr>
            <w:tcW w:w="884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FF"/>
              </w:rPr>
              <w:t>Sarbanes-Oxley Act of 2002.</w:t>
            </w:r>
          </w:p>
        </w:tc>
      </w:tr>
      <w:tr>
        <w:trPr>
          <w:trHeight w:val="20"/>
        </w:trPr>
        <w:tc>
          <w:tcPr>
            <w:tcW w:w="1660" w:type="dxa"/>
            <w:vAlign w:val="bottom"/>
            <w:tcBorders>
              <w:right w:val="single" w:sz="8" w:color="0000EE"/>
            </w:tcBorders>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1160" w:type="dxa"/>
            <w:vAlign w:val="bottom"/>
            <w:tcBorders>
              <w:right w:val="single" w:sz="8" w:color="0000FF"/>
            </w:tcBorders>
            <w:gridSpan w:val="3"/>
            <w:shd w:val="clear" w:color="auto" w:fill="0000FF"/>
          </w:tcPr>
          <w:p>
            <w:pPr>
              <w:spacing w:after="0" w:line="20" w:lineRule="exact"/>
              <w:rPr>
                <w:sz w:val="1"/>
                <w:szCs w:val="1"/>
                <w:color w:val="auto"/>
              </w:rPr>
            </w:pPr>
          </w:p>
        </w:tc>
        <w:tc>
          <w:tcPr>
            <w:tcW w:w="654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6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(32.2)</w:t>
            </w:r>
          </w:p>
        </w:tc>
        <w:tc>
          <w:tcPr>
            <w:tcW w:w="884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FF"/>
                <w:w w:val="99"/>
              </w:rPr>
              <w:t>Certification of the Chief Financial Officer Pursuant to 18 U.S.C. Section 1350, as Adopted Pursuant to Section 906 of the</w:t>
            </w:r>
          </w:p>
        </w:tc>
      </w:tr>
      <w:tr>
        <w:trPr>
          <w:trHeight w:val="20"/>
        </w:trPr>
        <w:tc>
          <w:tcPr>
            <w:tcW w:w="1660" w:type="dxa"/>
            <w:vAlign w:val="bottom"/>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7700" w:type="dxa"/>
            <w:vAlign w:val="bottom"/>
            <w:gridSpan w:val="6"/>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96"/>
        </w:trPr>
        <w:tc>
          <w:tcPr>
            <w:tcW w:w="1660" w:type="dxa"/>
            <w:vAlign w:val="bottom"/>
          </w:tcPr>
          <w:p>
            <w:pPr>
              <w:spacing w:after="0"/>
              <w:rPr>
                <w:sz w:val="17"/>
                <w:szCs w:val="17"/>
                <w:color w:val="auto"/>
              </w:rPr>
            </w:pPr>
          </w:p>
        </w:tc>
        <w:tc>
          <w:tcPr>
            <w:tcW w:w="884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FF"/>
              </w:rPr>
              <w:t>Sarbanes-Oxley Act of 2002.</w:t>
            </w:r>
          </w:p>
        </w:tc>
      </w:tr>
      <w:tr>
        <w:trPr>
          <w:trHeight w:val="20"/>
        </w:trPr>
        <w:tc>
          <w:tcPr>
            <w:tcW w:w="1660" w:type="dxa"/>
            <w:vAlign w:val="bottom"/>
            <w:tcBorders>
              <w:right w:val="single" w:sz="8" w:color="0000EE"/>
            </w:tcBorders>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1160" w:type="dxa"/>
            <w:vAlign w:val="bottom"/>
            <w:tcBorders>
              <w:right w:val="single" w:sz="8" w:color="0000FF"/>
            </w:tcBorders>
            <w:gridSpan w:val="3"/>
            <w:shd w:val="clear" w:color="auto" w:fill="0000FF"/>
          </w:tcPr>
          <w:p>
            <w:pPr>
              <w:spacing w:after="0" w:line="20" w:lineRule="exact"/>
              <w:rPr>
                <w:sz w:val="1"/>
                <w:szCs w:val="1"/>
                <w:color w:val="auto"/>
              </w:rPr>
            </w:pPr>
          </w:p>
        </w:tc>
        <w:tc>
          <w:tcPr>
            <w:tcW w:w="654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6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(97)</w:t>
            </w:r>
          </w:p>
        </w:tc>
        <w:tc>
          <w:tcPr>
            <w:tcW w:w="8840" w:type="dxa"/>
            <w:vAlign w:val="bottom"/>
            <w:gridSpan w:val="9"/>
          </w:tcPr>
          <w:p>
            <w:pPr>
              <w:spacing w:after="0" w:line="196" w:lineRule="exact"/>
              <w:rPr>
                <w:rFonts w:ascii="Times New Roman" w:cs="Times New Roman" w:eastAsia="Times New Roman" w:hAnsi="Times New Roman"/>
                <w:sz w:val="18"/>
                <w:szCs w:val="18"/>
                <w:color w:val="0000FF"/>
              </w:rPr>
            </w:pPr>
            <w:hyperlink r:id="rId274">
              <w:r>
                <w:rPr>
                  <w:rFonts w:ascii="Times New Roman" w:cs="Times New Roman" w:eastAsia="Times New Roman" w:hAnsi="Times New Roman"/>
                  <w:sz w:val="18"/>
                  <w:szCs w:val="18"/>
                  <w:color w:val="0000FF"/>
                </w:rPr>
                <w:t>Genesco Inc. Amended and Restated Compensation Recoupment Policy, dated as of October 26, 2023. Incorporated by</w:t>
              </w:r>
            </w:hyperlink>
          </w:p>
        </w:tc>
      </w:tr>
      <w:tr>
        <w:trPr>
          <w:trHeight w:val="20"/>
        </w:trPr>
        <w:tc>
          <w:tcPr>
            <w:tcW w:w="1660" w:type="dxa"/>
            <w:vAlign w:val="bottom"/>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7700" w:type="dxa"/>
            <w:vAlign w:val="bottom"/>
            <w:gridSpan w:val="6"/>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660" w:type="dxa"/>
            <w:vAlign w:val="bottom"/>
          </w:tcPr>
          <w:p>
            <w:pPr>
              <w:spacing w:after="0"/>
              <w:rPr>
                <w:sz w:val="17"/>
                <w:szCs w:val="17"/>
                <w:color w:val="auto"/>
              </w:rPr>
            </w:pPr>
          </w:p>
        </w:tc>
        <w:tc>
          <w:tcPr>
            <w:tcW w:w="8840" w:type="dxa"/>
            <w:vAlign w:val="bottom"/>
            <w:gridSpan w:val="9"/>
          </w:tcPr>
          <w:p>
            <w:pPr>
              <w:spacing w:after="0" w:line="196" w:lineRule="exact"/>
              <w:rPr>
                <w:rFonts w:ascii="Times New Roman" w:cs="Times New Roman" w:eastAsia="Times New Roman" w:hAnsi="Times New Roman"/>
                <w:sz w:val="18"/>
                <w:szCs w:val="18"/>
                <w:color w:val="0000FF"/>
              </w:rPr>
            </w:pPr>
            <w:hyperlink r:id="rId274">
              <w:r>
                <w:rPr>
                  <w:rFonts w:ascii="Times New Roman" w:cs="Times New Roman" w:eastAsia="Times New Roman" w:hAnsi="Times New Roman"/>
                  <w:sz w:val="18"/>
                  <w:szCs w:val="18"/>
                  <w:color w:val="0000FF"/>
                </w:rPr>
                <w:t>reference to Exhibit (97) to the Company's Annual Report on Form 10-K for the fiscal year ended February 3, 2024. (File</w:t>
              </w:r>
            </w:hyperlink>
          </w:p>
        </w:tc>
      </w:tr>
      <w:tr>
        <w:trPr>
          <w:trHeight w:val="20"/>
        </w:trPr>
        <w:tc>
          <w:tcPr>
            <w:tcW w:w="1660" w:type="dxa"/>
            <w:vAlign w:val="bottom"/>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7840" w:type="dxa"/>
            <w:vAlign w:val="bottom"/>
            <w:gridSpan w:val="7"/>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660" w:type="dxa"/>
            <w:vAlign w:val="bottom"/>
          </w:tcPr>
          <w:p>
            <w:pPr>
              <w:spacing w:after="0"/>
              <w:rPr>
                <w:sz w:val="17"/>
                <w:szCs w:val="17"/>
                <w:color w:val="auto"/>
              </w:rPr>
            </w:pPr>
          </w:p>
        </w:tc>
        <w:tc>
          <w:tcPr>
            <w:tcW w:w="8840" w:type="dxa"/>
            <w:vAlign w:val="bottom"/>
            <w:gridSpan w:val="9"/>
          </w:tcPr>
          <w:p>
            <w:pPr>
              <w:spacing w:after="0" w:line="196" w:lineRule="exact"/>
              <w:rPr>
                <w:rFonts w:ascii="Times New Roman" w:cs="Times New Roman" w:eastAsia="Times New Roman" w:hAnsi="Times New Roman"/>
                <w:sz w:val="18"/>
                <w:szCs w:val="18"/>
                <w:color w:val="0000FF"/>
              </w:rPr>
            </w:pPr>
            <w:hyperlink r:id="rId274">
              <w:r>
                <w:rPr>
                  <w:rFonts w:ascii="Times New Roman" w:cs="Times New Roman" w:eastAsia="Times New Roman" w:hAnsi="Times New Roman"/>
                  <w:sz w:val="18"/>
                  <w:szCs w:val="18"/>
                  <w:color w:val="0000FF"/>
                </w:rPr>
                <w:t>No. 1-3083).</w:t>
              </w:r>
            </w:hyperlink>
          </w:p>
        </w:tc>
      </w:tr>
      <w:tr>
        <w:trPr>
          <w:trHeight w:val="20"/>
        </w:trPr>
        <w:tc>
          <w:tcPr>
            <w:tcW w:w="1660" w:type="dxa"/>
            <w:vAlign w:val="bottom"/>
            <w:tcBorders>
              <w:right w:val="single" w:sz="8" w:color="0000EE"/>
            </w:tcBorders>
          </w:tcPr>
          <w:p>
            <w:pPr>
              <w:spacing w:after="0" w:line="20" w:lineRule="exact"/>
              <w:rPr>
                <w:sz w:val="1"/>
                <w:szCs w:val="1"/>
                <w:color w:val="auto"/>
              </w:rPr>
            </w:pPr>
          </w:p>
        </w:tc>
        <w:tc>
          <w:tcPr>
            <w:tcW w:w="920" w:type="dxa"/>
            <w:vAlign w:val="bottom"/>
            <w:tcBorders>
              <w:right w:val="single" w:sz="8" w:color="0000EE"/>
            </w:tcBorders>
            <w:shd w:val="clear" w:color="auto" w:fill="0000FF"/>
          </w:tcPr>
          <w:p>
            <w:pPr>
              <w:spacing w:after="0" w:line="20" w:lineRule="exact"/>
              <w:rPr>
                <w:sz w:val="1"/>
                <w:szCs w:val="1"/>
                <w:color w:val="auto"/>
              </w:rPr>
            </w:pPr>
          </w:p>
        </w:tc>
        <w:tc>
          <w:tcPr>
            <w:tcW w:w="7920" w:type="dxa"/>
            <w:vAlign w:val="bottom"/>
            <w:gridSpan w:val="8"/>
          </w:tcPr>
          <w:p>
            <w:pPr>
              <w:spacing w:after="0" w:line="20" w:lineRule="exact"/>
              <w:rPr>
                <w:sz w:val="1"/>
                <w:szCs w:val="1"/>
                <w:color w:val="auto"/>
              </w:rPr>
            </w:pPr>
          </w:p>
        </w:tc>
      </w:tr>
      <w:tr>
        <w:trPr>
          <w:trHeight w:val="218"/>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88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The following materials from Genesco Inc.'s Annual Form on Form 10-K for the year ended February 1, 2025, formatted</w:t>
            </w:r>
          </w:p>
        </w:tc>
      </w:tr>
      <w:tr>
        <w:trPr>
          <w:trHeight w:val="216"/>
        </w:trPr>
        <w:tc>
          <w:tcPr>
            <w:tcW w:w="1660" w:type="dxa"/>
            <w:vAlign w:val="bottom"/>
          </w:tcPr>
          <w:p>
            <w:pPr>
              <w:spacing w:after="0"/>
              <w:rPr>
                <w:sz w:val="18"/>
                <w:szCs w:val="18"/>
                <w:color w:val="auto"/>
              </w:rPr>
            </w:pPr>
          </w:p>
        </w:tc>
        <w:tc>
          <w:tcPr>
            <w:tcW w:w="88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 Inline XBRL (eXtensible Business Reporting Language): (i) Consolidated Balance Sheets at February 1, 2025 and</w:t>
            </w:r>
          </w:p>
        </w:tc>
      </w:tr>
      <w:tr>
        <w:trPr>
          <w:trHeight w:val="216"/>
        </w:trPr>
        <w:tc>
          <w:tcPr>
            <w:tcW w:w="1660" w:type="dxa"/>
            <w:vAlign w:val="bottom"/>
          </w:tcPr>
          <w:p>
            <w:pPr>
              <w:spacing w:after="0"/>
              <w:rPr>
                <w:sz w:val="18"/>
                <w:szCs w:val="18"/>
                <w:color w:val="auto"/>
              </w:rPr>
            </w:pPr>
          </w:p>
        </w:tc>
        <w:tc>
          <w:tcPr>
            <w:tcW w:w="8840" w:type="dxa"/>
            <w:vAlign w:val="bottom"/>
            <w:gridSpan w:val="9"/>
          </w:tcPr>
          <w:p>
            <w:pPr>
              <w:spacing w:after="0"/>
              <w:rPr>
                <w:sz w:val="20"/>
                <w:szCs w:val="20"/>
                <w:color w:val="auto"/>
              </w:rPr>
            </w:pPr>
            <w:r>
              <w:rPr>
                <w:rFonts w:ascii="Times New Roman" w:cs="Times New Roman" w:eastAsia="Times New Roman" w:hAnsi="Times New Roman"/>
                <w:sz w:val="18"/>
                <w:szCs w:val="18"/>
                <w:color w:val="auto"/>
                <w:w w:val="99"/>
              </w:rPr>
              <w:t>February 3, 2024, (ii) Consolidated Statements of Operations for each of the three fiscal years ended 2025, 2024 and 2023,</w:t>
            </w:r>
          </w:p>
        </w:tc>
      </w:tr>
      <w:tr>
        <w:trPr>
          <w:trHeight w:val="216"/>
        </w:trPr>
        <w:tc>
          <w:tcPr>
            <w:tcW w:w="1660" w:type="dxa"/>
            <w:vAlign w:val="bottom"/>
          </w:tcPr>
          <w:p>
            <w:pPr>
              <w:spacing w:after="0"/>
              <w:rPr>
                <w:sz w:val="18"/>
                <w:szCs w:val="18"/>
                <w:color w:val="auto"/>
              </w:rPr>
            </w:pPr>
          </w:p>
        </w:tc>
        <w:tc>
          <w:tcPr>
            <w:tcW w:w="88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(iii) Consolidated Statements of Comprehensive Income (Loss) for each of the three fiscal years ended 2025, 2024 and</w:t>
            </w:r>
          </w:p>
        </w:tc>
      </w:tr>
      <w:tr>
        <w:trPr>
          <w:trHeight w:val="216"/>
        </w:trPr>
        <w:tc>
          <w:tcPr>
            <w:tcW w:w="1660" w:type="dxa"/>
            <w:vAlign w:val="bottom"/>
          </w:tcPr>
          <w:p>
            <w:pPr>
              <w:spacing w:after="0"/>
              <w:rPr>
                <w:sz w:val="18"/>
                <w:szCs w:val="18"/>
                <w:color w:val="auto"/>
              </w:rPr>
            </w:pPr>
          </w:p>
        </w:tc>
        <w:tc>
          <w:tcPr>
            <w:tcW w:w="88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2023, (iv) Consolidated Statements of Cash Flows for each of the three fiscal years ended 2025, 2024 and 2023, (v)</w:t>
            </w:r>
          </w:p>
        </w:tc>
      </w:tr>
      <w:tr>
        <w:trPr>
          <w:trHeight w:val="216"/>
        </w:trPr>
        <w:tc>
          <w:tcPr>
            <w:tcW w:w="1660" w:type="dxa"/>
            <w:vAlign w:val="bottom"/>
          </w:tcPr>
          <w:p>
            <w:pPr>
              <w:spacing w:after="0"/>
              <w:rPr>
                <w:sz w:val="18"/>
                <w:szCs w:val="18"/>
                <w:color w:val="auto"/>
              </w:rPr>
            </w:pPr>
          </w:p>
        </w:tc>
        <w:tc>
          <w:tcPr>
            <w:tcW w:w="88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Consolidated Statements of Equity for each of the three fiscal years ended 2025, 2024 and 2023, and (vi) Notes to</w:t>
            </w:r>
          </w:p>
        </w:tc>
      </w:tr>
      <w:tr>
        <w:trPr>
          <w:trHeight w:val="216"/>
        </w:trPr>
        <w:tc>
          <w:tcPr>
            <w:tcW w:w="1660" w:type="dxa"/>
            <w:vAlign w:val="bottom"/>
          </w:tcPr>
          <w:p>
            <w:pPr>
              <w:spacing w:after="0"/>
              <w:rPr>
                <w:sz w:val="18"/>
                <w:szCs w:val="18"/>
                <w:color w:val="auto"/>
              </w:rPr>
            </w:pPr>
          </w:p>
        </w:tc>
        <w:tc>
          <w:tcPr>
            <w:tcW w:w="88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Consolidated Financial Statements.</w:t>
            </w:r>
          </w:p>
        </w:tc>
      </w:tr>
      <w:tr>
        <w:trPr>
          <w:trHeight w:val="234"/>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88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bl>
    <w:p>
      <w:pPr>
        <w:spacing w:after="0" w:line="198"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Exhibits (10)e through (10)u and (10)x through (10)ff are Management Contracts or Compensatory Plans or Arrangements required to be filed as Exhibits to this Annual Report on Form 10-K.</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Certain portions of this exhibit have been omitted pursuant to a request for confidential treatment.</w:t>
      </w:r>
    </w:p>
    <w:p>
      <w:pPr>
        <w:spacing w:after="0" w:line="198" w:lineRule="exact"/>
        <w:rPr>
          <w:sz w:val="20"/>
          <w:szCs w:val="20"/>
          <w:color w:val="auto"/>
        </w:rPr>
      </w:pPr>
    </w:p>
    <w:p>
      <w:pPr>
        <w:jc w:val="both"/>
        <w:ind w:right="520"/>
        <w:spacing w:after="0" w:line="266" w:lineRule="auto"/>
        <w:rPr>
          <w:sz w:val="20"/>
          <w:szCs w:val="20"/>
          <w:color w:val="auto"/>
        </w:rPr>
      </w:pPr>
      <w:r>
        <w:rPr>
          <w:rFonts w:ascii="Times New Roman" w:cs="Times New Roman" w:eastAsia="Times New Roman" w:hAnsi="Times New Roman"/>
          <w:sz w:val="18"/>
          <w:szCs w:val="18"/>
          <w:color w:val="auto"/>
        </w:rPr>
        <w:t>A copy of any of the above described exhibits will be furnished to the shareholders upon written request, addressed to Director, Corporate Relations, Genesco Inc., 535 Marriott Drive, 12th Floor, Nashville, Tennessee 37215, accompanied by a check in the amount of $15.00 payable to Genesco Inc.</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16. FORM 10-K SUMMARY</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88" w:name="page89"/>
    <w:bookmarkEnd w:id="88"/>
    <w:p>
      <w:pPr>
        <w:ind w:right="2760" w:firstLine="3317"/>
        <w:spacing w:after="0" w:line="464" w:lineRule="auto"/>
        <w:rPr>
          <w:sz w:val="20"/>
          <w:szCs w:val="20"/>
          <w:color w:val="auto"/>
        </w:rPr>
      </w:pPr>
      <w:r>
        <w:rPr>
          <w:rFonts w:ascii="Times New Roman" w:cs="Times New Roman" w:eastAsia="Times New Roman" w:hAnsi="Times New Roman"/>
          <w:sz w:val="18"/>
          <w:szCs w:val="18"/>
          <w:b w:val="1"/>
          <w:bCs w:val="1"/>
          <w:color w:val="auto"/>
        </w:rPr>
        <w:t xml:space="preserve">Consent of Independent Registered Public Accounting Firm </w:t>
      </w:r>
      <w:r>
        <w:rPr>
          <w:rFonts w:ascii="Times New Roman" w:cs="Times New Roman" w:eastAsia="Times New Roman" w:hAnsi="Times New Roman"/>
          <w:sz w:val="18"/>
          <w:szCs w:val="18"/>
          <w:color w:val="auto"/>
        </w:rPr>
        <w:t>We consent to the incorporation by reference in the following Registration Statements:</w:t>
      </w:r>
    </w:p>
    <w:p>
      <w:pPr>
        <w:ind w:left="260" w:hanging="252"/>
        <w:spacing w:after="0"/>
        <w:tabs>
          <w:tab w:leader="none" w:pos="2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333-08463) of Genesco Inc.,</w:t>
      </w:r>
    </w:p>
    <w:p>
      <w:pPr>
        <w:spacing w:after="0" w:line="184"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333-104908) of Genesco Inc.,</w:t>
      </w:r>
    </w:p>
    <w:p>
      <w:pPr>
        <w:spacing w:after="0" w:line="184"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333-40249) of Genesco Inc.,</w:t>
      </w:r>
    </w:p>
    <w:p>
      <w:pPr>
        <w:spacing w:after="0" w:line="198"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333-128201) of Genesco Inc.,</w:t>
      </w:r>
    </w:p>
    <w:p>
      <w:pPr>
        <w:spacing w:after="0" w:line="184"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333-160339) of Genesco Inc.,</w:t>
      </w:r>
    </w:p>
    <w:p>
      <w:pPr>
        <w:spacing w:after="0" w:line="184"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333-180463) of Genesco Inc.,</w:t>
      </w:r>
    </w:p>
    <w:p>
      <w:pPr>
        <w:spacing w:after="0" w:line="198"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333-218670) of Genesco Inc.,</w:t>
      </w:r>
    </w:p>
    <w:p>
      <w:pPr>
        <w:spacing w:after="0" w:line="184"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333-248715) of Genesco Inc.,</w:t>
      </w:r>
    </w:p>
    <w:p>
      <w:pPr>
        <w:spacing w:after="0" w:line="184"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333-274394) of Genesco Inc., and</w:t>
      </w:r>
    </w:p>
    <w:p>
      <w:pPr>
        <w:spacing w:after="0" w:line="198"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333-282063) of Genesco Inc.</w:t>
      </w:r>
    </w:p>
    <w:p>
      <w:pPr>
        <w:spacing w:after="0" w:line="1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of our reports dated March 26, 2025, with respect to the consolidated financial statements of Genesco Inc. and Subsidiaries and the effectiveness of internal control over financial reporting of Genesco Inc. and Subsidiaries included in this Annual Report (Form 10-K) of Genesco Inc. for the year ended February 1, 2025, and the financial statement schedule of Genesco Inc. and Subsidiaries included herein.</w:t>
      </w:r>
    </w:p>
    <w:p>
      <w:pPr>
        <w:spacing w:after="0" w:line="21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Nashville, Tennessee</w:t>
      </w:r>
    </w:p>
    <w:p>
      <w:pPr>
        <w:spacing w:after="0" w:line="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March 26, 2025</w:t>
      </w:r>
    </w:p>
    <w:p>
      <w:pPr>
        <w:spacing w:after="0" w:line="200" w:lineRule="exact"/>
        <w:rPr>
          <w:sz w:val="20"/>
          <w:szCs w:val="20"/>
          <w:color w:val="auto"/>
        </w:rPr>
      </w:pPr>
    </w:p>
    <w:p>
      <w:pPr>
        <w:spacing w:after="0" w:line="26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80"/>
          </w:cols>
          <w:pgMar w:left="320" w:top="1197" w:right="899" w:bottom="1440" w:gutter="0" w:footer="0" w:header="0"/>
        </w:sectPr>
      </w:pPr>
    </w:p>
    <w:bookmarkStart w:id="89" w:name="page90"/>
    <w:bookmarkEnd w:id="89"/>
    <w:p>
      <w:pPr>
        <w:jc w:val="center"/>
        <w:spacing w:after="0"/>
        <w:rPr>
          <w:sz w:val="20"/>
          <w:szCs w:val="20"/>
          <w:color w:val="auto"/>
        </w:rPr>
      </w:pPr>
      <w:r>
        <w:rPr>
          <w:rFonts w:ascii="Times New Roman" w:cs="Times New Roman" w:eastAsia="Times New Roman" w:hAnsi="Times New Roman"/>
          <w:sz w:val="18"/>
          <w:szCs w:val="18"/>
          <w:color w:val="auto"/>
        </w:rPr>
        <w:t>SIGNATURES</w:t>
      </w:r>
    </w:p>
    <w:p>
      <w:pPr>
        <w:spacing w:after="0" w:line="17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420" w:type="dxa"/>
            <w:vAlign w:val="bottom"/>
          </w:tcPr>
          <w:p>
            <w:pPr>
              <w:spacing w:after="0"/>
              <w:rPr>
                <w:sz w:val="20"/>
                <w:szCs w:val="20"/>
                <w:color w:val="auto"/>
              </w:rPr>
            </w:pPr>
          </w:p>
        </w:tc>
        <w:tc>
          <w:tcPr>
            <w:tcW w:w="51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GENESCO INC.</w:t>
            </w:r>
          </w:p>
        </w:tc>
      </w:tr>
      <w:tr>
        <w:trPr>
          <w:trHeight w:val="432"/>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40" w:type="dxa"/>
            <w:vAlign w:val="bottom"/>
          </w:tcPr>
          <w:p>
            <w:pPr>
              <w:spacing w:after="0"/>
              <w:rPr>
                <w:sz w:val="24"/>
                <w:szCs w:val="24"/>
                <w:color w:val="auto"/>
              </w:rPr>
            </w:pPr>
          </w:p>
        </w:tc>
        <w:tc>
          <w:tcPr>
            <w:tcW w:w="4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/s/Cassandra E. Harris</w:t>
            </w:r>
          </w:p>
        </w:tc>
      </w:tr>
      <w:tr>
        <w:trPr>
          <w:trHeight w:val="191"/>
        </w:trPr>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94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Cassandra E. Harris</w:t>
            </w:r>
          </w:p>
        </w:tc>
      </w:tr>
      <w:tr>
        <w:trPr>
          <w:trHeight w:val="216"/>
        </w:trPr>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Vice President – Finance and</w:t>
            </w:r>
          </w:p>
        </w:tc>
      </w:tr>
      <w:tr>
        <w:trPr>
          <w:trHeight w:val="234"/>
        </w:trPr>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26, 2025</w:t>
      </w:r>
    </w:p>
    <w:p>
      <w:pPr>
        <w:spacing w:after="0" w:line="18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indicated on the 8th day of February, 2025.</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/s/Mimi Eckel Vaughn</w:t>
            </w:r>
          </w:p>
        </w:tc>
        <w:tc>
          <w:tcPr>
            <w:tcW w:w="18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5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Board Chair, President, Chief Executive Officer</w:t>
            </w:r>
          </w:p>
        </w:tc>
      </w:tr>
      <w:tr>
        <w:trPr>
          <w:trHeight w:val="228"/>
        </w:trPr>
        <w:tc>
          <w:tcPr>
            <w:tcW w:w="3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Mimi Eckel Vaughn</w:t>
            </w:r>
          </w:p>
        </w:tc>
        <w:tc>
          <w:tcPr>
            <w:tcW w:w="1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14"/>
        </w:trPr>
        <w:tc>
          <w:tcPr>
            <w:tcW w:w="37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/s/Cassandra E. Harris</w:t>
            </w:r>
          </w:p>
        </w:tc>
        <w:tc>
          <w:tcPr>
            <w:tcW w:w="1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Senior Vice President – Finance and</w:t>
            </w:r>
          </w:p>
        </w:tc>
      </w:tr>
      <w:tr>
        <w:trPr>
          <w:trHeight w:val="191"/>
        </w:trPr>
        <w:tc>
          <w:tcPr>
            <w:tcW w:w="3760" w:type="dxa"/>
            <w:vAlign w:val="bottom"/>
            <w:gridSpan w:val="2"/>
          </w:tcPr>
          <w:p>
            <w:pPr>
              <w:ind w:left="20"/>
              <w:spacing w:after="0" w:line="191" w:lineRule="exact"/>
              <w:rPr>
                <w:sz w:val="20"/>
                <w:szCs w:val="20"/>
                <w:color w:val="auto"/>
              </w:rPr>
            </w:pPr>
            <w:r>
              <w:rPr>
                <w:rFonts w:ascii="Times New Roman" w:cs="Times New Roman" w:eastAsia="Times New Roman" w:hAnsi="Times New Roman"/>
                <w:sz w:val="18"/>
                <w:szCs w:val="18"/>
                <w:color w:val="auto"/>
              </w:rPr>
              <w:t>Cassandra E. Harris</w:t>
            </w:r>
          </w:p>
        </w:tc>
        <w:tc>
          <w:tcPr>
            <w:tcW w:w="1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600" w:type="dxa"/>
            <w:vAlign w:val="bottom"/>
          </w:tcPr>
          <w:p>
            <w:pPr>
              <w:ind w:left="120"/>
              <w:spacing w:after="0" w:line="191" w:lineRule="exact"/>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68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r>
        <w:trPr>
          <w:trHeight w:val="414"/>
        </w:trPr>
        <w:tc>
          <w:tcPr>
            <w:tcW w:w="3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Directors:</w:t>
            </w:r>
          </w:p>
        </w:tc>
        <w:tc>
          <w:tcPr>
            <w:tcW w:w="1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0" w:type="dxa"/>
            <w:vAlign w:val="bottom"/>
          </w:tcPr>
          <w:p>
            <w:pPr>
              <w:spacing w:after="0"/>
              <w:rPr>
                <w:sz w:val="24"/>
                <w:szCs w:val="24"/>
                <w:color w:val="auto"/>
              </w:rPr>
            </w:pPr>
          </w:p>
        </w:tc>
      </w:tr>
      <w:tr>
        <w:trPr>
          <w:trHeight w:val="234"/>
        </w:trPr>
        <w:tc>
          <w:tcPr>
            <w:tcW w:w="3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Joanna Barsh*</w:t>
            </w:r>
          </w:p>
        </w:tc>
        <w:tc>
          <w:tcPr>
            <w:tcW w:w="1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Angel R. Martinez *</w:t>
            </w:r>
          </w:p>
        </w:tc>
      </w:tr>
      <w:tr>
        <w:trPr>
          <w:trHeight w:val="432"/>
        </w:trPr>
        <w:tc>
          <w:tcPr>
            <w:tcW w:w="3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Matthew Bilunas*</w:t>
            </w:r>
          </w:p>
        </w:tc>
        <w:tc>
          <w:tcPr>
            <w:tcW w:w="1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Mary Meixelsperger*</w:t>
            </w:r>
          </w:p>
        </w:tc>
      </w:tr>
      <w:tr>
        <w:trPr>
          <w:trHeight w:val="432"/>
        </w:trPr>
        <w:tc>
          <w:tcPr>
            <w:tcW w:w="3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Carolyn Bojanowski *</w:t>
            </w:r>
          </w:p>
        </w:tc>
        <w:tc>
          <w:tcPr>
            <w:tcW w:w="1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Gregory A. Sandfort*</w:t>
            </w:r>
          </w:p>
        </w:tc>
      </w:tr>
      <w:tr>
        <w:trPr>
          <w:trHeight w:val="432"/>
        </w:trPr>
        <w:tc>
          <w:tcPr>
            <w:tcW w:w="3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John F. Lambros.*</w:t>
            </w:r>
          </w:p>
        </w:tc>
        <w:tc>
          <w:tcPr>
            <w:tcW w:w="1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Mimi E. Vaughn*</w:t>
            </w:r>
          </w:p>
        </w:tc>
      </w:tr>
      <w:tr>
        <w:trPr>
          <w:trHeight w:val="432"/>
        </w:trPr>
        <w:tc>
          <w:tcPr>
            <w:tcW w:w="3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Thurgood Marshall, Jr.*</w:t>
            </w:r>
          </w:p>
        </w:tc>
        <w:tc>
          <w:tcPr>
            <w:tcW w:w="1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0" w:type="dxa"/>
            <w:vAlign w:val="bottom"/>
          </w:tcPr>
          <w:p>
            <w:pPr>
              <w:spacing w:after="0"/>
              <w:rPr>
                <w:sz w:val="24"/>
                <w:szCs w:val="24"/>
                <w:color w:val="auto"/>
              </w:rPr>
            </w:pPr>
          </w:p>
        </w:tc>
      </w:tr>
      <w:tr>
        <w:trPr>
          <w:trHeight w:val="648"/>
        </w:trPr>
        <w:tc>
          <w:tcPr>
            <w:tcW w:w="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3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/s/Scott E. Becker</w:t>
            </w:r>
          </w:p>
        </w:tc>
        <w:tc>
          <w:tcPr>
            <w:tcW w:w="18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5600" w:type="dxa"/>
            <w:vAlign w:val="bottom"/>
          </w:tcPr>
          <w:p>
            <w:pPr>
              <w:spacing w:after="0"/>
              <w:rPr>
                <w:sz w:val="24"/>
                <w:szCs w:val="24"/>
                <w:color w:val="auto"/>
              </w:rPr>
            </w:pPr>
          </w:p>
        </w:tc>
      </w:tr>
      <w:tr>
        <w:trPr>
          <w:trHeight w:val="191"/>
        </w:trPr>
        <w:tc>
          <w:tcPr>
            <w:tcW w:w="680" w:type="dxa"/>
            <w:vAlign w:val="bottom"/>
          </w:tcPr>
          <w:p>
            <w:pPr>
              <w:spacing w:after="0"/>
              <w:rPr>
                <w:sz w:val="16"/>
                <w:szCs w:val="16"/>
                <w:color w:val="auto"/>
              </w:rPr>
            </w:pPr>
          </w:p>
        </w:tc>
        <w:tc>
          <w:tcPr>
            <w:tcW w:w="308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Scott E. Becker</w:t>
            </w:r>
          </w:p>
        </w:tc>
        <w:tc>
          <w:tcPr>
            <w:tcW w:w="1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600" w:type="dxa"/>
            <w:vAlign w:val="bottom"/>
          </w:tcPr>
          <w:p>
            <w:pPr>
              <w:spacing w:after="0"/>
              <w:rPr>
                <w:sz w:val="16"/>
                <w:szCs w:val="16"/>
                <w:color w:val="auto"/>
              </w:rPr>
            </w:pPr>
          </w:p>
        </w:tc>
      </w:tr>
      <w:tr>
        <w:trPr>
          <w:trHeight w:val="234"/>
        </w:trPr>
        <w:tc>
          <w:tcPr>
            <w:tcW w:w="680" w:type="dxa"/>
            <w:vAlign w:val="bottom"/>
          </w:tcPr>
          <w:p>
            <w:pPr>
              <w:spacing w:after="0"/>
              <w:rPr>
                <w:sz w:val="20"/>
                <w:szCs w:val="20"/>
                <w:color w:val="auto"/>
              </w:rPr>
            </w:pPr>
          </w:p>
        </w:tc>
        <w:tc>
          <w:tcPr>
            <w:tcW w:w="3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Attorney-In-Fact</w:t>
            </w:r>
          </w:p>
        </w:tc>
        <w:tc>
          <w:tcPr>
            <w:tcW w:w="1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0" w:type="dxa"/>
            <w:vAlign w:val="bottom"/>
          </w:tcPr>
          <w:p>
            <w:pPr>
              <w:spacing w:after="0"/>
              <w:rPr>
                <w:sz w:val="20"/>
                <w:szCs w:val="20"/>
                <w:color w:val="auto"/>
              </w:rPr>
            </w:pPr>
          </w:p>
        </w:tc>
      </w:tr>
      <w:tr>
        <w:trPr>
          <w:trHeight w:val="864"/>
        </w:trPr>
        <w:tc>
          <w:tcPr>
            <w:tcW w:w="68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7480" w:type="dxa"/>
            <w:vAlign w:val="bottom"/>
            <w:gridSpan w:val="3"/>
          </w:tcPr>
          <w:p>
            <w:pPr>
              <w:jc w:val="right"/>
              <w:ind w:right="5430"/>
              <w:spacing w:after="0"/>
              <w:rPr>
                <w:sz w:val="20"/>
                <w:szCs w:val="20"/>
                <w:color w:val="auto"/>
              </w:rPr>
            </w:pPr>
            <w:r>
              <w:rPr>
                <w:rFonts w:ascii="Times New Roman" w:cs="Times New Roman" w:eastAsia="Times New Roman" w:hAnsi="Times New Roman"/>
                <w:sz w:val="18"/>
                <w:szCs w:val="18"/>
                <w:color w:val="auto"/>
              </w:rPr>
              <w:t>90</w:t>
            </w:r>
          </w:p>
        </w:tc>
      </w:tr>
      <w:tr>
        <w:trPr>
          <w:trHeight w:val="763"/>
        </w:trPr>
        <w:tc>
          <w:tcPr>
            <w:tcW w:w="680" w:type="dxa"/>
            <w:vAlign w:val="bottom"/>
            <w:tcBorders>
              <w:bottom w:val="single" w:sz="8" w:color="9A9A9A"/>
            </w:tcBorders>
          </w:tcPr>
          <w:p>
            <w:pPr>
              <w:spacing w:after="0"/>
              <w:rPr>
                <w:sz w:val="24"/>
                <w:szCs w:val="24"/>
                <w:color w:val="auto"/>
              </w:rPr>
            </w:pPr>
          </w:p>
        </w:tc>
        <w:tc>
          <w:tcPr>
            <w:tcW w:w="3080" w:type="dxa"/>
            <w:vAlign w:val="bottom"/>
            <w:tcBorders>
              <w:bottom w:val="single" w:sz="8" w:color="9A9A9A"/>
            </w:tcBorders>
          </w:tcPr>
          <w:p>
            <w:pPr>
              <w:spacing w:after="0"/>
              <w:rPr>
                <w:sz w:val="24"/>
                <w:szCs w:val="24"/>
                <w:color w:val="auto"/>
              </w:rPr>
            </w:pPr>
          </w:p>
        </w:tc>
        <w:tc>
          <w:tcPr>
            <w:tcW w:w="18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7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7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90" w:name="page91"/>
    <w:bookmarkEnd w:id="90"/>
    <w:p>
      <w:pPr>
        <w:ind w:left="4520"/>
        <w:spacing w:after="0"/>
        <w:rPr>
          <w:sz w:val="20"/>
          <w:szCs w:val="20"/>
          <w:color w:val="auto"/>
        </w:rPr>
      </w:pPr>
      <w:r>
        <w:rPr>
          <w:rFonts w:ascii="Times New Roman" w:cs="Times New Roman" w:eastAsia="Times New Roman" w:hAnsi="Times New Roman"/>
          <w:sz w:val="18"/>
          <w:szCs w:val="18"/>
          <w:b w:val="1"/>
          <w:bCs w:val="1"/>
          <w:color w:val="auto"/>
        </w:rPr>
        <w:t>Genesco Inc.</w:t>
      </w:r>
    </w:p>
    <w:p>
      <w:pPr>
        <w:spacing w:after="0" w:line="22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22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Financial Statement Schedule</w:t>
      </w:r>
    </w:p>
    <w:p>
      <w:pPr>
        <w:spacing w:after="0" w:line="23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February 1, 2025</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484505</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197" w:right="1440" w:bottom="1440" w:gutter="0" w:footer="0" w:header="0"/>
        </w:sectPr>
      </w:pPr>
    </w:p>
    <w:bookmarkStart w:id="91" w:name="page92"/>
    <w:bookmarkEnd w:id="91"/>
    <w:tbl>
      <w:tblPr>
        <w:tblLayout w:type="fixed"/>
        <w:tblInd w:w="0" w:type="dxa"/>
        <w:tblCellMar>
          <w:top w:w="0" w:type="dxa"/>
          <w:left w:w="0" w:type="dxa"/>
          <w:bottom w:w="0" w:type="dxa"/>
          <w:right w:w="0" w:type="dxa"/>
        </w:tblCellMar>
      </w:tblPr>
      <w:tr>
        <w:trPr>
          <w:trHeight w:val="238"/>
        </w:trPr>
        <w:tc>
          <w:tcPr>
            <w:tcW w:w="23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Schedule 2</w:t>
            </w:r>
          </w:p>
        </w:tc>
      </w:tr>
      <w:tr>
        <w:trPr>
          <w:trHeight w:val="369"/>
        </w:trPr>
        <w:tc>
          <w:tcPr>
            <w:tcW w:w="23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980" w:type="dxa"/>
            <w:vAlign w:val="bottom"/>
          </w:tcPr>
          <w:p>
            <w:pPr>
              <w:jc w:val="center"/>
              <w:ind w:left="910"/>
              <w:spacing w:after="0"/>
              <w:rPr>
                <w:sz w:val="20"/>
                <w:szCs w:val="20"/>
                <w:color w:val="auto"/>
              </w:rPr>
            </w:pPr>
            <w:r>
              <w:rPr>
                <w:rFonts w:ascii="Times New Roman" w:cs="Times New Roman" w:eastAsia="Times New Roman" w:hAnsi="Times New Roman"/>
                <w:sz w:val="18"/>
                <w:szCs w:val="18"/>
                <w:b w:val="1"/>
                <w:bCs w:val="1"/>
                <w:color w:val="auto"/>
                <w:w w:val="99"/>
              </w:rPr>
              <w:t>Genesco Inc.</w:t>
            </w:r>
          </w:p>
        </w:tc>
        <w:tc>
          <w:tcPr>
            <w:tcW w:w="9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20"/>
        </w:trPr>
        <w:tc>
          <w:tcPr>
            <w:tcW w:w="23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29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and Subsidiaries</w:t>
            </w:r>
          </w:p>
        </w:tc>
        <w:tc>
          <w:tcPr>
            <w:tcW w:w="4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4"/>
        </w:trPr>
        <w:tc>
          <w:tcPr>
            <w:tcW w:w="23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29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Valuation and Qualifying Accounts</w:t>
            </w:r>
          </w:p>
        </w:tc>
        <w:tc>
          <w:tcPr>
            <w:tcW w:w="4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364"/>
        </w:trPr>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Year Ended February 1, 2025</w:t>
            </w:r>
          </w:p>
        </w:tc>
        <w:tc>
          <w:tcPr>
            <w:tcW w:w="1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430"/>
        </w:trPr>
        <w:tc>
          <w:tcPr>
            <w:tcW w:w="2300" w:type="dxa"/>
            <w:vAlign w:val="bottom"/>
            <w:tcBorders>
              <w:top w:val="single" w:sz="8" w:color="auto"/>
            </w:tcBorders>
          </w:tcPr>
          <w:p>
            <w:pPr>
              <w:spacing w:after="0"/>
              <w:rPr>
                <w:sz w:val="24"/>
                <w:szCs w:val="24"/>
                <w:color w:val="auto"/>
              </w:rPr>
            </w:pPr>
          </w:p>
        </w:tc>
        <w:tc>
          <w:tcPr>
            <w:tcW w:w="18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Charged</w:t>
            </w: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16"/>
        </w:trPr>
        <w:tc>
          <w:tcPr>
            <w:tcW w:w="23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9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9"/>
              </w:rPr>
              <w:t>Beginning</w:t>
            </w:r>
          </w:p>
        </w:tc>
        <w:tc>
          <w:tcPr>
            <w:tcW w:w="400" w:type="dxa"/>
            <w:vAlign w:val="bottom"/>
          </w:tcPr>
          <w:p>
            <w:pPr>
              <w:spacing w:after="0"/>
              <w:rPr>
                <w:sz w:val="18"/>
                <w:szCs w:val="18"/>
                <w:color w:val="auto"/>
              </w:rPr>
            </w:pP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to Profit</w:t>
            </w: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Ending</w:t>
            </w:r>
          </w:p>
        </w:tc>
      </w:tr>
      <w:tr>
        <w:trPr>
          <w:trHeight w:val="238"/>
        </w:trPr>
        <w:tc>
          <w:tcPr>
            <w:tcW w:w="41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19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4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and Loss</w:t>
            </w:r>
          </w:p>
        </w:tc>
        <w:tc>
          <w:tcPr>
            <w:tcW w:w="2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Reductions</w:t>
            </w:r>
          </w:p>
        </w:tc>
        <w:tc>
          <w:tcPr>
            <w:tcW w:w="3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Balance</w:t>
            </w:r>
          </w:p>
        </w:tc>
      </w:tr>
      <w:tr>
        <w:trPr>
          <w:trHeight w:val="209"/>
        </w:trPr>
        <w:tc>
          <w:tcPr>
            <w:tcW w:w="41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Allowances deducted from assets in the balance sheet:</w:t>
            </w:r>
          </w:p>
        </w:tc>
        <w:tc>
          <w:tcPr>
            <w:tcW w:w="19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r>
      <w:tr>
        <w:trPr>
          <w:trHeight w:val="216"/>
        </w:trPr>
        <w:tc>
          <w:tcPr>
            <w:tcW w:w="41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Accounts Receivable Allowances</w:t>
            </w:r>
          </w:p>
        </w:tc>
        <w:tc>
          <w:tcPr>
            <w:tcW w:w="19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4,266</w:t>
            </w:r>
          </w:p>
        </w:tc>
        <w:tc>
          <w:tcPr>
            <w:tcW w:w="4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124</w:t>
            </w:r>
          </w:p>
        </w:tc>
        <w:tc>
          <w:tcPr>
            <w:tcW w:w="2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(1,868 )</w:t>
            </w:r>
          </w:p>
        </w:tc>
        <w:tc>
          <w:tcPr>
            <w:tcW w:w="3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2,522</w:t>
            </w:r>
          </w:p>
        </w:tc>
      </w:tr>
      <w:tr>
        <w:trPr>
          <w:trHeight w:val="237"/>
        </w:trPr>
        <w:tc>
          <w:tcPr>
            <w:tcW w:w="4140" w:type="dxa"/>
            <w:vAlign w:val="bottom"/>
            <w:tcBorders>
              <w:bottom w:val="single" w:sz="8" w:color="auto"/>
            </w:tcBorders>
            <w:gridSpan w:val="2"/>
          </w:tcPr>
          <w:p>
            <w:pPr>
              <w:ind w:left="20"/>
              <w:spacing w:after="0" w:line="236" w:lineRule="exact"/>
              <w:rPr>
                <w:sz w:val="20"/>
                <w:szCs w:val="20"/>
                <w:color w:val="auto"/>
              </w:rPr>
            </w:pPr>
            <w:r>
              <w:rPr>
                <w:rFonts w:ascii="Times New Roman" w:cs="Times New Roman" w:eastAsia="Times New Roman" w:hAnsi="Times New Roman"/>
                <w:sz w:val="18"/>
                <w:szCs w:val="18"/>
                <w:b w:val="1"/>
                <w:bCs w:val="1"/>
                <w:color w:val="auto"/>
              </w:rPr>
              <w:t xml:space="preserve">Markdown Allowance </w:t>
            </w:r>
            <w:r>
              <w:rPr>
                <w:rFonts w:ascii="Times New Roman" w:cs="Times New Roman" w:eastAsia="Times New Roman" w:hAnsi="Times New Roman"/>
                <w:sz w:val="24"/>
                <w:szCs w:val="24"/>
                <w:b w:val="1"/>
                <w:bCs w:val="1"/>
                <w:color w:val="auto"/>
                <w:vertAlign w:val="superscript"/>
              </w:rPr>
              <w:t>(1)</w:t>
            </w:r>
          </w:p>
        </w:tc>
        <w:tc>
          <w:tcPr>
            <w:tcW w:w="19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6,229</w:t>
            </w:r>
          </w:p>
        </w:tc>
        <w:tc>
          <w:tcPr>
            <w:tcW w:w="4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2,945</w:t>
            </w:r>
          </w:p>
        </w:tc>
        <w:tc>
          <w:tcPr>
            <w:tcW w:w="2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(1,496 )</w:t>
            </w:r>
          </w:p>
        </w:tc>
        <w:tc>
          <w:tcPr>
            <w:tcW w:w="3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7,678</w:t>
            </w:r>
          </w:p>
        </w:tc>
      </w:tr>
      <w:tr>
        <w:trPr>
          <w:trHeight w:val="20"/>
        </w:trPr>
        <w:tc>
          <w:tcPr>
            <w:tcW w:w="230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372"/>
        </w:trPr>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Year Ended February 3, 2024</w:t>
            </w:r>
          </w:p>
        </w:tc>
        <w:tc>
          <w:tcPr>
            <w:tcW w:w="1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430"/>
        </w:trPr>
        <w:tc>
          <w:tcPr>
            <w:tcW w:w="2300" w:type="dxa"/>
            <w:vAlign w:val="bottom"/>
            <w:tcBorders>
              <w:top w:val="single" w:sz="8" w:color="auto"/>
            </w:tcBorders>
          </w:tcPr>
          <w:p>
            <w:pPr>
              <w:spacing w:after="0"/>
              <w:rPr>
                <w:sz w:val="24"/>
                <w:szCs w:val="24"/>
                <w:color w:val="auto"/>
              </w:rPr>
            </w:pPr>
          </w:p>
        </w:tc>
        <w:tc>
          <w:tcPr>
            <w:tcW w:w="18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Charged</w:t>
            </w: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16"/>
        </w:trPr>
        <w:tc>
          <w:tcPr>
            <w:tcW w:w="23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Beginning</w:t>
            </w:r>
          </w:p>
        </w:tc>
        <w:tc>
          <w:tcPr>
            <w:tcW w:w="40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to Profit</w:t>
            </w: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Ending</w:t>
            </w:r>
          </w:p>
        </w:tc>
      </w:tr>
      <w:tr>
        <w:trPr>
          <w:trHeight w:val="238"/>
        </w:trPr>
        <w:tc>
          <w:tcPr>
            <w:tcW w:w="41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19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4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and Loss</w:t>
            </w:r>
          </w:p>
        </w:tc>
        <w:tc>
          <w:tcPr>
            <w:tcW w:w="2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Reductions</w:t>
            </w:r>
          </w:p>
        </w:tc>
        <w:tc>
          <w:tcPr>
            <w:tcW w:w="3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Balance</w:t>
            </w:r>
          </w:p>
        </w:tc>
      </w:tr>
      <w:tr>
        <w:trPr>
          <w:trHeight w:val="209"/>
        </w:trPr>
        <w:tc>
          <w:tcPr>
            <w:tcW w:w="41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Allowances deducted from assets in the balance sheet:</w:t>
            </w:r>
          </w:p>
        </w:tc>
        <w:tc>
          <w:tcPr>
            <w:tcW w:w="19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r>
      <w:tr>
        <w:trPr>
          <w:trHeight w:val="216"/>
        </w:trPr>
        <w:tc>
          <w:tcPr>
            <w:tcW w:w="41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Accounts Receivable Allowances</w:t>
            </w:r>
          </w:p>
        </w:tc>
        <w:tc>
          <w:tcPr>
            <w:tcW w:w="19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3,710</w:t>
            </w:r>
          </w:p>
        </w:tc>
        <w:tc>
          <w:tcPr>
            <w:tcW w:w="4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662</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(106 )</w:t>
            </w:r>
          </w:p>
        </w:tc>
        <w:tc>
          <w:tcPr>
            <w:tcW w:w="3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4,266</w:t>
            </w:r>
          </w:p>
        </w:tc>
      </w:tr>
      <w:tr>
        <w:trPr>
          <w:trHeight w:val="237"/>
        </w:trPr>
        <w:tc>
          <w:tcPr>
            <w:tcW w:w="4140" w:type="dxa"/>
            <w:vAlign w:val="bottom"/>
            <w:tcBorders>
              <w:bottom w:val="single" w:sz="8" w:color="auto"/>
            </w:tcBorders>
            <w:gridSpan w:val="2"/>
          </w:tcPr>
          <w:p>
            <w:pPr>
              <w:ind w:left="20"/>
              <w:spacing w:after="0" w:line="236" w:lineRule="exact"/>
              <w:rPr>
                <w:sz w:val="20"/>
                <w:szCs w:val="20"/>
                <w:color w:val="auto"/>
              </w:rPr>
            </w:pPr>
            <w:r>
              <w:rPr>
                <w:rFonts w:ascii="Times New Roman" w:cs="Times New Roman" w:eastAsia="Times New Roman" w:hAnsi="Times New Roman"/>
                <w:sz w:val="18"/>
                <w:szCs w:val="18"/>
                <w:color w:val="auto"/>
              </w:rPr>
              <w:t xml:space="preserve">Markdown Allowance </w:t>
            </w:r>
            <w:r>
              <w:rPr>
                <w:rFonts w:ascii="Times New Roman" w:cs="Times New Roman" w:eastAsia="Times New Roman" w:hAnsi="Times New Roman"/>
                <w:sz w:val="24"/>
                <w:szCs w:val="24"/>
                <w:color w:val="auto"/>
                <w:vertAlign w:val="superscript"/>
              </w:rPr>
              <w:t>(1)</w:t>
            </w:r>
          </w:p>
        </w:tc>
        <w:tc>
          <w:tcPr>
            <w:tcW w:w="19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6,018</w:t>
            </w:r>
          </w:p>
        </w:tc>
        <w:tc>
          <w:tcPr>
            <w:tcW w:w="4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3,818</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(3,607 )</w:t>
            </w:r>
          </w:p>
        </w:tc>
        <w:tc>
          <w:tcPr>
            <w:tcW w:w="3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6,229</w:t>
            </w:r>
          </w:p>
        </w:tc>
      </w:tr>
      <w:tr>
        <w:trPr>
          <w:trHeight w:val="20"/>
        </w:trPr>
        <w:tc>
          <w:tcPr>
            <w:tcW w:w="230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372"/>
        </w:trPr>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Year Ended January 28, 2023</w:t>
            </w:r>
          </w:p>
        </w:tc>
        <w:tc>
          <w:tcPr>
            <w:tcW w:w="1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430"/>
        </w:trPr>
        <w:tc>
          <w:tcPr>
            <w:tcW w:w="2300" w:type="dxa"/>
            <w:vAlign w:val="bottom"/>
            <w:tcBorders>
              <w:top w:val="single" w:sz="8" w:color="auto"/>
            </w:tcBorders>
          </w:tcPr>
          <w:p>
            <w:pPr>
              <w:spacing w:after="0"/>
              <w:rPr>
                <w:sz w:val="24"/>
                <w:szCs w:val="24"/>
                <w:color w:val="auto"/>
              </w:rPr>
            </w:pPr>
          </w:p>
        </w:tc>
        <w:tc>
          <w:tcPr>
            <w:tcW w:w="18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Charged</w:t>
            </w: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16"/>
        </w:trPr>
        <w:tc>
          <w:tcPr>
            <w:tcW w:w="23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Beginning</w:t>
            </w:r>
          </w:p>
        </w:tc>
        <w:tc>
          <w:tcPr>
            <w:tcW w:w="40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to Profit</w:t>
            </w: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Ending</w:t>
            </w:r>
          </w:p>
        </w:tc>
      </w:tr>
      <w:tr>
        <w:trPr>
          <w:trHeight w:val="238"/>
        </w:trPr>
        <w:tc>
          <w:tcPr>
            <w:tcW w:w="41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19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4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and Loss</w:t>
            </w:r>
          </w:p>
        </w:tc>
        <w:tc>
          <w:tcPr>
            <w:tcW w:w="2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Reductions</w:t>
            </w:r>
          </w:p>
        </w:tc>
        <w:tc>
          <w:tcPr>
            <w:tcW w:w="3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Balance</w:t>
            </w:r>
          </w:p>
        </w:tc>
      </w:tr>
      <w:tr>
        <w:trPr>
          <w:trHeight w:val="209"/>
        </w:trPr>
        <w:tc>
          <w:tcPr>
            <w:tcW w:w="41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Allowances deducted from assets in the balance sheet:</w:t>
            </w:r>
          </w:p>
        </w:tc>
        <w:tc>
          <w:tcPr>
            <w:tcW w:w="19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r>
      <w:tr>
        <w:trPr>
          <w:trHeight w:val="216"/>
        </w:trPr>
        <w:tc>
          <w:tcPr>
            <w:tcW w:w="41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Accounts Receivable Allowances</w:t>
            </w:r>
          </w:p>
        </w:tc>
        <w:tc>
          <w:tcPr>
            <w:tcW w:w="19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4,656</w:t>
            </w:r>
          </w:p>
        </w:tc>
        <w:tc>
          <w:tcPr>
            <w:tcW w:w="4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(78 )</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(868 )</w:t>
            </w:r>
          </w:p>
        </w:tc>
        <w:tc>
          <w:tcPr>
            <w:tcW w:w="3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3,710</w:t>
            </w:r>
          </w:p>
        </w:tc>
      </w:tr>
      <w:tr>
        <w:trPr>
          <w:trHeight w:val="236"/>
        </w:trPr>
        <w:tc>
          <w:tcPr>
            <w:tcW w:w="4140" w:type="dxa"/>
            <w:vAlign w:val="bottom"/>
            <w:tcBorders>
              <w:bottom w:val="single" w:sz="8" w:color="auto"/>
            </w:tcBorders>
            <w:gridSpan w:val="2"/>
          </w:tcPr>
          <w:p>
            <w:pPr>
              <w:ind w:left="20"/>
              <w:spacing w:after="0" w:line="236" w:lineRule="exact"/>
              <w:rPr>
                <w:sz w:val="20"/>
                <w:szCs w:val="20"/>
                <w:color w:val="auto"/>
              </w:rPr>
            </w:pPr>
            <w:r>
              <w:rPr>
                <w:rFonts w:ascii="Times New Roman" w:cs="Times New Roman" w:eastAsia="Times New Roman" w:hAnsi="Times New Roman"/>
                <w:sz w:val="18"/>
                <w:szCs w:val="18"/>
                <w:color w:val="auto"/>
              </w:rPr>
              <w:t xml:space="preserve">Markdown Allowance </w:t>
            </w:r>
            <w:r>
              <w:rPr>
                <w:rFonts w:ascii="Times New Roman" w:cs="Times New Roman" w:eastAsia="Times New Roman" w:hAnsi="Times New Roman"/>
                <w:sz w:val="24"/>
                <w:szCs w:val="24"/>
                <w:color w:val="auto"/>
                <w:vertAlign w:val="superscript"/>
              </w:rPr>
              <w:t>(1)</w:t>
            </w:r>
          </w:p>
        </w:tc>
        <w:tc>
          <w:tcPr>
            <w:tcW w:w="19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3,159</w:t>
            </w:r>
          </w:p>
        </w:tc>
        <w:tc>
          <w:tcPr>
            <w:tcW w:w="4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4,275</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(1,416 )</w:t>
            </w:r>
          </w:p>
        </w:tc>
        <w:tc>
          <w:tcPr>
            <w:tcW w:w="3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6,018</w:t>
            </w:r>
          </w:p>
        </w:tc>
      </w:tr>
      <w:tr>
        <w:trPr>
          <w:trHeight w:val="20"/>
        </w:trPr>
        <w:tc>
          <w:tcPr>
            <w:tcW w:w="230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-2759710</wp:posOffset>
            </wp:positionV>
            <wp:extent cx="7132320" cy="17145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8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-1464945</wp:posOffset>
            </wp:positionV>
            <wp:extent cx="7132320" cy="17145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8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-170815</wp:posOffset>
            </wp:positionV>
            <wp:extent cx="7132320" cy="17145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8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78" w:lineRule="exact"/>
        <w:rPr>
          <w:sz w:val="20"/>
          <w:szCs w:val="20"/>
          <w:color w:val="auto"/>
        </w:rPr>
      </w:pPr>
    </w:p>
    <w:p>
      <w:pPr>
        <w:ind w:left="380" w:right="20" w:hanging="372"/>
        <w:spacing w:after="0" w:line="223" w:lineRule="auto"/>
        <w:tabs>
          <w:tab w:leader="none" w:pos="380" w:val="left"/>
        </w:tabs>
        <w:numPr>
          <w:ilvl w:val="0"/>
          <w:numId w:val="28"/>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Reflects adjustment of merchandise inventories to realizable value. Charged to Profit and Loss column represents increases to the allowance and the Reductions column represents decreases to the allowance based on quarterly assessments of the allowance.</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92" w:name="page93"/>
    <w:bookmarkEnd w:id="92"/>
    <w:p>
      <w:pPr>
        <w:jc w:val="right"/>
        <w:spacing w:after="0"/>
        <w:rPr>
          <w:sz w:val="20"/>
          <w:szCs w:val="20"/>
          <w:color w:val="auto"/>
        </w:rPr>
      </w:pPr>
      <w:r>
        <w:rPr>
          <w:rFonts w:ascii="Times New Roman" w:cs="Times New Roman" w:eastAsia="Times New Roman" w:hAnsi="Times New Roman"/>
          <w:sz w:val="25"/>
          <w:szCs w:val="25"/>
          <w:color w:val="auto"/>
        </w:rPr>
        <w:t>Exhibit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5354320</wp:posOffset>
            </wp:positionH>
            <wp:positionV relativeFrom="paragraph">
              <wp:posOffset>-175895</wp:posOffset>
            </wp:positionV>
            <wp:extent cx="805815" cy="24828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84">
                      <a:extLst>
                        <a:ext uri="{28A0092B-C50C-407E-A947-70E740481C1C}"/>
                      </a:extLst>
                    </a:blip>
                    <a:srcRect/>
                    <a:stretch>
                      <a:fillRect/>
                    </a:stretch>
                  </pic:blipFill>
                  <pic:spPr bwMode="auto">
                    <a:xfrm>
                      <a:off x="0" y="0"/>
                      <a:ext cx="805815" cy="248285"/>
                    </a:xfrm>
                    <a:prstGeom prst="rect">
                      <a:avLst/>
                    </a:prstGeom>
                    <a:noFill/>
                  </pic:spPr>
                </pic:pic>
              </a:graphicData>
            </a:graphic>
          </wp:anchor>
        </w:drawing>
      </w:r>
    </w:p>
    <w:p>
      <w:pPr>
        <w:spacing w:after="0" w:line="386" w:lineRule="exact"/>
        <w:rPr>
          <w:sz w:val="20"/>
          <w:szCs w:val="20"/>
          <w:color w:val="auto"/>
        </w:rPr>
      </w:pPr>
    </w:p>
    <w:p>
      <w:pPr>
        <w:jc w:val="center"/>
        <w:ind w:right="580"/>
        <w:spacing w:after="0"/>
        <w:rPr>
          <w:sz w:val="20"/>
          <w:szCs w:val="20"/>
          <w:color w:val="auto"/>
        </w:rPr>
      </w:pPr>
      <w:r>
        <w:rPr>
          <w:rFonts w:ascii="Times New Roman" w:cs="Times New Roman" w:eastAsia="Times New Roman" w:hAnsi="Times New Roman"/>
          <w:sz w:val="22"/>
          <w:szCs w:val="22"/>
          <w:b w:val="1"/>
          <w:bCs w:val="1"/>
          <w:color w:val="auto"/>
        </w:rPr>
        <w:t>GENESCO INC.</w:t>
      </w:r>
    </w:p>
    <w:p>
      <w:pPr>
        <w:spacing w:after="0" w:line="32" w:lineRule="exact"/>
        <w:rPr>
          <w:sz w:val="20"/>
          <w:szCs w:val="20"/>
          <w:color w:val="auto"/>
        </w:rPr>
      </w:pPr>
    </w:p>
    <w:p>
      <w:pPr>
        <w:jc w:val="center"/>
        <w:ind w:right="580"/>
        <w:spacing w:after="0"/>
        <w:rPr>
          <w:sz w:val="20"/>
          <w:szCs w:val="20"/>
          <w:color w:val="auto"/>
        </w:rPr>
      </w:pPr>
      <w:r>
        <w:rPr>
          <w:rFonts w:ascii="Times New Roman" w:cs="Times New Roman" w:eastAsia="Times New Roman" w:hAnsi="Times New Roman"/>
          <w:sz w:val="22"/>
          <w:szCs w:val="22"/>
          <w:b w:val="1"/>
          <w:bCs w:val="1"/>
          <w:color w:val="auto"/>
        </w:rPr>
        <w:t>INSIDER TRADING AND CONFIDENTIALITY POLICY</w:t>
      </w:r>
    </w:p>
    <w:p>
      <w:pPr>
        <w:spacing w:after="0" w:line="182" w:lineRule="exact"/>
        <w:rPr>
          <w:sz w:val="20"/>
          <w:szCs w:val="20"/>
          <w:color w:val="auto"/>
        </w:rPr>
      </w:pPr>
    </w:p>
    <w:p>
      <w:pPr>
        <w:jc w:val="both"/>
        <w:ind w:left="260" w:right="840"/>
        <w:spacing w:after="0" w:line="236" w:lineRule="auto"/>
        <w:rPr>
          <w:sz w:val="20"/>
          <w:szCs w:val="20"/>
          <w:color w:val="auto"/>
        </w:rPr>
      </w:pPr>
      <w:r>
        <w:rPr>
          <w:rFonts w:ascii="Times New Roman" w:cs="Times New Roman" w:eastAsia="Times New Roman" w:hAnsi="Times New Roman"/>
          <w:sz w:val="22"/>
          <w:szCs w:val="22"/>
          <w:color w:val="auto"/>
        </w:rPr>
        <w:t>The Board of Directors (the “Board”) of Genesco Inc. (the “Company”), has adopted the following policy and procedures with regard to Insider Trading and Confidentiality (the “Policy”). The Board will review and may amend this Policy from time to time. Except as expressly provided herein, this Policy supersedes any previous Company policy concerning insider trading restrictions applicable to Company directors, director nominees, officers and employees.</w:t>
      </w:r>
    </w:p>
    <w:p>
      <w:pPr>
        <w:spacing w:after="0" w:line="17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b w:val="1"/>
          <w:bCs w:val="1"/>
          <w:color w:val="auto"/>
        </w:rPr>
        <w:t>Purpose</w:t>
      </w:r>
    </w:p>
    <w:p>
      <w:pPr>
        <w:spacing w:after="0" w:line="210" w:lineRule="exact"/>
        <w:rPr>
          <w:sz w:val="20"/>
          <w:szCs w:val="20"/>
          <w:color w:val="auto"/>
        </w:rPr>
      </w:pPr>
    </w:p>
    <w:p>
      <w:pPr>
        <w:jc w:val="both"/>
        <w:ind w:left="260" w:right="840" w:firstLine="648"/>
        <w:spacing w:after="0" w:line="235" w:lineRule="auto"/>
        <w:rPr>
          <w:sz w:val="20"/>
          <w:szCs w:val="20"/>
          <w:color w:val="auto"/>
        </w:rPr>
      </w:pPr>
      <w:r>
        <w:rPr>
          <w:rFonts w:ascii="Times New Roman" w:cs="Times New Roman" w:eastAsia="Times New Roman" w:hAnsi="Times New Roman"/>
          <w:sz w:val="22"/>
          <w:szCs w:val="22"/>
          <w:color w:val="auto"/>
        </w:rPr>
        <w:t>This Policy provides guidelines with respect to transactions in the securities of the Company and the handling of confidential information about the Company and the companies with which the Company does business. The Board has adopted this Policy to promote compliance with federal, state and foreign securities laws that prohibit certain persons who are aware of material nonpublic information about a company from: (i) trading in securities of that company; or (ii) providing material nonpublic information to other persons who may trade on the basis of that information.</w:t>
      </w:r>
    </w:p>
    <w:p>
      <w:pPr>
        <w:spacing w:after="0" w:line="17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b w:val="1"/>
          <w:bCs w:val="1"/>
          <w:color w:val="auto"/>
        </w:rPr>
        <w:t>Persons Subject to the Policy</w:t>
      </w:r>
    </w:p>
    <w:p>
      <w:pPr>
        <w:spacing w:after="0" w:line="210" w:lineRule="exact"/>
        <w:rPr>
          <w:sz w:val="20"/>
          <w:szCs w:val="20"/>
          <w:color w:val="auto"/>
        </w:rPr>
      </w:pPr>
    </w:p>
    <w:p>
      <w:pPr>
        <w:jc w:val="both"/>
        <w:ind w:left="260" w:right="840" w:firstLine="648"/>
        <w:spacing w:after="0" w:line="238" w:lineRule="auto"/>
        <w:rPr>
          <w:sz w:val="20"/>
          <w:szCs w:val="20"/>
          <w:color w:val="auto"/>
        </w:rPr>
      </w:pPr>
      <w:r>
        <w:rPr>
          <w:rFonts w:ascii="Times New Roman" w:cs="Times New Roman" w:eastAsia="Times New Roman" w:hAnsi="Times New Roman"/>
          <w:sz w:val="22"/>
          <w:szCs w:val="22"/>
          <w:color w:val="auto"/>
        </w:rPr>
        <w:t>This Policy applies to all directors, director nominees, officers and employees of the Company and its subsidiaries (each, a “Covered Person”). The Company may also determine that other persons should be subject to this Policy. This Policy also applies to (i) the Company and (ii) family members, other members of a person’s household and entities controlled by a Covered Person by this Policy, as described below.</w:t>
      </w:r>
    </w:p>
    <w:p>
      <w:pPr>
        <w:spacing w:after="0" w:line="177" w:lineRule="exact"/>
        <w:rPr>
          <w:sz w:val="20"/>
          <w:szCs w:val="20"/>
          <w:color w:val="auto"/>
        </w:rPr>
      </w:pPr>
    </w:p>
    <w:p>
      <w:pPr>
        <w:jc w:val="both"/>
        <w:ind w:left="260" w:right="840" w:firstLine="648"/>
        <w:spacing w:after="0" w:line="258" w:lineRule="auto"/>
        <w:rPr>
          <w:sz w:val="20"/>
          <w:szCs w:val="20"/>
          <w:color w:val="auto"/>
        </w:rPr>
      </w:pPr>
      <w:r>
        <w:rPr>
          <w:rFonts w:ascii="Times New Roman" w:cs="Times New Roman" w:eastAsia="Times New Roman" w:hAnsi="Times New Roman"/>
          <w:sz w:val="22"/>
          <w:szCs w:val="22"/>
          <w:color w:val="auto"/>
        </w:rPr>
        <w:t>This Policy is in addition to the provisions dealing with anti-hedging in the Company’s Anti-Hedging Policy for Directors and Officers.</w:t>
      </w:r>
    </w:p>
    <w:p>
      <w:pPr>
        <w:spacing w:after="0" w:line="15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b w:val="1"/>
          <w:bCs w:val="1"/>
          <w:color w:val="auto"/>
        </w:rPr>
        <w:t>Transactions Subject to the Policy</w:t>
      </w:r>
    </w:p>
    <w:p>
      <w:pPr>
        <w:spacing w:after="0" w:line="210" w:lineRule="exact"/>
        <w:rPr>
          <w:sz w:val="20"/>
          <w:szCs w:val="20"/>
          <w:color w:val="auto"/>
        </w:rPr>
      </w:pPr>
    </w:p>
    <w:p>
      <w:pPr>
        <w:jc w:val="both"/>
        <w:ind w:left="260" w:right="840" w:firstLine="648"/>
        <w:spacing w:after="0" w:line="233" w:lineRule="auto"/>
        <w:rPr>
          <w:sz w:val="20"/>
          <w:szCs w:val="20"/>
          <w:color w:val="auto"/>
        </w:rPr>
      </w:pPr>
      <w:r>
        <w:rPr>
          <w:rFonts w:ascii="Times New Roman" w:cs="Times New Roman" w:eastAsia="Times New Roman" w:hAnsi="Times New Roman"/>
          <w:sz w:val="22"/>
          <w:szCs w:val="22"/>
          <w:color w:val="auto"/>
        </w:rPr>
        <w:t>This Policy applies to transactions in the Company’s securities (collectively referred to in this Policy as “Company Securities”), including the Company’s common stock, options to purchase common stock, restricted stock, restricted stock units or any other type of securities that the Company may issue, including (but not limited to) preferred stock, convertible debentures and warrants, as well as derivative securities that are not issued by the Company, such as exchange-traded put or call options or swaps relating to the Company’s Securities. Gifts or charitable contributions of Company Securities may be made only in accordance with this Policy, including the restrictions and procedures outlined under the heading “Additional Procedures.” In certain situations, this Policy applies to transactions in the securities of other companies in which Covered Persons may possess material, nonpublic information, as further described under the heading “Statement of the Policy.”</w:t>
      </w:r>
    </w:p>
    <w:p>
      <w:pPr>
        <w:spacing w:after="0" w:line="18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b w:val="1"/>
          <w:bCs w:val="1"/>
          <w:color w:val="auto"/>
        </w:rPr>
        <w:t>Individual Responsibility</w:t>
      </w:r>
    </w:p>
    <w:p>
      <w:pPr>
        <w:spacing w:after="0" w:line="210" w:lineRule="exact"/>
        <w:rPr>
          <w:sz w:val="20"/>
          <w:szCs w:val="20"/>
          <w:color w:val="auto"/>
        </w:rPr>
      </w:pPr>
    </w:p>
    <w:p>
      <w:pPr>
        <w:jc w:val="both"/>
        <w:ind w:left="260" w:right="840" w:firstLine="648"/>
        <w:spacing w:after="0" w:line="261" w:lineRule="auto"/>
        <w:rPr>
          <w:sz w:val="20"/>
          <w:szCs w:val="20"/>
          <w:color w:val="auto"/>
        </w:rPr>
      </w:pPr>
      <w:r>
        <w:rPr>
          <w:rFonts w:ascii="Times New Roman" w:cs="Times New Roman" w:eastAsia="Times New Roman" w:hAnsi="Times New Roman"/>
          <w:sz w:val="21"/>
          <w:szCs w:val="21"/>
          <w:color w:val="auto"/>
        </w:rPr>
        <w:t>Covered Persons have ethical and legal obligations to maintain the confidentiality of competitive and other sensitive information about the Company and to not engage in transactions in Company Securities while in possession of material nonpublic information. Each individual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833120</wp:posOffset>
            </wp:positionV>
            <wp:extent cx="7037705"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85">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560"/>
          </w:cols>
          <w:pgMar w:left="1440" w:top="710" w:right="899" w:bottom="1440" w:gutter="0" w:footer="0" w:header="0"/>
        </w:sectPr>
      </w:pPr>
    </w:p>
    <w:bookmarkStart w:id="93" w:name="page94"/>
    <w:bookmarkEnd w:id="93"/>
    <w:p>
      <w:pPr>
        <w:jc w:val="both"/>
        <w:ind w:left="260" w:right="299"/>
        <w:spacing w:after="0" w:line="234" w:lineRule="auto"/>
        <w:rPr>
          <w:sz w:val="20"/>
          <w:szCs w:val="20"/>
          <w:color w:val="auto"/>
        </w:rPr>
      </w:pPr>
      <w:r>
        <w:rPr>
          <w:rFonts w:ascii="Times New Roman" w:cs="Times New Roman" w:eastAsia="Times New Roman" w:hAnsi="Times New Roman"/>
          <w:sz w:val="22"/>
          <w:szCs w:val="22"/>
          <w:color w:val="auto"/>
        </w:rPr>
        <w:t>responsible for making sure that such individual complies with this Policy, and that any family member, household member or entity whose transactions are subject to this Policy, as discussed below, also comply with this Policy. In all cases, the responsibility for determining whether an individual is in possession of material nonpublic information rests with that individual, and any action on the part of the Company, the Compliance Officer or any other person subject to this Policy pursuant to this Policy (or otherwise) does not in any way constitute legal advice or insulate an individual from liability under applicable securities laws. You could be subject to severe legal penalties and disciplinary action by the Company for any conduct prohibited by this Policy or applicable securities laws, as described below in more detail under the heading “Consequences of Violations.”</w:t>
      </w:r>
    </w:p>
    <w:p>
      <w:pPr>
        <w:spacing w:after="0" w:line="17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b w:val="1"/>
          <w:bCs w:val="1"/>
          <w:color w:val="auto"/>
        </w:rPr>
        <w:t>Administration of the Policy</w:t>
      </w:r>
    </w:p>
    <w:p>
      <w:pPr>
        <w:spacing w:after="0" w:line="210" w:lineRule="exact"/>
        <w:rPr>
          <w:sz w:val="20"/>
          <w:szCs w:val="20"/>
          <w:color w:val="auto"/>
        </w:rPr>
      </w:pPr>
    </w:p>
    <w:p>
      <w:pPr>
        <w:jc w:val="both"/>
        <w:ind w:left="260" w:right="299" w:firstLine="648"/>
        <w:spacing w:after="0" w:line="238" w:lineRule="auto"/>
        <w:rPr>
          <w:sz w:val="20"/>
          <w:szCs w:val="20"/>
          <w:color w:val="auto"/>
        </w:rPr>
      </w:pPr>
      <w:r>
        <w:rPr>
          <w:rFonts w:ascii="Times New Roman" w:cs="Times New Roman" w:eastAsia="Times New Roman" w:hAnsi="Times New Roman"/>
          <w:sz w:val="22"/>
          <w:szCs w:val="22"/>
          <w:color w:val="auto"/>
        </w:rPr>
        <w:t>The General Counsel of the Company shall serve as the Compliance Officer for the purposes of this Policy, and in the General Counsel’s absence, the Chief Financial Officer or another employee designated by the Compliance Officer shall be responsible for administration of this Policy. All determinations and interpretations by the Compliance Officer shall be final and not subject to further review.</w:t>
      </w:r>
    </w:p>
    <w:p>
      <w:pPr>
        <w:spacing w:after="0" w:line="17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b w:val="1"/>
          <w:bCs w:val="1"/>
          <w:color w:val="auto"/>
        </w:rPr>
        <w:t>Statement of Policy</w:t>
      </w:r>
    </w:p>
    <w:p>
      <w:pPr>
        <w:spacing w:after="0" w:line="210" w:lineRule="exact"/>
        <w:rPr>
          <w:sz w:val="20"/>
          <w:szCs w:val="20"/>
          <w:color w:val="auto"/>
        </w:rPr>
      </w:pPr>
    </w:p>
    <w:p>
      <w:pPr>
        <w:jc w:val="both"/>
        <w:ind w:left="260" w:right="299" w:firstLine="648"/>
        <w:spacing w:after="0" w:line="239" w:lineRule="auto"/>
        <w:rPr>
          <w:sz w:val="20"/>
          <w:szCs w:val="20"/>
          <w:color w:val="auto"/>
        </w:rPr>
      </w:pPr>
      <w:r>
        <w:rPr>
          <w:rFonts w:ascii="Times New Roman" w:cs="Times New Roman" w:eastAsia="Times New Roman" w:hAnsi="Times New Roman"/>
          <w:sz w:val="22"/>
          <w:szCs w:val="22"/>
          <w:color w:val="auto"/>
        </w:rPr>
        <w:t>It is the policy of the Company that no Covered Person (or any other person or entity designated by this Policy or by the Compliance Officer as subject to this Policy) who is aware of material nonpublic information relating to the Company may, directly or indirectly through family members or other persons or entities:</w:t>
      </w:r>
    </w:p>
    <w:p>
      <w:pPr>
        <w:spacing w:after="0" w:line="180" w:lineRule="exact"/>
        <w:rPr>
          <w:sz w:val="20"/>
          <w:szCs w:val="20"/>
          <w:color w:val="auto"/>
        </w:rPr>
      </w:pPr>
    </w:p>
    <w:p>
      <w:pPr>
        <w:jc w:val="both"/>
        <w:ind w:left="1240" w:right="299" w:hanging="326"/>
        <w:spacing w:after="0" w:line="244" w:lineRule="auto"/>
        <w:tabs>
          <w:tab w:leader="none" w:pos="1240"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engage in transactions in Company Securities, except as otherwise specified in this Policy under the headings “Transactions Under Company Plans,” “Transactions Not Involving a Purchase or Sale” and “Rule 10b5-1 Plans;”</w:t>
      </w:r>
    </w:p>
    <w:p>
      <w:pPr>
        <w:spacing w:after="0" w:line="173" w:lineRule="exact"/>
        <w:rPr>
          <w:rFonts w:ascii="Times New Roman" w:cs="Times New Roman" w:eastAsia="Times New Roman" w:hAnsi="Times New Roman"/>
          <w:sz w:val="22"/>
          <w:szCs w:val="22"/>
          <w:color w:val="auto"/>
        </w:rPr>
      </w:pPr>
    </w:p>
    <w:p>
      <w:pPr>
        <w:ind w:left="1240" w:right="299" w:hanging="326"/>
        <w:spacing w:after="0" w:line="258" w:lineRule="auto"/>
        <w:tabs>
          <w:tab w:leader="none" w:pos="1240"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recommend the purchase or sale of any Company Securities to anyone who may trade in the Company Securities;</w:t>
      </w:r>
    </w:p>
    <w:p>
      <w:pPr>
        <w:spacing w:after="0" w:line="158" w:lineRule="exact"/>
        <w:rPr>
          <w:rFonts w:ascii="Times New Roman" w:cs="Times New Roman" w:eastAsia="Times New Roman" w:hAnsi="Times New Roman"/>
          <w:sz w:val="22"/>
          <w:szCs w:val="22"/>
          <w:color w:val="auto"/>
        </w:rPr>
      </w:pPr>
    </w:p>
    <w:p>
      <w:pPr>
        <w:jc w:val="both"/>
        <w:ind w:left="1240" w:right="299" w:hanging="326"/>
        <w:spacing w:after="0" w:line="236" w:lineRule="auto"/>
        <w:tabs>
          <w:tab w:leader="none" w:pos="1240"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disclose material nonpublic information to persons within the Company whose jobs do not require them to have that information, or outside of the Company to other persons or entities, including, without limitation, family, friends, business associates, investors and consulting firms, unless any such disclosure is made in accordance with the Company’s policies regarding the protection or authorized external disclosure of information regarding the Company; or</w:t>
      </w:r>
    </w:p>
    <w:p>
      <w:pPr>
        <w:spacing w:after="0" w:line="181" w:lineRule="exact"/>
        <w:rPr>
          <w:rFonts w:ascii="Times New Roman" w:cs="Times New Roman" w:eastAsia="Times New Roman" w:hAnsi="Times New Roman"/>
          <w:sz w:val="22"/>
          <w:szCs w:val="22"/>
          <w:color w:val="auto"/>
        </w:rPr>
      </w:pPr>
    </w:p>
    <w:p>
      <w:pPr>
        <w:ind w:left="1240" w:hanging="326"/>
        <w:spacing w:after="0"/>
        <w:tabs>
          <w:tab w:leader="none" w:pos="1240"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assist anyone engaged in the above activities.</w:t>
      </w:r>
    </w:p>
    <w:p>
      <w:pPr>
        <w:spacing w:after="0" w:line="206" w:lineRule="exact"/>
        <w:rPr>
          <w:sz w:val="20"/>
          <w:szCs w:val="20"/>
          <w:color w:val="auto"/>
        </w:rPr>
      </w:pPr>
    </w:p>
    <w:p>
      <w:pPr>
        <w:jc w:val="both"/>
        <w:ind w:left="260" w:right="299" w:firstLine="648"/>
        <w:spacing w:after="0" w:line="249" w:lineRule="auto"/>
        <w:rPr>
          <w:sz w:val="20"/>
          <w:szCs w:val="20"/>
          <w:color w:val="auto"/>
        </w:rPr>
      </w:pPr>
      <w:r>
        <w:rPr>
          <w:rFonts w:ascii="Times New Roman" w:cs="Times New Roman" w:eastAsia="Times New Roman" w:hAnsi="Times New Roman"/>
          <w:sz w:val="21"/>
          <w:szCs w:val="21"/>
          <w:color w:val="auto"/>
        </w:rPr>
        <w:t>In addition, it is the policy of the Company that no Covered Person (or any other person or entity designated as subject to this Policy) who, in the course of working for, or providing services to, the Company, learns of material nonpublic information about a company with which the Company does business, including a customer or supplier of the Company, may (i) trade in that company’s securities until such information becomes public or is no longer material or (ii) disclose such information to another person who may purchase or sell the relevant securities.</w:t>
      </w:r>
    </w:p>
    <w:p>
      <w:pPr>
        <w:spacing w:after="0" w:line="3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481330</wp:posOffset>
            </wp:positionV>
            <wp:extent cx="7037705"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86">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08" w:right="1440" w:bottom="1440" w:gutter="0" w:footer="0" w:header="0"/>
        </w:sectPr>
      </w:pPr>
    </w:p>
    <w:bookmarkStart w:id="94" w:name="page95"/>
    <w:bookmarkEnd w:id="94"/>
    <w:p>
      <w:pPr>
        <w:jc w:val="both"/>
        <w:ind w:left="260" w:right="299" w:firstLine="648"/>
        <w:spacing w:after="0" w:line="236" w:lineRule="auto"/>
        <w:rPr>
          <w:sz w:val="20"/>
          <w:szCs w:val="20"/>
          <w:color w:val="auto"/>
        </w:rPr>
      </w:pPr>
      <w:r>
        <w:rPr>
          <w:rFonts w:ascii="Times New Roman" w:cs="Times New Roman" w:eastAsia="Times New Roman" w:hAnsi="Times New Roman"/>
          <w:sz w:val="22"/>
          <w:szCs w:val="22"/>
          <w:color w:val="auto"/>
        </w:rPr>
        <w:t>There are no exceptions to this Policy, except as specifically noted herein. Transactions that may be necessary or justifiable for independent reasons (such as the need to raise money for an emergency expenditure), or small transactions, are not excepted from this Policy. The securities laws do not recognize any mitigating circumstances, and, in any event, even the appearance of an improper transaction must be avoided to preserve the Company’s reputation for adhering to the highest standards of conduct.</w:t>
      </w:r>
    </w:p>
    <w:p>
      <w:pPr>
        <w:spacing w:after="0" w:line="17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b w:val="1"/>
          <w:bCs w:val="1"/>
          <w:color w:val="auto"/>
        </w:rPr>
        <w:t>Definition of Material Nonpublic Information</w:t>
      </w:r>
    </w:p>
    <w:p>
      <w:pPr>
        <w:spacing w:after="0" w:line="210" w:lineRule="exact"/>
        <w:rPr>
          <w:sz w:val="20"/>
          <w:szCs w:val="20"/>
          <w:color w:val="auto"/>
        </w:rPr>
      </w:pPr>
    </w:p>
    <w:p>
      <w:pPr>
        <w:jc w:val="both"/>
        <w:ind w:left="260" w:right="299" w:firstLine="648"/>
        <w:spacing w:after="0" w:line="235" w:lineRule="auto"/>
        <w:rPr>
          <w:sz w:val="20"/>
          <w:szCs w:val="20"/>
          <w:color w:val="auto"/>
        </w:rPr>
      </w:pPr>
      <w:r>
        <w:rPr>
          <w:rFonts w:ascii="Times New Roman" w:cs="Times New Roman" w:eastAsia="Times New Roman" w:hAnsi="Times New Roman"/>
          <w:sz w:val="22"/>
          <w:szCs w:val="22"/>
          <w:u w:val="single" w:color="auto"/>
          <w:color w:val="auto"/>
        </w:rPr>
        <w:t>Material Information</w:t>
      </w:r>
      <w:r>
        <w:rPr>
          <w:rFonts w:ascii="Times New Roman" w:cs="Times New Roman" w:eastAsia="Times New Roman" w:hAnsi="Times New Roman"/>
          <w:sz w:val="22"/>
          <w:szCs w:val="22"/>
          <w:color w:val="auto"/>
        </w:rPr>
        <w:t>. Information is considered “material” if a reasonable investor would consider that information important in making a decision to buy, hold or sell securities. Any information that could be reasonably expected to affect the Company’s stock price, whether it is positive or negative, should be considered material. There is no bright-line standard for assessing materiality; rather, materiality is based on an assessment of all of the facts and circumstances and is often evaluated by enforcement authorities with the benefit of hindsight. While it is not possible to define all categories of material information, some examples of information that ordinarily would be regarded as material are:</w:t>
      </w:r>
    </w:p>
    <w:p>
      <w:pPr>
        <w:spacing w:after="0" w:line="178" w:lineRule="exact"/>
        <w:rPr>
          <w:sz w:val="20"/>
          <w:szCs w:val="20"/>
          <w:color w:val="auto"/>
        </w:rPr>
      </w:pPr>
    </w:p>
    <w:p>
      <w:pPr>
        <w:ind w:left="1240" w:hanging="326"/>
        <w:spacing w:after="0"/>
        <w:tabs>
          <w:tab w:leader="none" w:pos="1240"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projections of future earnings or losses, or other earnings guidance;</w:t>
      </w:r>
    </w:p>
    <w:p>
      <w:pPr>
        <w:spacing w:after="0" w:line="14" w:lineRule="exact"/>
        <w:rPr>
          <w:rFonts w:ascii="Times New Roman" w:cs="Times New Roman" w:eastAsia="Times New Roman" w:hAnsi="Times New Roman"/>
          <w:sz w:val="22"/>
          <w:szCs w:val="22"/>
          <w:color w:val="auto"/>
        </w:rPr>
      </w:pPr>
    </w:p>
    <w:p>
      <w:pPr>
        <w:ind w:left="1240" w:right="939" w:hanging="326"/>
        <w:spacing w:after="0" w:line="236" w:lineRule="auto"/>
        <w:tabs>
          <w:tab w:leader="none" w:pos="1240"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changes to previously announced earnings guidance, or the decision to suspend earnings guidance;</w:t>
      </w:r>
    </w:p>
    <w:p>
      <w:pPr>
        <w:spacing w:after="0" w:line="1" w:lineRule="exact"/>
        <w:rPr>
          <w:rFonts w:ascii="Times New Roman" w:cs="Times New Roman" w:eastAsia="Times New Roman" w:hAnsi="Times New Roman"/>
          <w:sz w:val="22"/>
          <w:szCs w:val="22"/>
          <w:color w:val="auto"/>
        </w:rPr>
      </w:pPr>
    </w:p>
    <w:p>
      <w:pPr>
        <w:ind w:left="1240" w:hanging="326"/>
        <w:spacing w:after="0" w:line="230" w:lineRule="auto"/>
        <w:tabs>
          <w:tab w:leader="none" w:pos="1240"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pending or proposed merger, acquisition or tender offer;</w:t>
      </w:r>
    </w:p>
    <w:p>
      <w:pPr>
        <w:ind w:left="1240" w:hanging="326"/>
        <w:spacing w:after="0" w:line="230" w:lineRule="auto"/>
        <w:tabs>
          <w:tab w:leader="none" w:pos="1240"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pending or proposed acquisition or disposition of a significant asset;</w:t>
      </w:r>
    </w:p>
    <w:p>
      <w:pPr>
        <w:ind w:left="1240" w:hanging="326"/>
        <w:spacing w:after="0" w:line="230" w:lineRule="auto"/>
        <w:tabs>
          <w:tab w:leader="none" w:pos="1240"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pending or proposed joint venture;</w:t>
      </w:r>
    </w:p>
    <w:p>
      <w:pPr>
        <w:ind w:left="1240" w:hanging="326"/>
        <w:spacing w:after="0" w:line="230" w:lineRule="auto"/>
        <w:tabs>
          <w:tab w:leader="none" w:pos="1240"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Company restructuring;</w:t>
      </w:r>
    </w:p>
    <w:p>
      <w:pPr>
        <w:ind w:left="1240" w:hanging="326"/>
        <w:spacing w:after="0" w:line="230" w:lineRule="auto"/>
        <w:tabs>
          <w:tab w:leader="none" w:pos="1240"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significant related party transactions;</w:t>
      </w:r>
    </w:p>
    <w:p>
      <w:pPr>
        <w:ind w:left="1220" w:right="1179" w:hanging="306"/>
        <w:spacing w:after="0" w:line="230" w:lineRule="auto"/>
        <w:tabs>
          <w:tab w:leader="none" w:pos="1220"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change in dividend policy, the declaration of a stock split, or an offering of additional securities;</w:t>
      </w:r>
    </w:p>
    <w:p>
      <w:pPr>
        <w:spacing w:after="0" w:line="1" w:lineRule="exact"/>
        <w:rPr>
          <w:rFonts w:ascii="Times New Roman" w:cs="Times New Roman" w:eastAsia="Times New Roman" w:hAnsi="Times New Roman"/>
          <w:sz w:val="22"/>
          <w:szCs w:val="22"/>
          <w:color w:val="auto"/>
        </w:rPr>
      </w:pPr>
    </w:p>
    <w:p>
      <w:pPr>
        <w:ind w:left="1240" w:hanging="326"/>
        <w:spacing w:after="0"/>
        <w:tabs>
          <w:tab w:leader="none" w:pos="1240"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bank borrowings or other financing transactions out of the ordinary course;</w:t>
      </w:r>
    </w:p>
    <w:p>
      <w:pPr>
        <w:spacing w:after="0" w:line="3" w:lineRule="exact"/>
        <w:rPr>
          <w:rFonts w:ascii="Times New Roman" w:cs="Times New Roman" w:eastAsia="Times New Roman" w:hAnsi="Times New Roman"/>
          <w:sz w:val="22"/>
          <w:szCs w:val="22"/>
          <w:color w:val="auto"/>
        </w:rPr>
      </w:pPr>
    </w:p>
    <w:p>
      <w:pPr>
        <w:ind w:left="1240" w:hanging="326"/>
        <w:spacing w:after="0" w:line="230" w:lineRule="auto"/>
        <w:tabs>
          <w:tab w:leader="none" w:pos="1240"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establishment of a repurchase program for Company Securities;</w:t>
      </w:r>
    </w:p>
    <w:p>
      <w:pPr>
        <w:ind w:left="1240" w:hanging="326"/>
        <w:spacing w:after="0" w:line="230" w:lineRule="auto"/>
        <w:tabs>
          <w:tab w:leader="none" w:pos="1240"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change in the Company’s pricing or cost structure;</w:t>
      </w:r>
    </w:p>
    <w:p>
      <w:pPr>
        <w:ind w:left="1240" w:hanging="326"/>
        <w:spacing w:after="0" w:line="230" w:lineRule="auto"/>
        <w:tabs>
          <w:tab w:leader="none" w:pos="1240"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major marketing changes;</w:t>
      </w:r>
    </w:p>
    <w:p>
      <w:pPr>
        <w:ind w:left="1240" w:hanging="326"/>
        <w:spacing w:after="0" w:line="230" w:lineRule="auto"/>
        <w:tabs>
          <w:tab w:leader="none" w:pos="1240"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change in management;</w:t>
      </w:r>
    </w:p>
    <w:p>
      <w:pPr>
        <w:ind w:left="1240" w:right="299" w:hanging="326"/>
        <w:spacing w:after="0" w:line="230" w:lineRule="auto"/>
        <w:tabs>
          <w:tab w:leader="none" w:pos="1240"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significant cybersecurity incident against the Company or the Company’s third-party vendors’ information systems;</w:t>
      </w:r>
    </w:p>
    <w:p>
      <w:pPr>
        <w:spacing w:after="0" w:line="1" w:lineRule="exact"/>
        <w:rPr>
          <w:rFonts w:ascii="Times New Roman" w:cs="Times New Roman" w:eastAsia="Times New Roman" w:hAnsi="Times New Roman"/>
          <w:sz w:val="22"/>
          <w:szCs w:val="22"/>
          <w:color w:val="auto"/>
        </w:rPr>
      </w:pPr>
    </w:p>
    <w:p>
      <w:pPr>
        <w:ind w:left="1220" w:right="1059" w:hanging="306"/>
        <w:spacing w:after="0" w:line="230" w:lineRule="auto"/>
        <w:tabs>
          <w:tab w:leader="none" w:pos="1220"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change in auditors or notification that the auditor’s reports may no longer be relied upon;</w:t>
      </w:r>
    </w:p>
    <w:p>
      <w:pPr>
        <w:spacing w:after="0" w:line="1" w:lineRule="exact"/>
        <w:rPr>
          <w:rFonts w:ascii="Times New Roman" w:cs="Times New Roman" w:eastAsia="Times New Roman" w:hAnsi="Times New Roman"/>
          <w:sz w:val="22"/>
          <w:szCs w:val="22"/>
          <w:color w:val="auto"/>
        </w:rPr>
      </w:pPr>
    </w:p>
    <w:p>
      <w:pPr>
        <w:ind w:left="1240" w:hanging="326"/>
        <w:spacing w:after="0" w:line="230" w:lineRule="auto"/>
        <w:tabs>
          <w:tab w:leader="none" w:pos="1240"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development of a significant new product, process or service;</w:t>
      </w:r>
    </w:p>
    <w:p>
      <w:pPr>
        <w:ind w:left="1240" w:hanging="326"/>
        <w:spacing w:after="0" w:line="230" w:lineRule="auto"/>
        <w:tabs>
          <w:tab w:leader="none" w:pos="1240"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pending or threatened significant litigation, or the resolution of such litigation;</w:t>
      </w:r>
    </w:p>
    <w:p>
      <w:pPr>
        <w:ind w:left="1240" w:hanging="326"/>
        <w:spacing w:after="0" w:line="230" w:lineRule="auto"/>
        <w:tabs>
          <w:tab w:leader="none" w:pos="1240"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impending bankruptcy or the existence of severe liquidity problems;</w:t>
      </w:r>
    </w:p>
    <w:p>
      <w:pPr>
        <w:ind w:left="1240" w:hanging="326"/>
        <w:spacing w:after="0"/>
        <w:tabs>
          <w:tab w:leader="none" w:pos="1240"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gain or loss of a significant customer or supplier; and</w:t>
      </w:r>
    </w:p>
    <w:p>
      <w:pPr>
        <w:spacing w:after="0" w:line="3" w:lineRule="exact"/>
        <w:rPr>
          <w:rFonts w:ascii="Times New Roman" w:cs="Times New Roman" w:eastAsia="Times New Roman" w:hAnsi="Times New Roman"/>
          <w:sz w:val="22"/>
          <w:szCs w:val="22"/>
          <w:color w:val="auto"/>
        </w:rPr>
      </w:pPr>
    </w:p>
    <w:p>
      <w:pPr>
        <w:ind w:left="1220" w:right="1199" w:hanging="306"/>
        <w:spacing w:after="0" w:line="237" w:lineRule="auto"/>
        <w:tabs>
          <w:tab w:leader="none" w:pos="1220"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imposition of a ban on trading in Company Securities or the securities of another company.</w:t>
      </w:r>
    </w:p>
    <w:p>
      <w:pPr>
        <w:spacing w:after="0" w:line="178" w:lineRule="exact"/>
        <w:rPr>
          <w:sz w:val="20"/>
          <w:szCs w:val="20"/>
          <w:color w:val="auto"/>
        </w:rPr>
      </w:pPr>
    </w:p>
    <w:p>
      <w:pPr>
        <w:jc w:val="both"/>
        <w:ind w:left="260" w:right="299" w:firstLine="648"/>
        <w:spacing w:after="0" w:line="239" w:lineRule="auto"/>
        <w:rPr>
          <w:sz w:val="20"/>
          <w:szCs w:val="20"/>
          <w:color w:val="auto"/>
        </w:rPr>
      </w:pPr>
      <w:r>
        <w:rPr>
          <w:rFonts w:ascii="Times New Roman" w:cs="Times New Roman" w:eastAsia="Times New Roman" w:hAnsi="Times New Roman"/>
          <w:sz w:val="22"/>
          <w:szCs w:val="22"/>
          <w:u w:val="single" w:color="auto"/>
          <w:color w:val="auto"/>
        </w:rPr>
        <w:t>When Information is Considered Public</w:t>
      </w:r>
      <w:r>
        <w:rPr>
          <w:rFonts w:ascii="Times New Roman" w:cs="Times New Roman" w:eastAsia="Times New Roman" w:hAnsi="Times New Roman"/>
          <w:sz w:val="22"/>
          <w:szCs w:val="22"/>
          <w:color w:val="auto"/>
        </w:rPr>
        <w:t>. Information that has not been disclosed to the public is generally considered to be nonpublic information. In order to establish that the information has been disclosed to the public, it may be necessary to demonstrate that the information has been widely disseminated. Information generally would be considered widely</w:t>
      </w:r>
    </w:p>
    <w:p>
      <w:pPr>
        <w:spacing w:after="0" w:line="34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481330</wp:posOffset>
            </wp:positionV>
            <wp:extent cx="7037705"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87">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08" w:right="1440" w:bottom="1440" w:gutter="0" w:footer="0" w:header="0"/>
        </w:sectPr>
      </w:pPr>
    </w:p>
    <w:bookmarkStart w:id="95" w:name="page96"/>
    <w:bookmarkEnd w:id="95"/>
    <w:p>
      <w:pPr>
        <w:spacing w:after="0" w:line="185" w:lineRule="exact"/>
        <w:rPr>
          <w:sz w:val="20"/>
          <w:szCs w:val="20"/>
          <w:color w:val="auto"/>
        </w:rPr>
      </w:pPr>
    </w:p>
    <w:p>
      <w:pPr>
        <w:jc w:val="both"/>
        <w:ind w:left="260" w:right="299"/>
        <w:spacing w:after="0" w:line="235" w:lineRule="auto"/>
        <w:rPr>
          <w:sz w:val="20"/>
          <w:szCs w:val="20"/>
          <w:color w:val="auto"/>
        </w:rPr>
      </w:pPr>
      <w:r>
        <w:rPr>
          <w:rFonts w:ascii="Times New Roman" w:cs="Times New Roman" w:eastAsia="Times New Roman" w:hAnsi="Times New Roman"/>
          <w:sz w:val="22"/>
          <w:szCs w:val="22"/>
          <w:color w:val="auto"/>
        </w:rPr>
        <w:t>disseminated if it has been disclosed through the Dow Jones “broad tape,” newswire services, a broadcast on widely-available radio or television programs, publication in a widely-available newspaper, magazine or news website, or public disclosure documents filed with the Securities and Exchange Commission (the “SEC”), that are available on the SEC’s website. By contrast, information would likely not be considered widely disseminated if it is available only to the Company’s directors, or officers or employees, or if it is only available to a select group of analysts, brokers or institutional investors.</w:t>
      </w:r>
    </w:p>
    <w:p>
      <w:pPr>
        <w:spacing w:after="0" w:line="183" w:lineRule="exact"/>
        <w:rPr>
          <w:sz w:val="20"/>
          <w:szCs w:val="20"/>
          <w:color w:val="auto"/>
        </w:rPr>
      </w:pPr>
    </w:p>
    <w:p>
      <w:pPr>
        <w:jc w:val="both"/>
        <w:ind w:left="260" w:right="299" w:firstLine="648"/>
        <w:spacing w:after="0" w:line="235" w:lineRule="auto"/>
        <w:rPr>
          <w:sz w:val="20"/>
          <w:szCs w:val="20"/>
          <w:color w:val="auto"/>
        </w:rPr>
      </w:pPr>
      <w:r>
        <w:rPr>
          <w:rFonts w:ascii="Times New Roman" w:cs="Times New Roman" w:eastAsia="Times New Roman" w:hAnsi="Times New Roman"/>
          <w:sz w:val="22"/>
          <w:szCs w:val="22"/>
          <w:color w:val="auto"/>
        </w:rPr>
        <w:t>Once information is widely disseminated, it is still necessary to afford the investing public with sufficient time to absorb the information. As a general rule, information should not be considered fully absorbed by the marketplace until after the second full trading day after the information is released. If, for example, the Company were to make an announcement before the market opens on a Monday, you should not trade in Company Securities until Wednesday. Depending on the particular circumstances, the Company may determine that a longer or shorter period should apply to the release of specific material nonpublic information.</w:t>
      </w:r>
    </w:p>
    <w:p>
      <w:pPr>
        <w:spacing w:after="0" w:line="17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b w:val="1"/>
          <w:bCs w:val="1"/>
          <w:color w:val="auto"/>
        </w:rPr>
        <w:t>Transactions by Family Members and Others</w:t>
      </w:r>
    </w:p>
    <w:p>
      <w:pPr>
        <w:spacing w:after="0" w:line="210" w:lineRule="exact"/>
        <w:rPr>
          <w:sz w:val="20"/>
          <w:szCs w:val="20"/>
          <w:color w:val="auto"/>
        </w:rPr>
      </w:pPr>
    </w:p>
    <w:p>
      <w:pPr>
        <w:jc w:val="both"/>
        <w:ind w:left="260" w:right="299" w:firstLine="648"/>
        <w:spacing w:after="0" w:line="233" w:lineRule="auto"/>
        <w:rPr>
          <w:sz w:val="20"/>
          <w:szCs w:val="20"/>
          <w:color w:val="auto"/>
        </w:rPr>
      </w:pPr>
      <w:r>
        <w:rPr>
          <w:rFonts w:ascii="Times New Roman" w:cs="Times New Roman" w:eastAsia="Times New Roman" w:hAnsi="Times New Roman"/>
          <w:sz w:val="22"/>
          <w:szCs w:val="22"/>
          <w:color w:val="auto"/>
        </w:rPr>
        <w:t>This Policy applies to your family members who reside with you (including a spouse, a child, a child away at college, stepchildren, grandchildren, parents, stepparents, grandparents, siblings and in-laws), anyone else who lives in your household and any family members who do not live in your household but whose transactions in Company Securities are directed by you or are subject to your influence or control, such as parents or children who consult with you before they trade in Company Securities (collectively referred to as “Family Members”). You are responsible for the transactions of these other persons and therefore should make them aware of the need to confer with you before they trade in Company Securities, and you should treat all such transactions for the purposes of this Policy and applicable securities laws as if the transactions were for your own account. This Policy does not, however, apply to personal securities transactions of Family Members where the purchase or sale decision is made by a third party not controlled by, influenced by or related to you or your Family Members.</w:t>
      </w:r>
    </w:p>
    <w:p>
      <w:pPr>
        <w:spacing w:after="0" w:line="18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b w:val="1"/>
          <w:bCs w:val="1"/>
          <w:color w:val="auto"/>
        </w:rPr>
        <w:t>Transactions by Entities that You Influence or Control</w:t>
      </w:r>
    </w:p>
    <w:p>
      <w:pPr>
        <w:spacing w:after="0" w:line="210" w:lineRule="exact"/>
        <w:rPr>
          <w:sz w:val="20"/>
          <w:szCs w:val="20"/>
          <w:color w:val="auto"/>
        </w:rPr>
      </w:pPr>
    </w:p>
    <w:p>
      <w:pPr>
        <w:jc w:val="both"/>
        <w:ind w:left="260" w:right="299" w:firstLine="648"/>
        <w:spacing w:after="0" w:line="239" w:lineRule="auto"/>
        <w:rPr>
          <w:sz w:val="20"/>
          <w:szCs w:val="20"/>
          <w:color w:val="auto"/>
        </w:rPr>
      </w:pPr>
      <w:r>
        <w:rPr>
          <w:rFonts w:ascii="Times New Roman" w:cs="Times New Roman" w:eastAsia="Times New Roman" w:hAnsi="Times New Roman"/>
          <w:sz w:val="22"/>
          <w:szCs w:val="22"/>
          <w:color w:val="auto"/>
        </w:rPr>
        <w:t>This Policy applies to any entities that you influence or control, including any corporations, partnerships or trusts (collectively referred to as “Controlled Entities”), and transactions by these Controlled Entities should be treated for the purposes of this Policy and applicable securities laws as if they were for your own account.</w:t>
      </w:r>
    </w:p>
    <w:p>
      <w:pPr>
        <w:spacing w:after="0" w:line="17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b w:val="1"/>
          <w:bCs w:val="1"/>
          <w:color w:val="auto"/>
        </w:rPr>
        <w:t>Transactions Under Company Plans</w:t>
      </w:r>
    </w:p>
    <w:p>
      <w:pPr>
        <w:spacing w:after="0" w:line="21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This Policy does not apply in the case of the following transactions, except as specifically</w:t>
      </w:r>
    </w:p>
    <w:p>
      <w:pPr>
        <w:spacing w:after="0" w:line="2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noted:</w:t>
      </w:r>
    </w:p>
    <w:p>
      <w:pPr>
        <w:spacing w:after="0" w:line="178" w:lineRule="exact"/>
        <w:rPr>
          <w:sz w:val="20"/>
          <w:szCs w:val="20"/>
          <w:color w:val="auto"/>
        </w:rPr>
      </w:pPr>
    </w:p>
    <w:p>
      <w:pPr>
        <w:jc w:val="both"/>
        <w:ind w:left="1240" w:right="299" w:hanging="326"/>
        <w:spacing w:after="0" w:line="238" w:lineRule="auto"/>
        <w:tabs>
          <w:tab w:leader="none" w:pos="1240"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Restricted Stock Awards</w:t>
      </w:r>
      <w:r>
        <w:rPr>
          <w:rFonts w:ascii="Times New Roman" w:cs="Times New Roman" w:eastAsia="Times New Roman" w:hAnsi="Times New Roman"/>
          <w:sz w:val="22"/>
          <w:szCs w:val="22"/>
          <w:color w:val="auto"/>
        </w:rPr>
        <w:t>. This Policy does not apply to the vesting of restricted stock,</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or the exercise of a tax withholding right pursuant to which you elect to have the Company withhold shares of stock to satisfy tax withholding requirements upon the vesting of any restricted stock. The Policy does apply, however, to any market sale of restricted stock or stock acquired on the lapse of restrictions.</w:t>
      </w:r>
    </w:p>
    <w:p>
      <w:pPr>
        <w:spacing w:after="0" w:line="3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481330</wp:posOffset>
            </wp:positionV>
            <wp:extent cx="7037705"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88">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96" w:name="page97"/>
    <w:bookmarkEnd w:id="96"/>
    <w:p>
      <w:pPr>
        <w:jc w:val="both"/>
        <w:ind w:left="1240" w:right="299" w:hanging="326"/>
        <w:spacing w:after="0" w:line="236" w:lineRule="auto"/>
        <w:tabs>
          <w:tab w:leader="none" w:pos="1240"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Stock Option Exercises</w:t>
      </w:r>
      <w:r>
        <w:rPr>
          <w:rFonts w:ascii="Times New Roman" w:cs="Times New Roman" w:eastAsia="Times New Roman" w:hAnsi="Times New Roman"/>
          <w:sz w:val="22"/>
          <w:szCs w:val="22"/>
          <w:color w:val="auto"/>
        </w:rPr>
        <w:t>. This Policy does not apply to the exercise of a stock option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acquired pursuant to the Company’s plans, or to the exercise of a tax withholding right pursuant to which a person has elected to have the Company withhold shares subject to an option to satisfy tax withholding requirements. This Policy does apply, however, to any sale of stock as part of a broker-assisted cashless exercise of an option, or any other market sale for the purpose of generating the cash needed to pay the exercise price of an option.</w:t>
      </w:r>
    </w:p>
    <w:p>
      <w:pPr>
        <w:spacing w:after="0" w:line="175" w:lineRule="exact"/>
        <w:rPr>
          <w:rFonts w:ascii="Times New Roman" w:cs="Times New Roman" w:eastAsia="Times New Roman" w:hAnsi="Times New Roman"/>
          <w:sz w:val="22"/>
          <w:szCs w:val="22"/>
          <w:color w:val="auto"/>
        </w:rPr>
      </w:pPr>
    </w:p>
    <w:p>
      <w:pPr>
        <w:jc w:val="both"/>
        <w:ind w:left="1240" w:right="299" w:hanging="326"/>
        <w:spacing w:after="0" w:line="235" w:lineRule="auto"/>
        <w:tabs>
          <w:tab w:leader="none" w:pos="1240"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Employee Stock Purchase Plan</w:t>
      </w:r>
      <w:r>
        <w:rPr>
          <w:rFonts w:ascii="Times New Roman" w:cs="Times New Roman" w:eastAsia="Times New Roman" w:hAnsi="Times New Roman"/>
          <w:sz w:val="22"/>
          <w:szCs w:val="22"/>
          <w:color w:val="auto"/>
        </w:rPr>
        <w:t>. This Policy does not apply to purchases of Company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Securities in an employee stock purchase plan resulting from your periodic contribution of money to such plan pursuant to the election you made at the time of your enrollment in such plan. This Policy also does not apply to purchases of Company Securities resulting from lump sum contributions to an employee stock purchase plan, provided that you elected to participate by lump sum payment at the beginning of the applicable enrollment period. This Policy does apply, however, to your election to participate in an employee stock purchase plan for any enrollment period and to your sales of Company Securities purchased pursuant to the plan.</w:t>
      </w:r>
    </w:p>
    <w:p>
      <w:pPr>
        <w:spacing w:after="0" w:line="173" w:lineRule="exact"/>
        <w:rPr>
          <w:rFonts w:ascii="Times New Roman" w:cs="Times New Roman" w:eastAsia="Times New Roman" w:hAnsi="Times New Roman"/>
          <w:sz w:val="22"/>
          <w:szCs w:val="22"/>
          <w:color w:val="auto"/>
        </w:rPr>
      </w:pPr>
    </w:p>
    <w:p>
      <w:pPr>
        <w:jc w:val="both"/>
        <w:ind w:left="1240" w:right="299" w:hanging="326"/>
        <w:spacing w:after="0" w:line="246" w:lineRule="auto"/>
        <w:tabs>
          <w:tab w:leader="none" w:pos="1240"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Other Similar Transactions</w:t>
      </w:r>
      <w:r>
        <w:rPr>
          <w:rFonts w:ascii="Times New Roman" w:cs="Times New Roman" w:eastAsia="Times New Roman" w:hAnsi="Times New Roman"/>
          <w:sz w:val="22"/>
          <w:szCs w:val="22"/>
          <w:color w:val="auto"/>
        </w:rPr>
        <w:t>. Any other purchase of Company Securities from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Company or sales of Company Securities to the Company are not subject to this Policy.</w:t>
      </w:r>
    </w:p>
    <w:p>
      <w:pPr>
        <w:spacing w:after="0" w:line="16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b w:val="1"/>
          <w:bCs w:val="1"/>
          <w:color w:val="auto"/>
        </w:rPr>
        <w:t>Transactions Not Involving a Purchase or Sale</w:t>
      </w:r>
    </w:p>
    <w:p>
      <w:pPr>
        <w:spacing w:after="0" w:line="210" w:lineRule="exact"/>
        <w:rPr>
          <w:sz w:val="20"/>
          <w:szCs w:val="20"/>
          <w:color w:val="auto"/>
        </w:rPr>
      </w:pPr>
    </w:p>
    <w:p>
      <w:pPr>
        <w:jc w:val="both"/>
        <w:ind w:left="260" w:right="299" w:firstLine="648"/>
        <w:spacing w:after="0" w:line="258" w:lineRule="auto"/>
        <w:rPr>
          <w:sz w:val="20"/>
          <w:szCs w:val="20"/>
          <w:color w:val="auto"/>
        </w:rPr>
      </w:pPr>
      <w:r>
        <w:rPr>
          <w:rFonts w:ascii="Times New Roman" w:cs="Times New Roman" w:eastAsia="Times New Roman" w:hAnsi="Times New Roman"/>
          <w:sz w:val="22"/>
          <w:szCs w:val="22"/>
          <w:color w:val="auto"/>
        </w:rPr>
        <w:t>Transactions in mutual funds that are invested in Company Securities are not transactions subject to this Policy.</w:t>
      </w:r>
    </w:p>
    <w:p>
      <w:pPr>
        <w:spacing w:after="0" w:line="15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b w:val="1"/>
          <w:bCs w:val="1"/>
          <w:color w:val="auto"/>
        </w:rPr>
        <w:t>Special and Prohibited Transactions</w:t>
      </w:r>
    </w:p>
    <w:p>
      <w:pPr>
        <w:spacing w:after="0" w:line="210" w:lineRule="exact"/>
        <w:rPr>
          <w:sz w:val="20"/>
          <w:szCs w:val="20"/>
          <w:color w:val="auto"/>
        </w:rPr>
      </w:pPr>
    </w:p>
    <w:p>
      <w:pPr>
        <w:jc w:val="both"/>
        <w:ind w:left="260" w:right="299" w:firstLine="648"/>
        <w:spacing w:after="0" w:line="238" w:lineRule="auto"/>
        <w:rPr>
          <w:sz w:val="20"/>
          <w:szCs w:val="20"/>
          <w:color w:val="auto"/>
        </w:rPr>
      </w:pPr>
      <w:r>
        <w:rPr>
          <w:rFonts w:ascii="Times New Roman" w:cs="Times New Roman" w:eastAsia="Times New Roman" w:hAnsi="Times New Roman"/>
          <w:sz w:val="22"/>
          <w:szCs w:val="22"/>
          <w:color w:val="auto"/>
        </w:rPr>
        <w:t>The Company has determined that there is a heightened legal risk and/or the appearance of improper or inappropriate conduct if the persons subject to this Policy engage in certain types of transactions. It therefore is the Company’s policy that any persons covered by this Policy may not engage in any of the following transactions or should otherwise consider the Company’s preferences as described below:</w:t>
      </w:r>
    </w:p>
    <w:p>
      <w:pPr>
        <w:spacing w:after="0" w:line="173" w:lineRule="exact"/>
        <w:rPr>
          <w:sz w:val="20"/>
          <w:szCs w:val="20"/>
          <w:color w:val="auto"/>
        </w:rPr>
      </w:pPr>
    </w:p>
    <w:p>
      <w:pPr>
        <w:jc w:val="both"/>
        <w:ind w:left="1240" w:right="299" w:hanging="326"/>
        <w:spacing w:after="0" w:line="237" w:lineRule="auto"/>
        <w:tabs>
          <w:tab w:leader="none" w:pos="1240"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Short-Term Trading. </w:t>
      </w:r>
      <w:r>
        <w:rPr>
          <w:rFonts w:ascii="Times New Roman" w:cs="Times New Roman" w:eastAsia="Times New Roman" w:hAnsi="Times New Roman"/>
          <w:sz w:val="22"/>
          <w:szCs w:val="22"/>
          <w:color w:val="auto"/>
        </w:rPr>
        <w:t>Short-term trading of Company Securities may unduly focus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person on the Company’s short-term stock market performance instead of the Company’s long-term business objectives and may violate the SEC’s short-swing profits rules. For these reasons, any person subject to this Policy who purchases Company Securities in the open market may not sell any Company Securities of the same class during the six months following the purchase (or vice versa).</w:t>
      </w:r>
    </w:p>
    <w:p>
      <w:pPr>
        <w:spacing w:after="0" w:line="175" w:lineRule="exact"/>
        <w:rPr>
          <w:rFonts w:ascii="Times New Roman" w:cs="Times New Roman" w:eastAsia="Times New Roman" w:hAnsi="Times New Roman"/>
          <w:sz w:val="22"/>
          <w:szCs w:val="22"/>
          <w:color w:val="auto"/>
        </w:rPr>
      </w:pPr>
    </w:p>
    <w:p>
      <w:pPr>
        <w:jc w:val="both"/>
        <w:ind w:left="1240" w:right="299" w:hanging="326"/>
        <w:spacing w:after="0" w:line="235" w:lineRule="auto"/>
        <w:tabs>
          <w:tab w:leader="none" w:pos="1240"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Short Sales. </w:t>
      </w:r>
      <w:r>
        <w:rPr>
          <w:rFonts w:ascii="Times New Roman" w:cs="Times New Roman" w:eastAsia="Times New Roman" w:hAnsi="Times New Roman"/>
          <w:sz w:val="22"/>
          <w:szCs w:val="22"/>
          <w:color w:val="auto"/>
        </w:rPr>
        <w:t>Short sales of Company Securities (i.e., the sale of a security that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seller does not own) may evidence an expectation on the part of the seller that the securities will decline in value, and therefore have the potential to signal to the market that the seller lacks confidence in the Company’s prospects. In addition, short sales may reduce a seller’s incentive to seek to improve the Company’s performance. For these reasons, short sales of Company Securities are prohibited. In addition, Section 16(c) of the Securities Exchange Act of 1934, as amended (the “Exchange Act”), prohibits directors</w:t>
      </w:r>
    </w:p>
    <w:p>
      <w:pPr>
        <w:spacing w:after="0" w:line="3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481330</wp:posOffset>
            </wp:positionV>
            <wp:extent cx="7037705"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89">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04" w:right="1440" w:bottom="1440" w:gutter="0" w:footer="0" w:header="0"/>
        </w:sectPr>
      </w:pPr>
    </w:p>
    <w:bookmarkStart w:id="97" w:name="page98"/>
    <w:bookmarkEnd w:id="97"/>
    <w:p>
      <w:pPr>
        <w:jc w:val="both"/>
        <w:ind w:left="1240" w:right="299"/>
        <w:spacing w:after="0" w:line="244" w:lineRule="auto"/>
        <w:rPr>
          <w:sz w:val="20"/>
          <w:szCs w:val="20"/>
          <w:color w:val="auto"/>
        </w:rPr>
      </w:pPr>
      <w:r>
        <w:rPr>
          <w:rFonts w:ascii="Times New Roman" w:cs="Times New Roman" w:eastAsia="Times New Roman" w:hAnsi="Times New Roman"/>
          <w:sz w:val="22"/>
          <w:szCs w:val="22"/>
          <w:color w:val="auto"/>
        </w:rPr>
        <w:t>and executive officers from engaging in short sales. (Short sales arising from certain types of hedging transactions are governed by the Company’s Anti-Hedging Policy for Directors and Officers.)</w:t>
      </w:r>
    </w:p>
    <w:p>
      <w:pPr>
        <w:spacing w:after="0" w:line="169" w:lineRule="exact"/>
        <w:rPr>
          <w:sz w:val="20"/>
          <w:szCs w:val="20"/>
          <w:color w:val="auto"/>
        </w:rPr>
      </w:pPr>
    </w:p>
    <w:p>
      <w:pPr>
        <w:jc w:val="both"/>
        <w:ind w:left="1240" w:right="299" w:hanging="326"/>
        <w:spacing w:after="0" w:line="247" w:lineRule="auto"/>
        <w:tabs>
          <w:tab w:leader="none" w:pos="1240" w:val="left"/>
        </w:tabs>
        <w:numPr>
          <w:ilvl w:val="0"/>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 xml:space="preserve">Publicly-Traded Options. </w:t>
      </w:r>
      <w:r>
        <w:rPr>
          <w:rFonts w:ascii="Times New Roman" w:cs="Times New Roman" w:eastAsia="Times New Roman" w:hAnsi="Times New Roman"/>
          <w:sz w:val="21"/>
          <w:szCs w:val="21"/>
          <w:color w:val="auto"/>
        </w:rPr>
        <w:t>Given the relatively short term of publicly-traded options,</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transactions in options may create the appearance that a person or entity subject to this Policy is trading based on material nonpublic information and focus such person or entity’s attention on short-term performance at the expense of the Company’s long-term objectives. Accordingly, transactions in put options, call options or other derivative securities, on an exchange or in any other organized market, are prohibited by this Policy. (Option positions arising from certain types of hedging transactions are governed by the Company’s Anti-Hedging Policy for Directors and Officers.)</w:t>
      </w:r>
    </w:p>
    <w:p>
      <w:pPr>
        <w:spacing w:after="0" w:line="171" w:lineRule="exact"/>
        <w:rPr>
          <w:rFonts w:ascii="Times New Roman" w:cs="Times New Roman" w:eastAsia="Times New Roman" w:hAnsi="Times New Roman"/>
          <w:sz w:val="21"/>
          <w:szCs w:val="21"/>
          <w:color w:val="auto"/>
        </w:rPr>
      </w:pPr>
    </w:p>
    <w:p>
      <w:pPr>
        <w:jc w:val="both"/>
        <w:ind w:left="1240" w:right="299" w:hanging="326"/>
        <w:spacing w:after="0" w:line="244" w:lineRule="auto"/>
        <w:tabs>
          <w:tab w:leader="none" w:pos="1240" w:val="left"/>
        </w:tabs>
        <w:numPr>
          <w:ilvl w:val="0"/>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 xml:space="preserve">Margin Accounts and Pledged Securities. </w:t>
      </w:r>
      <w:r>
        <w:rPr>
          <w:rFonts w:ascii="Times New Roman" w:cs="Times New Roman" w:eastAsia="Times New Roman" w:hAnsi="Times New Roman"/>
          <w:sz w:val="21"/>
          <w:szCs w:val="21"/>
          <w:color w:val="auto"/>
        </w:rPr>
        <w:t>Securities held in a margin account as</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collateral for a margin loan may be sold by the broker without the customer’s consent if the customer fails to meet a margin call. Similarly, securities pledged (or hypothecated) as collateral for a loan may be sold in foreclosure if the borrower defaults on the loan. Because a margin sale or foreclosure sale may occur at a time when the pledgor is aware of material nonpublic information or otherwise is not permitted to trade in Company Securities, Covered Persons are prohibited from holding Company Securities in a margin account or otherwise pledging Company Securities as collateral for a loan without the prior written consent of the Compliance Officer. Any Covered Person who wishes to pledge Company Securities as collateral for a loan must submit a request for approval to the Compliance Officer at least two weeks prior to the proposed execution of documents evidencing the proposed pledge. (Pledges of Company Securities arising from certain types of hedging transactions are governed by the Company’s Anti-Hedging Policy for Directors and Officers.)</w:t>
      </w:r>
    </w:p>
    <w:p>
      <w:pPr>
        <w:spacing w:after="0" w:line="180" w:lineRule="exact"/>
        <w:rPr>
          <w:rFonts w:ascii="Times New Roman" w:cs="Times New Roman" w:eastAsia="Times New Roman" w:hAnsi="Times New Roman"/>
          <w:sz w:val="21"/>
          <w:szCs w:val="21"/>
          <w:color w:val="auto"/>
        </w:rPr>
      </w:pPr>
    </w:p>
    <w:p>
      <w:pPr>
        <w:ind w:left="1240" w:right="319" w:hanging="326"/>
        <w:spacing w:after="0" w:line="234" w:lineRule="auto"/>
        <w:tabs>
          <w:tab w:leader="none" w:pos="1240"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Standing and Limit Orders</w:t>
      </w:r>
      <w:r>
        <w:rPr>
          <w:rFonts w:ascii="Times New Roman" w:cs="Times New Roman" w:eastAsia="Times New Roman" w:hAnsi="Times New Roman"/>
          <w:sz w:val="22"/>
          <w:szCs w:val="22"/>
          <w:color w:val="auto"/>
        </w:rPr>
        <w:t>. Standing and limit orders (except standing and limit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orders under approved Rule 10b5-1 Plans, as described below) create heightened risks for insider trading violations similar to the use of margin accounts. There is no control over the timing of purchases or sales that result from standing instructions to a broker, and as a result the broker could execute a transaction when a person or entity subject to this Policy is in possession of material nonpublic information. The Company therefore discourages placing standing or limit orders on Company Securities. If a person or entity subject to this Policy determines that they must use a standing order or limit order, the order should be limited to short duration and should otherwise comply with the restrictions and procedures outlined below under the heading “Additional Procedures.”</w:t>
      </w:r>
    </w:p>
    <w:p>
      <w:pPr>
        <w:spacing w:after="0" w:line="17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b w:val="1"/>
          <w:bCs w:val="1"/>
          <w:color w:val="auto"/>
        </w:rPr>
        <w:t>Additional Procedures</w:t>
      </w:r>
    </w:p>
    <w:p>
      <w:pPr>
        <w:spacing w:after="0" w:line="210" w:lineRule="exact"/>
        <w:rPr>
          <w:sz w:val="20"/>
          <w:szCs w:val="20"/>
          <w:color w:val="auto"/>
        </w:rPr>
      </w:pPr>
    </w:p>
    <w:p>
      <w:pPr>
        <w:jc w:val="both"/>
        <w:ind w:left="260" w:right="299" w:firstLine="648"/>
        <w:spacing w:after="0" w:line="255" w:lineRule="auto"/>
        <w:rPr>
          <w:sz w:val="20"/>
          <w:szCs w:val="20"/>
          <w:color w:val="auto"/>
        </w:rPr>
      </w:pPr>
      <w:r>
        <w:rPr>
          <w:rFonts w:ascii="Times New Roman" w:cs="Times New Roman" w:eastAsia="Times New Roman" w:hAnsi="Times New Roman"/>
          <w:sz w:val="21"/>
          <w:szCs w:val="21"/>
          <w:color w:val="auto"/>
        </w:rPr>
        <w:t>The Company has established additional procedures in order to assist the Company in the administration of this Policy, to facilitate compliance with laws prohibiting insider trading while in possession of material nonpublic information, and to avoid the appearance of any impropriety. These additional procedures are applicable only to those individuals described below.</w:t>
      </w:r>
    </w:p>
    <w:p>
      <w:pPr>
        <w:spacing w:after="0" w:line="34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481330</wp:posOffset>
            </wp:positionV>
            <wp:extent cx="7037705"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90">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08" w:right="1440" w:bottom="1440" w:gutter="0" w:footer="0" w:header="0"/>
        </w:sectPr>
      </w:pPr>
    </w:p>
    <w:bookmarkStart w:id="98" w:name="page99"/>
    <w:bookmarkEnd w:id="98"/>
    <w:p>
      <w:pPr>
        <w:jc w:val="both"/>
        <w:ind w:left="260" w:right="299" w:firstLine="648"/>
        <w:spacing w:after="0" w:line="234" w:lineRule="auto"/>
        <w:rPr>
          <w:sz w:val="20"/>
          <w:szCs w:val="20"/>
          <w:color w:val="auto"/>
        </w:rPr>
      </w:pPr>
      <w:r>
        <w:rPr>
          <w:rFonts w:ascii="Times New Roman" w:cs="Times New Roman" w:eastAsia="Times New Roman" w:hAnsi="Times New Roman"/>
          <w:sz w:val="22"/>
          <w:szCs w:val="22"/>
          <w:u w:val="single" w:color="auto"/>
          <w:color w:val="auto"/>
        </w:rPr>
        <w:t>Pre-Clearance Procedures</w:t>
      </w:r>
      <w:r>
        <w:rPr>
          <w:rFonts w:ascii="Times New Roman" w:cs="Times New Roman" w:eastAsia="Times New Roman" w:hAnsi="Times New Roman"/>
          <w:sz w:val="22"/>
          <w:szCs w:val="22"/>
          <w:color w:val="auto"/>
        </w:rPr>
        <w:t>. The persons designated by the Compliance Officer as being subject to these procedures, including the Company, all directors and officers, as well as the Family Members and Controlled Entities of such persons, may not engage in any transaction in Company Securities without first obtaining pre-clearance of the transaction from the Compliance Officer. A request for pre-clearance should be submitted in writing or via e-mail to the Compliance Officer at least two business days in advance of the proposed transaction. The Compliance Officer is under no obligation to approve a transaction submitted for pre-clearance and may determine not to permit the transaction. If a person seeks pre-clearance and permission to engage in the transaction is denied, then that person should refrain from initiating any transaction in Company Securities and should not inform any other person of the restriction.</w:t>
      </w:r>
    </w:p>
    <w:p>
      <w:pPr>
        <w:spacing w:after="0" w:line="179" w:lineRule="exact"/>
        <w:rPr>
          <w:sz w:val="20"/>
          <w:szCs w:val="20"/>
          <w:color w:val="auto"/>
        </w:rPr>
      </w:pPr>
    </w:p>
    <w:p>
      <w:pPr>
        <w:jc w:val="both"/>
        <w:ind w:left="260" w:right="299" w:firstLine="648"/>
        <w:spacing w:after="0" w:line="248" w:lineRule="auto"/>
        <w:rPr>
          <w:sz w:val="20"/>
          <w:szCs w:val="20"/>
          <w:color w:val="auto"/>
        </w:rPr>
      </w:pPr>
      <w:r>
        <w:rPr>
          <w:rFonts w:ascii="Times New Roman" w:cs="Times New Roman" w:eastAsia="Times New Roman" w:hAnsi="Times New Roman"/>
          <w:sz w:val="21"/>
          <w:szCs w:val="21"/>
          <w:color w:val="auto"/>
        </w:rPr>
        <w:t>When a request for pre-clearance is made, the requestor should carefully consider whether the requestor may be aware of any material nonpublic information about the Company and should describe fully those circumstances to the Compliance Officer. The requestor should also indicate whether the requestor has effected any non-exempt “opposite-way” transactions within the past six months and should be prepared to report the proposed transaction on an appropriate Form 4 or Form 5. The requestor should also be prepared to comply with Rule 144 under the Securities Act of 1933, as amended, and file Form 144, if necessary, at the time of any sale.</w:t>
      </w:r>
    </w:p>
    <w:p>
      <w:pPr>
        <w:spacing w:after="0" w:line="170" w:lineRule="exact"/>
        <w:rPr>
          <w:sz w:val="20"/>
          <w:szCs w:val="20"/>
          <w:color w:val="auto"/>
        </w:rPr>
      </w:pPr>
    </w:p>
    <w:p>
      <w:pPr>
        <w:jc w:val="both"/>
        <w:ind w:left="260" w:right="299" w:firstLine="648"/>
        <w:spacing w:after="0" w:line="234" w:lineRule="auto"/>
        <w:rPr>
          <w:sz w:val="20"/>
          <w:szCs w:val="20"/>
          <w:color w:val="auto"/>
        </w:rPr>
      </w:pPr>
      <w:r>
        <w:rPr>
          <w:rFonts w:ascii="Times New Roman" w:cs="Times New Roman" w:eastAsia="Times New Roman" w:hAnsi="Times New Roman"/>
          <w:sz w:val="22"/>
          <w:szCs w:val="22"/>
          <w:u w:val="single" w:color="auto"/>
          <w:color w:val="auto"/>
        </w:rPr>
        <w:t>Quarterly Trading Restrictions</w:t>
      </w:r>
      <w:r>
        <w:rPr>
          <w:rFonts w:ascii="Times New Roman" w:cs="Times New Roman" w:eastAsia="Times New Roman" w:hAnsi="Times New Roman"/>
          <w:sz w:val="22"/>
          <w:szCs w:val="22"/>
          <w:color w:val="auto"/>
        </w:rPr>
        <w:t>. The persons designated by the Compliance Officer as subject to this restriction, as well as their Family Members or Controlled Entities, may not conduct any transactions involving the Company’s Securities (other than as specified by this Policy), during a “Blackout Period” beginning the first day of each fiscal quarter and ending on the second full trading day following the public release of the Company’s earnings results for that quarter. In other words, these persons may only conduct transactions in Company Securities during the “Window Period” beginning on the business day following two full trading days after public release of the Company’s quarterly earnings and ending on the last day of that fiscal quarter.</w:t>
      </w:r>
    </w:p>
    <w:p>
      <w:pPr>
        <w:spacing w:after="0" w:line="183" w:lineRule="exact"/>
        <w:rPr>
          <w:sz w:val="20"/>
          <w:szCs w:val="20"/>
          <w:color w:val="auto"/>
        </w:rPr>
      </w:pPr>
    </w:p>
    <w:p>
      <w:pPr>
        <w:jc w:val="both"/>
        <w:ind w:left="260" w:right="299" w:firstLine="648"/>
        <w:spacing w:after="0" w:line="238" w:lineRule="auto"/>
        <w:rPr>
          <w:sz w:val="20"/>
          <w:szCs w:val="20"/>
          <w:color w:val="auto"/>
        </w:rPr>
      </w:pPr>
      <w:r>
        <w:rPr>
          <w:rFonts w:ascii="Times New Roman" w:cs="Times New Roman" w:eastAsia="Times New Roman" w:hAnsi="Times New Roman"/>
          <w:sz w:val="22"/>
          <w:szCs w:val="22"/>
          <w:color w:val="auto"/>
        </w:rPr>
        <w:t>Under certain very limited circumstances, a person subject to this restriction may be permitted to trade during a Blackout Period, but only if the Compliance Officer concludes that the person does not in fact possess material nonpublic information. Persons wishing to trade during a Blackout Period must contact the Compliance Officer for approval at least two business days in advance of any proposed transaction involving Company Securities.</w:t>
      </w:r>
    </w:p>
    <w:p>
      <w:pPr>
        <w:spacing w:after="0" w:line="177" w:lineRule="exact"/>
        <w:rPr>
          <w:sz w:val="20"/>
          <w:szCs w:val="20"/>
          <w:color w:val="auto"/>
        </w:rPr>
      </w:pPr>
    </w:p>
    <w:p>
      <w:pPr>
        <w:jc w:val="both"/>
        <w:ind w:left="260" w:right="299" w:firstLine="648"/>
        <w:spacing w:after="0" w:line="244" w:lineRule="auto"/>
        <w:rPr>
          <w:sz w:val="20"/>
          <w:szCs w:val="20"/>
          <w:color w:val="auto"/>
        </w:rPr>
      </w:pPr>
      <w:r>
        <w:rPr>
          <w:rFonts w:ascii="Times New Roman" w:cs="Times New Roman" w:eastAsia="Times New Roman" w:hAnsi="Times New Roman"/>
          <w:sz w:val="21"/>
          <w:szCs w:val="21"/>
          <w:u w:val="single" w:color="auto"/>
          <w:color w:val="auto"/>
        </w:rPr>
        <w:t>Event-Specific Trading Restriction Periods</w:t>
      </w:r>
      <w:r>
        <w:rPr>
          <w:rFonts w:ascii="Times New Roman" w:cs="Times New Roman" w:eastAsia="Times New Roman" w:hAnsi="Times New Roman"/>
          <w:sz w:val="21"/>
          <w:szCs w:val="21"/>
          <w:color w:val="auto"/>
        </w:rPr>
        <w:t>. From time to time, an event may occur that is material to the Company and is known by only a few Covered Persons. So long as the event remains material and nonpublic, the persons designated by the Compliance Officer may not trade Company Securities. In addition, the Company’s financial results may be sufficiently material in a particular fiscal quarter that, in the judgment of the Compliance Officer, designated persons should refrain from trading in Company Securities even sooner than the typical Blackout Period described above. In that situation, the Compliance Officer may notify these persons that they should not trade in the Company’s Securities without disclosing the reason for the restriction. The existence of an event-specific trading restriction period or extension of a Blackout Period will not be announced to the Company as a whole and should not be communicated to any other person. Even if the Compliance Officer has not designated you as a person who should not trade due to an event-specific restriction, you should not trade while aware of material nonpublic information. Exceptions will not be granted during an event-specific trading restriction period.</w:t>
      </w:r>
    </w:p>
    <w:p>
      <w:pPr>
        <w:spacing w:after="0" w:line="36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481330</wp:posOffset>
            </wp:positionV>
            <wp:extent cx="7037705"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91">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08" w:right="1440" w:bottom="1440" w:gutter="0" w:footer="0" w:header="0"/>
        </w:sectPr>
      </w:pPr>
    </w:p>
    <w:bookmarkStart w:id="99" w:name="page100"/>
    <w:bookmarkEnd w:id="99"/>
    <w:p>
      <w:pPr>
        <w:jc w:val="both"/>
        <w:ind w:left="260" w:right="299" w:firstLine="648"/>
        <w:spacing w:after="0" w:line="236" w:lineRule="auto"/>
        <w:rPr>
          <w:sz w:val="20"/>
          <w:szCs w:val="20"/>
          <w:color w:val="auto"/>
        </w:rPr>
      </w:pPr>
      <w:r>
        <w:rPr>
          <w:rFonts w:ascii="Times New Roman" w:cs="Times New Roman" w:eastAsia="Times New Roman" w:hAnsi="Times New Roman"/>
          <w:sz w:val="22"/>
          <w:szCs w:val="22"/>
          <w:u w:val="single" w:color="auto"/>
          <w:color w:val="auto"/>
        </w:rPr>
        <w:t>Exceptions</w:t>
      </w:r>
      <w:r>
        <w:rPr>
          <w:rFonts w:ascii="Times New Roman" w:cs="Times New Roman" w:eastAsia="Times New Roman" w:hAnsi="Times New Roman"/>
          <w:sz w:val="22"/>
          <w:szCs w:val="22"/>
          <w:color w:val="auto"/>
        </w:rPr>
        <w:t>. The quarterly trading restrictions and event-specific trading restrictions do not apply to those transactions to which this Policy does not apply, as described above under the headings “Transactions Under Company Plans” and “Transactions Not Involving a Purchase or Sale.” Further, the requirement or pre-clearance, the quarterly trading restrictions and the event-specific trading restrictions do not apply to transactions conducted pursuant to approved Rule 10b5-1 plans, described under the heading “Rule 10b5-1 Plans.”</w:t>
      </w:r>
    </w:p>
    <w:p>
      <w:pPr>
        <w:spacing w:after="0" w:line="17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b w:val="1"/>
          <w:bCs w:val="1"/>
          <w:color w:val="auto"/>
        </w:rPr>
        <w:t>Rule 10b5-1 Plans</w:t>
      </w:r>
    </w:p>
    <w:p>
      <w:pPr>
        <w:spacing w:after="0" w:line="210" w:lineRule="exact"/>
        <w:rPr>
          <w:sz w:val="20"/>
          <w:szCs w:val="20"/>
          <w:color w:val="auto"/>
        </w:rPr>
      </w:pPr>
    </w:p>
    <w:p>
      <w:pPr>
        <w:jc w:val="both"/>
        <w:ind w:left="260" w:right="299" w:firstLine="648"/>
        <w:spacing w:after="0" w:line="233" w:lineRule="auto"/>
        <w:rPr>
          <w:sz w:val="20"/>
          <w:szCs w:val="20"/>
          <w:color w:val="auto"/>
        </w:rPr>
      </w:pPr>
      <w:r>
        <w:rPr>
          <w:rFonts w:ascii="Times New Roman" w:cs="Times New Roman" w:eastAsia="Times New Roman" w:hAnsi="Times New Roman"/>
          <w:sz w:val="22"/>
          <w:szCs w:val="22"/>
          <w:color w:val="auto"/>
        </w:rPr>
        <w:t xml:space="preserve">Rule 10b5-1 under the Exchange Act provides an affirmative defense from insider trading liability under Rule 10b-5 under the Exchange Act. In order to be eligible to rely on this defense, a person subject to this Policy must enter into a Rule 10b5-1 plan for transactions in Company Securities that meets certain conditions specified in the Rule (a “Rule 10b5-1 Plan”). If the plan meets the requirements of Rule 10b5-1, Company Securities may be purchased or sold without regard to certain insider trading restrictions. To comply with the Policy, a Rule 10b5-1 Plan must be approved in advance by the Compliance Officer and meet the requirements of Rule 10b5-1 and the Individual Rule 10b5-1 Trading Plan Guidelines attached to this Policy as </w:t>
      </w:r>
      <w:r>
        <w:rPr>
          <w:rFonts w:ascii="Times New Roman" w:cs="Times New Roman" w:eastAsia="Times New Roman" w:hAnsi="Times New Roman"/>
          <w:sz w:val="22"/>
          <w:szCs w:val="22"/>
          <w:u w:val="single" w:color="auto"/>
          <w:color w:val="auto"/>
        </w:rPr>
        <w:t>Appendix A</w:t>
      </w:r>
      <w:r>
        <w:rPr>
          <w:rFonts w:ascii="Times New Roman" w:cs="Times New Roman" w:eastAsia="Times New Roman" w:hAnsi="Times New Roman"/>
          <w:sz w:val="22"/>
          <w:szCs w:val="22"/>
          <w:color w:val="auto"/>
        </w:rPr>
        <w:t>. In general, a Rule 10b5-1 Plan must be entered into at a time when the person entering into the plan is not aware of material nonpublic information. Once the plan is adopted, the person must not (i) exercise any influence over the amount of securities to be traded, the price at which they are to be traded or the date of the trade or (ii) execute any trades under the Plan until the expiration of the applicable cooling-off period. The plan must either specify the amount, pricing and timing of transactions in advance or delegate discretion on these matters to an independent third party.</w:t>
      </w:r>
    </w:p>
    <w:p>
      <w:pPr>
        <w:spacing w:after="0" w:line="177" w:lineRule="exact"/>
        <w:rPr>
          <w:sz w:val="20"/>
          <w:szCs w:val="20"/>
          <w:color w:val="auto"/>
        </w:rPr>
      </w:pPr>
    </w:p>
    <w:p>
      <w:pPr>
        <w:jc w:val="both"/>
        <w:ind w:left="260" w:right="299" w:firstLine="648"/>
        <w:spacing w:after="0" w:line="244" w:lineRule="auto"/>
        <w:rPr>
          <w:sz w:val="20"/>
          <w:szCs w:val="20"/>
          <w:color w:val="auto"/>
        </w:rPr>
      </w:pPr>
      <w:r>
        <w:rPr>
          <w:rFonts w:ascii="Times New Roman" w:cs="Times New Roman" w:eastAsia="Times New Roman" w:hAnsi="Times New Roman"/>
          <w:sz w:val="22"/>
          <w:szCs w:val="22"/>
          <w:color w:val="auto"/>
        </w:rPr>
        <w:t>Any Rule 10b5-1 Plan must be submitted for approval five business days prior to the entry into the Rule 10b5-1 Plan. No further pre-approval of transactions conducted pursuant to the Rule 10b5-1 Plan will be required.</w:t>
      </w:r>
    </w:p>
    <w:p>
      <w:pPr>
        <w:spacing w:after="0" w:line="16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b w:val="1"/>
          <w:bCs w:val="1"/>
          <w:color w:val="auto"/>
        </w:rPr>
        <w:t>Post-Termination Transactions</w:t>
      </w:r>
    </w:p>
    <w:p>
      <w:pPr>
        <w:spacing w:after="0" w:line="210" w:lineRule="exact"/>
        <w:rPr>
          <w:sz w:val="20"/>
          <w:szCs w:val="20"/>
          <w:color w:val="auto"/>
        </w:rPr>
      </w:pPr>
    </w:p>
    <w:p>
      <w:pPr>
        <w:jc w:val="both"/>
        <w:ind w:left="260" w:right="299" w:firstLine="648"/>
        <w:spacing w:after="0" w:line="235" w:lineRule="auto"/>
        <w:rPr>
          <w:sz w:val="20"/>
          <w:szCs w:val="20"/>
          <w:color w:val="auto"/>
        </w:rPr>
      </w:pPr>
      <w:r>
        <w:rPr>
          <w:rFonts w:ascii="Times New Roman" w:cs="Times New Roman" w:eastAsia="Times New Roman" w:hAnsi="Times New Roman"/>
          <w:sz w:val="22"/>
          <w:szCs w:val="22"/>
          <w:color w:val="auto"/>
        </w:rPr>
        <w:t>This Policy continues to apply to transactions in Company Securities even after termination of service to the Company. If an individual is in possession of material nonpublic information when that individual’s service ends, that individual may not trade in Company Securities until that information has become public or is no longer material. The pre-clearance procedures specified under the heading “Additional Procedures” above, however, will cease to apply to transactions in Company Securities upon the expiration of any Blackout Period or other Company-imposed trading restrictions applicable at the time of the termination or conclusion of service.</w:t>
      </w:r>
    </w:p>
    <w:p>
      <w:pPr>
        <w:spacing w:after="0" w:line="17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b w:val="1"/>
          <w:bCs w:val="1"/>
          <w:color w:val="auto"/>
        </w:rPr>
        <w:t>Consequences of Violations</w:t>
      </w:r>
    </w:p>
    <w:p>
      <w:pPr>
        <w:spacing w:after="0" w:line="210" w:lineRule="exact"/>
        <w:rPr>
          <w:sz w:val="20"/>
          <w:szCs w:val="20"/>
          <w:color w:val="auto"/>
        </w:rPr>
      </w:pPr>
    </w:p>
    <w:p>
      <w:pPr>
        <w:jc w:val="both"/>
        <w:ind w:left="260" w:right="299" w:firstLine="648"/>
        <w:spacing w:after="0" w:line="235" w:lineRule="auto"/>
        <w:rPr>
          <w:sz w:val="20"/>
          <w:szCs w:val="20"/>
          <w:color w:val="auto"/>
        </w:rPr>
      </w:pPr>
      <w:r>
        <w:rPr>
          <w:rFonts w:ascii="Times New Roman" w:cs="Times New Roman" w:eastAsia="Times New Roman" w:hAnsi="Times New Roman"/>
          <w:sz w:val="22"/>
          <w:szCs w:val="22"/>
          <w:color w:val="auto"/>
        </w:rPr>
        <w:t>The purchase or sale of securities while aware of material nonpublic information, or the disclosure of material nonpublic information to others who then trade in the Company’s Securities, is prohibited by the federal and state laws. Insider trading violations are pursued vigorously by the SEC, U.S. Attorneys and state enforcement authorities as well as the laws of foreign jurisdictions. Punishment for insider trading violations is severe and could include significant fines and imprisonment. While the regulatory authorities concentrate their efforts on the individuals who trade, or who tip inside information to others who trade, the federal securities laws also impose</w:t>
      </w:r>
    </w:p>
    <w:p>
      <w:pPr>
        <w:spacing w:after="0" w:line="3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481330</wp:posOffset>
            </wp:positionV>
            <wp:extent cx="7037705"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92">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08" w:right="1440" w:bottom="1440" w:gutter="0" w:footer="0" w:header="0"/>
        </w:sectPr>
      </w:pPr>
    </w:p>
    <w:bookmarkStart w:id="100" w:name="page101"/>
    <w:bookmarkEnd w:id="100"/>
    <w:p>
      <w:pPr>
        <w:jc w:val="both"/>
        <w:ind w:left="260" w:right="299"/>
        <w:spacing w:after="0" w:line="258" w:lineRule="auto"/>
        <w:rPr>
          <w:sz w:val="20"/>
          <w:szCs w:val="20"/>
          <w:color w:val="auto"/>
        </w:rPr>
      </w:pPr>
      <w:r>
        <w:rPr>
          <w:rFonts w:ascii="Times New Roman" w:cs="Times New Roman" w:eastAsia="Times New Roman" w:hAnsi="Times New Roman"/>
          <w:sz w:val="22"/>
          <w:szCs w:val="22"/>
          <w:color w:val="auto"/>
        </w:rPr>
        <w:t>potential liability on companies and other “controlling persons” if they fail to take reasonable steps to prevent insider trading by company personnel.</w:t>
      </w:r>
    </w:p>
    <w:p>
      <w:pPr>
        <w:spacing w:after="0" w:line="158" w:lineRule="exact"/>
        <w:rPr>
          <w:sz w:val="20"/>
          <w:szCs w:val="20"/>
          <w:color w:val="auto"/>
        </w:rPr>
      </w:pPr>
    </w:p>
    <w:p>
      <w:pPr>
        <w:jc w:val="both"/>
        <w:ind w:left="260" w:right="299" w:firstLine="648"/>
        <w:spacing w:after="0" w:line="236" w:lineRule="auto"/>
        <w:rPr>
          <w:sz w:val="20"/>
          <w:szCs w:val="20"/>
          <w:color w:val="auto"/>
        </w:rPr>
      </w:pPr>
      <w:r>
        <w:rPr>
          <w:rFonts w:ascii="Times New Roman" w:cs="Times New Roman" w:eastAsia="Times New Roman" w:hAnsi="Times New Roman"/>
          <w:sz w:val="22"/>
          <w:szCs w:val="22"/>
          <w:color w:val="auto"/>
        </w:rPr>
        <w:t>In addition, a failure to comply with this Policy by a person subject to this Policy may subject such person to Company imposed sanctions, the removal of such person from such person’s position or positions with the Company or legal action against such person, whether or not such failure to comply results in a violation of law. Needless to say, a violation of law, or even an SEC investigation that does not result in prosecution, can tarnish a person’s reputation and irreparably damage a career.</w:t>
      </w:r>
    </w:p>
    <w:p>
      <w:pPr>
        <w:spacing w:after="0" w:line="17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b w:val="1"/>
          <w:bCs w:val="1"/>
          <w:color w:val="auto"/>
        </w:rPr>
        <w:t>Confidentiality</w:t>
      </w:r>
    </w:p>
    <w:p>
      <w:pPr>
        <w:spacing w:after="0" w:line="210" w:lineRule="exact"/>
        <w:rPr>
          <w:sz w:val="20"/>
          <w:szCs w:val="20"/>
          <w:color w:val="auto"/>
        </w:rPr>
      </w:pPr>
    </w:p>
    <w:p>
      <w:pPr>
        <w:jc w:val="both"/>
        <w:ind w:left="260" w:right="299" w:firstLine="648"/>
        <w:spacing w:after="0" w:line="233" w:lineRule="auto"/>
        <w:rPr>
          <w:sz w:val="20"/>
          <w:szCs w:val="20"/>
          <w:color w:val="auto"/>
        </w:rPr>
      </w:pPr>
      <w:r>
        <w:rPr>
          <w:rFonts w:ascii="Times New Roman" w:cs="Times New Roman" w:eastAsia="Times New Roman" w:hAnsi="Times New Roman"/>
          <w:sz w:val="22"/>
          <w:szCs w:val="22"/>
          <w:color w:val="auto"/>
        </w:rPr>
        <w:t>All internal information concerning the Company and any other corporation or business about which persons or entities subject to this Policy may obtain information in the course of their duties with the Company, including, but not limited to, any competitively sensitive and other proprietary or sensitive information, must be kept strictly confidential and should not be discussed with any person inside or outside of the Company, except to the extent necessary to perform duties for the Company, nor should such information be discussed with any person within the Company under circumstances where it could be overheard. Written information and communications should be appropriately safeguarded and should not be left where it may be seen by persons not entitled to the information. The unauthorized disclosure of such information could result in serious consequences to the Company, whether or not such disclosure is made for the purpose of facilitating improper trading in securities of the Company or such other corporation or business.</w:t>
      </w:r>
    </w:p>
    <w:p>
      <w:pPr>
        <w:spacing w:after="0" w:line="185" w:lineRule="exact"/>
        <w:rPr>
          <w:sz w:val="20"/>
          <w:szCs w:val="20"/>
          <w:color w:val="auto"/>
        </w:rPr>
      </w:pPr>
    </w:p>
    <w:p>
      <w:pPr>
        <w:jc w:val="both"/>
        <w:ind w:left="260" w:right="299" w:firstLine="648"/>
        <w:spacing w:after="0" w:line="236" w:lineRule="auto"/>
        <w:rPr>
          <w:sz w:val="20"/>
          <w:szCs w:val="20"/>
          <w:color w:val="auto"/>
        </w:rPr>
      </w:pPr>
      <w:r>
        <w:rPr>
          <w:rFonts w:ascii="Times New Roman" w:cs="Times New Roman" w:eastAsia="Times New Roman" w:hAnsi="Times New Roman"/>
          <w:sz w:val="22"/>
          <w:szCs w:val="22"/>
          <w:color w:val="auto"/>
        </w:rPr>
        <w:t>In addition to other circumstances in which it may be applicable, this confidentiality policy must be strictly adhered to in responding to inquiries about the Company that may be made by the press, financial analysts, shareholders or other members of the financial community. It is important that responses to any such inquiries be made on behalf of the Company by a duly designated officer. Accordingly, persons or entities subject to this Policy must not respond to such inquiries unless expressly authorized to do so.</w:t>
      </w:r>
    </w:p>
    <w:p>
      <w:pPr>
        <w:spacing w:after="0" w:line="17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b w:val="1"/>
          <w:bCs w:val="1"/>
          <w:color w:val="auto"/>
        </w:rPr>
        <w:t>Company Assistance</w:t>
      </w:r>
    </w:p>
    <w:p>
      <w:pPr>
        <w:spacing w:after="0" w:line="210" w:lineRule="exact"/>
        <w:rPr>
          <w:sz w:val="20"/>
          <w:szCs w:val="20"/>
          <w:color w:val="auto"/>
        </w:rPr>
      </w:pPr>
    </w:p>
    <w:p>
      <w:pPr>
        <w:jc w:val="both"/>
        <w:ind w:left="260" w:right="299" w:firstLine="648"/>
        <w:spacing w:after="0" w:line="244" w:lineRule="auto"/>
        <w:rPr>
          <w:sz w:val="20"/>
          <w:szCs w:val="20"/>
          <w:color w:val="auto"/>
        </w:rPr>
      </w:pPr>
      <w:r>
        <w:rPr>
          <w:rFonts w:ascii="Times New Roman" w:cs="Times New Roman" w:eastAsia="Times New Roman" w:hAnsi="Times New Roman"/>
          <w:sz w:val="22"/>
          <w:szCs w:val="22"/>
          <w:color w:val="auto"/>
        </w:rPr>
        <w:t>Any person who has a question about this Policy or its application to any proposed transaction may obtain additional guidance from the Compliance Officer, Scott Becker, who can be reached by telephone at (615) 367-7531 or by e-mail at sbecker@genesco.com.</w:t>
      </w:r>
    </w:p>
    <w:p>
      <w:pPr>
        <w:spacing w:after="0" w:line="3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481330</wp:posOffset>
            </wp:positionV>
            <wp:extent cx="7037705"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93">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08" w:right="1440" w:bottom="1440" w:gutter="0" w:footer="0" w:header="0"/>
        </w:sectPr>
      </w:pPr>
    </w:p>
    <w:bookmarkStart w:id="101" w:name="page102"/>
    <w:bookmarkEnd w:id="101"/>
    <w:p>
      <w:pPr>
        <w:ind w:left="3940"/>
        <w:spacing w:after="0"/>
        <w:rPr>
          <w:sz w:val="20"/>
          <w:szCs w:val="20"/>
          <w:color w:val="auto"/>
        </w:rPr>
      </w:pPr>
      <w:r>
        <w:rPr>
          <w:rFonts w:ascii="Times New Roman" w:cs="Times New Roman" w:eastAsia="Times New Roman" w:hAnsi="Times New Roman"/>
          <w:sz w:val="22"/>
          <w:szCs w:val="22"/>
          <w:b w:val="1"/>
          <w:bCs w:val="1"/>
          <w:color w:val="auto"/>
        </w:rPr>
        <w:t>Appendix A</w:t>
      </w:r>
    </w:p>
    <w:p>
      <w:pPr>
        <w:spacing w:after="0" w:line="20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b w:val="1"/>
          <w:bCs w:val="1"/>
          <w:color w:val="auto"/>
        </w:rPr>
        <w:t>Genesco Inc.</w:t>
      </w:r>
    </w:p>
    <w:p>
      <w:pPr>
        <w:spacing w:after="0" w:line="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Individual Rule 10b5-1 Trading Plan Guidelines</w:t>
      </w:r>
    </w:p>
    <w:p>
      <w:pPr>
        <w:spacing w:after="0" w:line="209" w:lineRule="exact"/>
        <w:rPr>
          <w:sz w:val="20"/>
          <w:szCs w:val="20"/>
          <w:color w:val="auto"/>
        </w:rPr>
      </w:pPr>
    </w:p>
    <w:p>
      <w:pPr>
        <w:jc w:val="both"/>
        <w:ind w:left="260" w:right="299" w:firstLine="648"/>
        <w:spacing w:after="0" w:line="235" w:lineRule="auto"/>
        <w:rPr>
          <w:sz w:val="20"/>
          <w:szCs w:val="20"/>
          <w:color w:val="auto"/>
        </w:rPr>
      </w:pPr>
      <w:r>
        <w:rPr>
          <w:rFonts w:ascii="Times New Roman" w:cs="Times New Roman" w:eastAsia="Times New Roman" w:hAnsi="Times New Roman"/>
          <w:sz w:val="22"/>
          <w:szCs w:val="22"/>
          <w:color w:val="auto"/>
        </w:rPr>
        <w:t>The Securities and Exchange Commission enacted Rule 10b5-1 (the “Rule”) to give directors, officers, employees and others who were often in possession of material, nonpublic information (“Insiders”) greater clarity and flexibility with respect to engaging in transactions in their company’s stock. If Insiders follow the requirements of the Rule, they have an affirmative defense from insider trading liability for trades made under an effective written plan for trading securities (commonly referred to as a Rule 10b5-1 Plan). In each case, Insiders must act in good faith with respect to the Plan and not as part of a scheme to evade the prohibitions against unlawful insider trading.</w:t>
      </w:r>
    </w:p>
    <w:p>
      <w:pPr>
        <w:spacing w:after="0" w:line="219" w:lineRule="exact"/>
        <w:rPr>
          <w:sz w:val="20"/>
          <w:szCs w:val="20"/>
          <w:color w:val="auto"/>
        </w:rPr>
      </w:pPr>
    </w:p>
    <w:p>
      <w:pPr>
        <w:jc w:val="both"/>
        <w:ind w:left="260" w:right="299" w:firstLine="648"/>
        <w:spacing w:after="0" w:line="235" w:lineRule="auto"/>
        <w:rPr>
          <w:sz w:val="20"/>
          <w:szCs w:val="20"/>
          <w:color w:val="auto"/>
        </w:rPr>
      </w:pPr>
      <w:r>
        <w:rPr>
          <w:rFonts w:ascii="Times New Roman" w:cs="Times New Roman" w:eastAsia="Times New Roman" w:hAnsi="Times New Roman"/>
          <w:sz w:val="22"/>
          <w:szCs w:val="22"/>
          <w:color w:val="auto"/>
        </w:rPr>
        <w:t>As set forth in the Genesco Inc. Insider Trading and Confidentiality Policy (the “Policy”), Genesco Inc. (the “Company”) permits its Insiders to purchase or sell shares of Company common stock pursuant to a Rule 10b5-1 plan (a “Plan”) under certain circumstances. The office of the General Counsel has set forth the following guidelines (the “Guidelines”) to provide Insiders with clarity as to what parameters must be followed in order to adopt a Plan that is compliant with the Policy. These Guidelines are in addition to, and not in lieu of, the requirements and conditions of the Policy and the Rule. Any questions regarding the Guidelines should be directed to the Compliance Officer (as defined in the Policy).</w:t>
      </w:r>
    </w:p>
    <w:p>
      <w:pPr>
        <w:spacing w:after="0" w:line="205" w:lineRule="exact"/>
        <w:rPr>
          <w:sz w:val="20"/>
          <w:szCs w:val="20"/>
          <w:color w:val="auto"/>
        </w:rPr>
      </w:pPr>
    </w:p>
    <w:p>
      <w:pPr>
        <w:jc w:val="both"/>
        <w:ind w:left="260" w:right="299" w:firstLine="654"/>
        <w:spacing w:after="0" w:line="235" w:lineRule="auto"/>
        <w:tabs>
          <w:tab w:leader="none" w:pos="1141"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Pre-Clearance</w:t>
      </w:r>
      <w:r>
        <w:rPr>
          <w:rFonts w:ascii="Times New Roman" w:cs="Times New Roman" w:eastAsia="Times New Roman" w:hAnsi="Times New Roman"/>
          <w:sz w:val="22"/>
          <w:szCs w:val="22"/>
          <w:color w:val="auto"/>
        </w:rPr>
        <w:t>. All Plans must be submitted in writing and pre-cleared by the Compliance Officer at least five (5) business days prior to the entry into the Plan. The Company reserves the right to withhold pre-clearance of any Plan that the Company determines is not consistent with the Rule. Notwithstanding any pre-clearance of a Plan, the Company assumes no liability for the consequences of any transaction made pursuant to such Plan. Insiders who are directors and/or executive officers are reminded of their obligations under the Company’s share ownership guidelines and shall ensure they remain in compliance with such guidelines after giving effect to the proposed Plan.</w:t>
      </w:r>
    </w:p>
    <w:p>
      <w:pPr>
        <w:spacing w:after="0" w:line="218" w:lineRule="exact"/>
        <w:rPr>
          <w:rFonts w:ascii="Times New Roman" w:cs="Times New Roman" w:eastAsia="Times New Roman" w:hAnsi="Times New Roman"/>
          <w:sz w:val="22"/>
          <w:szCs w:val="22"/>
          <w:color w:val="auto"/>
        </w:rPr>
      </w:pPr>
    </w:p>
    <w:p>
      <w:pPr>
        <w:jc w:val="both"/>
        <w:ind w:left="260" w:right="299" w:firstLine="654"/>
        <w:spacing w:after="0" w:line="244" w:lineRule="auto"/>
        <w:tabs>
          <w:tab w:leader="none" w:pos="1141"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Plan Adoption</w:t>
      </w:r>
      <w:r>
        <w:rPr>
          <w:rFonts w:ascii="Times New Roman" w:cs="Times New Roman" w:eastAsia="Times New Roman" w:hAnsi="Times New Roman"/>
          <w:sz w:val="22"/>
          <w:szCs w:val="22"/>
          <w:color w:val="auto"/>
        </w:rPr>
        <w:t>. All Plans must be entered into during an open trading window (or a “Window Period”) and when the Insider is not in possession of any material, nonpublic information.</w:t>
      </w:r>
    </w:p>
    <w:p>
      <w:pPr>
        <w:spacing w:after="0" w:line="200" w:lineRule="exact"/>
        <w:rPr>
          <w:rFonts w:ascii="Times New Roman" w:cs="Times New Roman" w:eastAsia="Times New Roman" w:hAnsi="Times New Roman"/>
          <w:sz w:val="22"/>
          <w:szCs w:val="22"/>
          <w:color w:val="auto"/>
        </w:rPr>
      </w:pPr>
    </w:p>
    <w:p>
      <w:pPr>
        <w:jc w:val="both"/>
        <w:ind w:left="260" w:right="299" w:firstLine="654"/>
        <w:spacing w:after="0" w:line="238" w:lineRule="auto"/>
        <w:tabs>
          <w:tab w:leader="none" w:pos="1141"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Plan Format</w:t>
      </w:r>
      <w:r>
        <w:rPr>
          <w:rFonts w:ascii="Times New Roman" w:cs="Times New Roman" w:eastAsia="Times New Roman" w:hAnsi="Times New Roman"/>
          <w:sz w:val="22"/>
          <w:szCs w:val="22"/>
          <w:color w:val="auto"/>
        </w:rPr>
        <w:t>. All Plans must be in writing and must not allow the Insider to exercise any subsequent influence over how, when or whether to effect trades in Company securities under the Plan. Additionally, Plans must (a) expressly state the amount, price and dates on which transactions may be executed, (b) provide a written formula for determining amounts, prices and dates or (c) delegate discretion on those matters to an independent third party.</w:t>
      </w:r>
    </w:p>
    <w:p>
      <w:pPr>
        <w:spacing w:after="0" w:line="203" w:lineRule="exact"/>
        <w:rPr>
          <w:rFonts w:ascii="Times New Roman" w:cs="Times New Roman" w:eastAsia="Times New Roman" w:hAnsi="Times New Roman"/>
          <w:sz w:val="22"/>
          <w:szCs w:val="22"/>
          <w:color w:val="auto"/>
        </w:rPr>
      </w:pPr>
    </w:p>
    <w:p>
      <w:pPr>
        <w:ind w:left="260" w:right="299" w:firstLine="654"/>
        <w:spacing w:after="0" w:line="258" w:lineRule="auto"/>
        <w:tabs>
          <w:tab w:leader="none" w:pos="1141"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Cooling-Off Period</w:t>
      </w:r>
      <w:r>
        <w:rPr>
          <w:rFonts w:ascii="Times New Roman" w:cs="Times New Roman" w:eastAsia="Times New Roman" w:hAnsi="Times New Roman"/>
          <w:sz w:val="22"/>
          <w:szCs w:val="22"/>
          <w:color w:val="auto"/>
        </w:rPr>
        <w:t>. After the adoption of a Plan, no trades may be commenced under the Plan until the expiration of an applicable cooling-off period:</w:t>
      </w:r>
    </w:p>
    <w:p>
      <w:pPr>
        <w:spacing w:after="0" w:line="198" w:lineRule="exact"/>
        <w:rPr>
          <w:rFonts w:ascii="Times New Roman" w:cs="Times New Roman" w:eastAsia="Times New Roman" w:hAnsi="Times New Roman"/>
          <w:sz w:val="22"/>
          <w:szCs w:val="22"/>
          <w:color w:val="auto"/>
        </w:rPr>
      </w:pPr>
    </w:p>
    <w:p>
      <w:pPr>
        <w:ind w:left="1560" w:right="399" w:hanging="322"/>
        <w:spacing w:after="0" w:line="244" w:lineRule="auto"/>
        <w:tabs>
          <w:tab w:leader="none" w:pos="1560" w:val="left"/>
        </w:tabs>
        <w:numPr>
          <w:ilvl w:val="1"/>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Insider is a Company director or officer (as defined in Rule 16a-1 under the Securities Exchange Act of 1934, as amended (a “Section 16 Person”)), the Plan must not permit any trades to occur until the later of (a) 90 days following</w:t>
      </w:r>
    </w:p>
    <w:p>
      <w:pPr>
        <w:spacing w:after="0" w:line="1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481330</wp:posOffset>
            </wp:positionV>
            <wp:extent cx="7037705"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94">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04" w:right="1440" w:bottom="1440" w:gutter="0" w:footer="0" w:header="0"/>
        </w:sectPr>
      </w:pPr>
    </w:p>
    <w:bookmarkStart w:id="102" w:name="page103"/>
    <w:bookmarkEnd w:id="102"/>
    <w:p>
      <w:pPr>
        <w:spacing w:after="0" w:line="225" w:lineRule="exact"/>
        <w:rPr>
          <w:sz w:val="20"/>
          <w:szCs w:val="20"/>
          <w:color w:val="auto"/>
        </w:rPr>
      </w:pPr>
    </w:p>
    <w:p>
      <w:pPr>
        <w:ind w:left="1560" w:right="599"/>
        <w:spacing w:after="0" w:line="238" w:lineRule="auto"/>
        <w:rPr>
          <w:sz w:val="20"/>
          <w:szCs w:val="20"/>
          <w:color w:val="auto"/>
        </w:rPr>
      </w:pPr>
      <w:r>
        <w:rPr>
          <w:rFonts w:ascii="Times New Roman" w:cs="Times New Roman" w:eastAsia="Times New Roman" w:hAnsi="Times New Roman"/>
          <w:sz w:val="22"/>
          <w:szCs w:val="22"/>
          <w:color w:val="auto"/>
        </w:rPr>
        <w:t>adoption or modification of the Plan or (b) two business days following the disclosure of the Company’s financial results in a Form 10-Q or Form 10-K for the fiscal quarter in which the Plan was adopted or modified (but, in any event, this required cooling-off period is subject to a maximum of 120 days after adoption or modification of the Plan).</w:t>
      </w:r>
    </w:p>
    <w:p>
      <w:pPr>
        <w:spacing w:after="0" w:line="177" w:lineRule="exact"/>
        <w:rPr>
          <w:sz w:val="20"/>
          <w:szCs w:val="20"/>
          <w:color w:val="auto"/>
        </w:rPr>
      </w:pPr>
    </w:p>
    <w:p>
      <w:pPr>
        <w:jc w:val="both"/>
        <w:ind w:left="1560" w:right="299" w:hanging="322"/>
        <w:spacing w:after="0" w:line="244" w:lineRule="auto"/>
        <w:tabs>
          <w:tab w:leader="none" w:pos="1560" w:val="left"/>
        </w:tabs>
        <w:numPr>
          <w:ilvl w:val="1"/>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Insider is not a Section 16 Person (but is also not the Company), the Plan must not permit any trades to occur until 30 days after the adoption or modification of such Plan.</w:t>
      </w:r>
    </w:p>
    <w:p>
      <w:pPr>
        <w:spacing w:after="0" w:line="173" w:lineRule="exact"/>
        <w:rPr>
          <w:rFonts w:ascii="Times New Roman" w:cs="Times New Roman" w:eastAsia="Times New Roman" w:hAnsi="Times New Roman"/>
          <w:sz w:val="22"/>
          <w:szCs w:val="22"/>
          <w:color w:val="auto"/>
        </w:rPr>
      </w:pPr>
    </w:p>
    <w:p>
      <w:pPr>
        <w:jc w:val="both"/>
        <w:ind w:left="260" w:right="299" w:firstLine="654"/>
        <w:spacing w:after="0" w:line="238" w:lineRule="auto"/>
        <w:tabs>
          <w:tab w:leader="none" w:pos="1141"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Multiple Plans</w:t>
      </w:r>
      <w:r>
        <w:rPr>
          <w:rFonts w:ascii="Times New Roman" w:cs="Times New Roman" w:eastAsia="Times New Roman" w:hAnsi="Times New Roman"/>
          <w:sz w:val="22"/>
          <w:szCs w:val="22"/>
          <w:color w:val="auto"/>
        </w:rPr>
        <w:t>. Pursuant to the Rule, a person may only rely on the affirmative defense for a “single-trade plan” once during any consecutive 12-month period. A single-trade plan is a Plan designed to effect the purchase or sale of the total amount of the securities subject to the plan as a single transaction. Further, only one Plan may be in effect at any time, unless one of three exemptions is met, which are:</w:t>
      </w:r>
    </w:p>
    <w:p>
      <w:pPr>
        <w:spacing w:after="0" w:line="163" w:lineRule="exact"/>
        <w:rPr>
          <w:rFonts w:ascii="Times New Roman" w:cs="Times New Roman" w:eastAsia="Times New Roman" w:hAnsi="Times New Roman"/>
          <w:sz w:val="22"/>
          <w:szCs w:val="22"/>
          <w:color w:val="auto"/>
        </w:rPr>
      </w:pPr>
    </w:p>
    <w:p>
      <w:pPr>
        <w:jc w:val="both"/>
        <w:ind w:left="1560" w:right="299" w:hanging="322"/>
        <w:spacing w:after="0" w:line="244" w:lineRule="auto"/>
        <w:tabs>
          <w:tab w:leader="none" w:pos="1560" w:val="left"/>
        </w:tabs>
        <w:numPr>
          <w:ilvl w:val="1"/>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person may enter into more than one Plan with different broker-dealers or other agents and treat the Plans as a single Plan so long as, when taken as a whole, the “plan” complies with all of the Rule’s requirements;</w:t>
      </w:r>
    </w:p>
    <w:p>
      <w:pPr>
        <w:spacing w:after="0" w:line="173" w:lineRule="exact"/>
        <w:rPr>
          <w:rFonts w:ascii="Times New Roman" w:cs="Times New Roman" w:eastAsia="Times New Roman" w:hAnsi="Times New Roman"/>
          <w:sz w:val="22"/>
          <w:szCs w:val="22"/>
          <w:color w:val="auto"/>
        </w:rPr>
      </w:pPr>
    </w:p>
    <w:p>
      <w:pPr>
        <w:jc w:val="both"/>
        <w:ind w:left="1560" w:right="299" w:hanging="322"/>
        <w:spacing w:after="0" w:line="238" w:lineRule="auto"/>
        <w:tabs>
          <w:tab w:leader="none" w:pos="1560" w:val="left"/>
        </w:tabs>
        <w:numPr>
          <w:ilvl w:val="1"/>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person may adopt one later-commencing Plan so long as trading under the later-commencing Plan is not authorized to begin until after all trades under the earlier-commencing Plan are completed or expire without execution. If the earlier-commencing Plan is terminated earlier, the later-commencing Plan must have a cooling-off period that starts when the first Plan terminates; or</w:t>
      </w:r>
    </w:p>
    <w:p>
      <w:pPr>
        <w:spacing w:after="0" w:line="176" w:lineRule="exact"/>
        <w:rPr>
          <w:rFonts w:ascii="Times New Roman" w:cs="Times New Roman" w:eastAsia="Times New Roman" w:hAnsi="Times New Roman"/>
          <w:sz w:val="22"/>
          <w:szCs w:val="22"/>
          <w:color w:val="auto"/>
        </w:rPr>
      </w:pPr>
    </w:p>
    <w:p>
      <w:pPr>
        <w:jc w:val="both"/>
        <w:ind w:left="1560" w:right="299" w:hanging="322"/>
        <w:spacing w:after="0" w:line="244" w:lineRule="auto"/>
        <w:tabs>
          <w:tab w:leader="none" w:pos="1560" w:val="left"/>
        </w:tabs>
        <w:numPr>
          <w:ilvl w:val="1"/>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person may have an additional Plan set up solely to sell securities as necessary to satisfy tax-withholding obligations arising exclusively from the vesting of a compensatory award, otherwise known as “sell-to-cover” transactions.</w:t>
      </w:r>
    </w:p>
    <w:p>
      <w:pPr>
        <w:spacing w:after="0" w:line="186" w:lineRule="exact"/>
        <w:rPr>
          <w:rFonts w:ascii="Times New Roman" w:cs="Times New Roman" w:eastAsia="Times New Roman" w:hAnsi="Times New Roman"/>
          <w:sz w:val="22"/>
          <w:szCs w:val="22"/>
          <w:color w:val="auto"/>
        </w:rPr>
      </w:pPr>
    </w:p>
    <w:p>
      <w:pPr>
        <w:jc w:val="both"/>
        <w:ind w:left="260" w:right="299" w:firstLine="654"/>
        <w:spacing w:after="0" w:line="239" w:lineRule="auto"/>
        <w:tabs>
          <w:tab w:leader="none" w:pos="1141"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Trades Outside of the Plan</w:t>
      </w:r>
      <w:r>
        <w:rPr>
          <w:rFonts w:ascii="Times New Roman" w:cs="Times New Roman" w:eastAsia="Times New Roman" w:hAnsi="Times New Roman"/>
          <w:sz w:val="22"/>
          <w:szCs w:val="22"/>
          <w:color w:val="auto"/>
        </w:rPr>
        <w:t>. Once a Plan is established, Insiders may transact in securities that are not subject to the currently existing Plan. Such transactions continue to require pre-clearance and be subject to the Policy. Under no circumstances will opposite-way open market transactions be permitted within a six-month period.</w:t>
      </w:r>
    </w:p>
    <w:p>
      <w:pPr>
        <w:spacing w:after="0" w:line="180" w:lineRule="exact"/>
        <w:rPr>
          <w:rFonts w:ascii="Times New Roman" w:cs="Times New Roman" w:eastAsia="Times New Roman" w:hAnsi="Times New Roman"/>
          <w:sz w:val="22"/>
          <w:szCs w:val="22"/>
          <w:color w:val="auto"/>
        </w:rPr>
      </w:pPr>
    </w:p>
    <w:p>
      <w:pPr>
        <w:ind w:left="260" w:right="299" w:firstLine="654"/>
        <w:spacing w:after="0" w:line="258" w:lineRule="auto"/>
        <w:tabs>
          <w:tab w:leader="none" w:pos="1141"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Plan Duration</w:t>
      </w:r>
      <w:r>
        <w:rPr>
          <w:rFonts w:ascii="Times New Roman" w:cs="Times New Roman" w:eastAsia="Times New Roman" w:hAnsi="Times New Roman"/>
          <w:sz w:val="22"/>
          <w:szCs w:val="22"/>
          <w:color w:val="auto"/>
        </w:rPr>
        <w:t>. The minimum duration of a Plan is six months and the maximum duration is two years.</w:t>
      </w:r>
    </w:p>
    <w:p>
      <w:pPr>
        <w:spacing w:after="0" w:line="158" w:lineRule="exact"/>
        <w:rPr>
          <w:rFonts w:ascii="Times New Roman" w:cs="Times New Roman" w:eastAsia="Times New Roman" w:hAnsi="Times New Roman"/>
          <w:sz w:val="22"/>
          <w:szCs w:val="22"/>
          <w:color w:val="auto"/>
        </w:rPr>
      </w:pPr>
    </w:p>
    <w:p>
      <w:pPr>
        <w:jc w:val="both"/>
        <w:ind w:left="260" w:right="299" w:firstLine="654"/>
        <w:spacing w:after="0" w:line="239" w:lineRule="auto"/>
        <w:tabs>
          <w:tab w:leader="none" w:pos="1141"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Certification</w:t>
      </w:r>
      <w:r>
        <w:rPr>
          <w:rFonts w:ascii="Times New Roman" w:cs="Times New Roman" w:eastAsia="Times New Roman" w:hAnsi="Times New Roman"/>
          <w:sz w:val="22"/>
          <w:szCs w:val="22"/>
          <w:color w:val="auto"/>
        </w:rPr>
        <w:t>. When entering into a Plan, an Insider must certify that at the time of adoption of the Plan that the Insider: (1) is not aware of any material, non-public information; and (2) is adopting the Plan in good faith and not as part of a plan or scheme to evade the prohibitions of the Rule.</w:t>
      </w:r>
    </w:p>
    <w:p>
      <w:pPr>
        <w:spacing w:after="0" w:line="180" w:lineRule="exact"/>
        <w:rPr>
          <w:rFonts w:ascii="Times New Roman" w:cs="Times New Roman" w:eastAsia="Times New Roman" w:hAnsi="Times New Roman"/>
          <w:sz w:val="22"/>
          <w:szCs w:val="22"/>
          <w:color w:val="auto"/>
        </w:rPr>
      </w:pPr>
    </w:p>
    <w:p>
      <w:pPr>
        <w:jc w:val="both"/>
        <w:ind w:left="260" w:right="299" w:firstLine="654"/>
        <w:spacing w:after="0" w:line="249" w:lineRule="auto"/>
        <w:tabs>
          <w:tab w:leader="none" w:pos="1141" w:val="left"/>
        </w:tabs>
        <w:numPr>
          <w:ilvl w:val="0"/>
          <w:numId w:val="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Modifications</w:t>
      </w:r>
      <w:r>
        <w:rPr>
          <w:rFonts w:ascii="Times New Roman" w:cs="Times New Roman" w:eastAsia="Times New Roman" w:hAnsi="Times New Roman"/>
          <w:sz w:val="21"/>
          <w:szCs w:val="21"/>
          <w:color w:val="auto"/>
        </w:rPr>
        <w:t>. Unless otherwise approved in advance by the Compliance Officer, Plan modifications are prohibited. As provided in the Rule, any modification or change to the amount, price, or timing of the purchase or sale of the securities underlying a Plan is a termination of such Plan and the adoption of a new Plan, and the modifying Insider will be subject to the applicable cooling-off period, as noted above in Section 4. In addition, a Plan modification, such as the substitution or removal of a broker that is executing trades pursuant to a Rule 10b5-1</w:t>
      </w:r>
    </w:p>
    <w:p>
      <w:pPr>
        <w:spacing w:after="0" w:line="1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481330</wp:posOffset>
            </wp:positionV>
            <wp:extent cx="7037705"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95">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03" w:name="page104"/>
    <w:bookmarkEnd w:id="103"/>
    <w:p>
      <w:pPr>
        <w:jc w:val="both"/>
        <w:ind w:left="260" w:right="299"/>
        <w:spacing w:after="0" w:line="258" w:lineRule="auto"/>
        <w:rPr>
          <w:sz w:val="20"/>
          <w:szCs w:val="20"/>
          <w:color w:val="auto"/>
        </w:rPr>
      </w:pPr>
      <w:r>
        <w:rPr>
          <w:rFonts w:ascii="Times New Roman" w:cs="Times New Roman" w:eastAsia="Times New Roman" w:hAnsi="Times New Roman"/>
          <w:sz w:val="22"/>
          <w:szCs w:val="22"/>
          <w:color w:val="auto"/>
        </w:rPr>
        <w:t>arrangement on behalf of the person, that changes the price or date on which purchases or sales are to be executed, is a termination of such Plan and the adoption of a new Plan.</w:t>
      </w:r>
    </w:p>
    <w:p>
      <w:pPr>
        <w:spacing w:after="0" w:line="158" w:lineRule="exact"/>
        <w:rPr>
          <w:sz w:val="20"/>
          <w:szCs w:val="20"/>
          <w:color w:val="auto"/>
        </w:rPr>
      </w:pPr>
    </w:p>
    <w:p>
      <w:pPr>
        <w:jc w:val="both"/>
        <w:ind w:left="260" w:right="299" w:firstLine="713"/>
        <w:spacing w:after="0" w:line="233" w:lineRule="auto"/>
        <w:rPr>
          <w:sz w:val="20"/>
          <w:szCs w:val="20"/>
          <w:color w:val="auto"/>
        </w:rPr>
      </w:pPr>
      <w:r>
        <w:rPr>
          <w:rFonts w:ascii="Times New Roman" w:cs="Times New Roman" w:eastAsia="Times New Roman" w:hAnsi="Times New Roman"/>
          <w:sz w:val="22"/>
          <w:szCs w:val="22"/>
          <w:color w:val="auto"/>
        </w:rPr>
        <w:t>10.</w:t>
      </w:r>
      <w:r>
        <w:rPr>
          <w:rFonts w:ascii="Times New Roman" w:cs="Times New Roman" w:eastAsia="Times New Roman" w:hAnsi="Times New Roman"/>
          <w:sz w:val="22"/>
          <w:szCs w:val="22"/>
          <w:u w:val="single" w:color="auto"/>
          <w:color w:val="auto"/>
        </w:rPr>
        <w:t>Early Terminations</w:t>
      </w:r>
      <w:r>
        <w:rPr>
          <w:rFonts w:ascii="Times New Roman" w:cs="Times New Roman" w:eastAsia="Times New Roman" w:hAnsi="Times New Roman"/>
          <w:sz w:val="22"/>
          <w:szCs w:val="22"/>
          <w:color w:val="auto"/>
        </w:rPr>
        <w:t xml:space="preserve">. The early termination of a Plan could affect the availability of the Rule’s affirmative defense for prior Plan transactions if it calls into question whether the Insider is acting in good faith with respect to the Plan and whether the Plan was entered into in good faith and not as part of a plan to avoid the insider trading rules. </w:t>
      </w:r>
      <w:r>
        <w:rPr>
          <w:rFonts w:ascii="Times New Roman" w:cs="Times New Roman" w:eastAsia="Times New Roman" w:hAnsi="Times New Roman"/>
          <w:sz w:val="22"/>
          <w:szCs w:val="22"/>
          <w:b w:val="1"/>
          <w:bCs w:val="1"/>
          <w:color w:val="auto"/>
        </w:rPr>
        <w:t>Because of this risk, early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 xml:space="preserve">terminations are strongly discouraged. </w:t>
      </w:r>
      <w:r>
        <w:rPr>
          <w:rFonts w:ascii="Times New Roman" w:cs="Times New Roman" w:eastAsia="Times New Roman" w:hAnsi="Times New Roman"/>
          <w:sz w:val="22"/>
          <w:szCs w:val="22"/>
          <w:color w:val="auto"/>
        </w:rPr>
        <w:t>In the event an Insider determines to terminate a Plan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early, every effort should be taken to terminate the Plan during an open window. Early termination of a Plan during a blackout (or quiet) period requires extenuating circumstances and is subject to pre-clearance by the Compliance Officer. In the event an Insider early terminates the Insider’s Plan (whether during an open window or a blackout period), such Insider (i) will be subject to the applicable cooling-off period for a subsequent Plan, as noted above in Section 4, beginning when the first Plan is terminated, and (ii) may be (A) prohibited from adopting future Plans, (B) prohibited from transacting in securities outside of a Plan, or (C) subject to other restrictions at the sole discretion of the Compliance Officer.</w:t>
      </w:r>
    </w:p>
    <w:p>
      <w:pPr>
        <w:spacing w:after="0" w:line="182" w:lineRule="exact"/>
        <w:rPr>
          <w:sz w:val="20"/>
          <w:szCs w:val="20"/>
          <w:color w:val="auto"/>
        </w:rPr>
      </w:pPr>
    </w:p>
    <w:p>
      <w:pPr>
        <w:jc w:val="both"/>
        <w:ind w:left="260" w:right="299" w:firstLine="648"/>
        <w:spacing w:after="0" w:line="239" w:lineRule="auto"/>
        <w:rPr>
          <w:sz w:val="20"/>
          <w:szCs w:val="20"/>
          <w:color w:val="auto"/>
        </w:rPr>
      </w:pPr>
      <w:r>
        <w:rPr>
          <w:rFonts w:ascii="Times New Roman" w:cs="Times New Roman" w:eastAsia="Times New Roman" w:hAnsi="Times New Roman"/>
          <w:sz w:val="22"/>
          <w:szCs w:val="22"/>
          <w:color w:val="auto"/>
        </w:rPr>
        <w:t>11.</w:t>
      </w:r>
      <w:r>
        <w:rPr>
          <w:rFonts w:ascii="Times New Roman" w:cs="Times New Roman" w:eastAsia="Times New Roman" w:hAnsi="Times New Roman"/>
          <w:sz w:val="22"/>
          <w:szCs w:val="22"/>
          <w:u w:val="single" w:color="auto"/>
          <w:color w:val="auto"/>
        </w:rPr>
        <w:t>Brokers and Broker Reporting</w:t>
      </w:r>
      <w:r>
        <w:rPr>
          <w:rFonts w:ascii="Times New Roman" w:cs="Times New Roman" w:eastAsia="Times New Roman" w:hAnsi="Times New Roman"/>
          <w:sz w:val="22"/>
          <w:szCs w:val="22"/>
          <w:color w:val="auto"/>
        </w:rPr>
        <w:t xml:space="preserve">. Each Plan must require the broker counterparty to </w:t>
      </w:r>
      <w:r>
        <w:rPr>
          <w:rFonts w:ascii="Times New Roman" w:cs="Times New Roman" w:eastAsia="Times New Roman" w:hAnsi="Times New Roman"/>
          <w:sz w:val="22"/>
          <w:szCs w:val="22"/>
          <w:u w:val="single" w:color="auto"/>
          <w:color w:val="auto"/>
        </w:rPr>
        <w:t>promptly</w:t>
      </w:r>
      <w:r>
        <w:rPr>
          <w:rFonts w:ascii="Times New Roman" w:cs="Times New Roman" w:eastAsia="Times New Roman" w:hAnsi="Times New Roman"/>
          <w:sz w:val="22"/>
          <w:szCs w:val="22"/>
          <w:color w:val="auto"/>
        </w:rPr>
        <w:t xml:space="preserve"> report to the Company’s designated representative the details of every transaction executed under a Plan, but in any event, such detail shall be provided no later than one business day after the execution date.</w:t>
      </w:r>
    </w:p>
    <w:p>
      <w:pPr>
        <w:spacing w:after="0" w:line="180" w:lineRule="exact"/>
        <w:rPr>
          <w:sz w:val="20"/>
          <w:szCs w:val="20"/>
          <w:color w:val="auto"/>
        </w:rPr>
      </w:pPr>
    </w:p>
    <w:p>
      <w:pPr>
        <w:jc w:val="both"/>
        <w:ind w:left="260" w:right="299" w:firstLine="648"/>
        <w:spacing w:after="0" w:line="238" w:lineRule="auto"/>
        <w:rPr>
          <w:sz w:val="20"/>
          <w:szCs w:val="20"/>
          <w:color w:val="auto"/>
        </w:rPr>
      </w:pPr>
      <w:r>
        <w:rPr>
          <w:rFonts w:ascii="Times New Roman" w:cs="Times New Roman" w:eastAsia="Times New Roman" w:hAnsi="Times New Roman"/>
          <w:sz w:val="22"/>
          <w:szCs w:val="22"/>
          <w:color w:val="auto"/>
        </w:rPr>
        <w:t>12.</w:t>
      </w:r>
      <w:r>
        <w:rPr>
          <w:rFonts w:ascii="Times New Roman" w:cs="Times New Roman" w:eastAsia="Times New Roman" w:hAnsi="Times New Roman"/>
          <w:sz w:val="22"/>
          <w:szCs w:val="22"/>
          <w:u w:val="single" w:color="auto"/>
          <w:color w:val="auto"/>
        </w:rPr>
        <w:t>Public Disclosure of Plan Transactions</w:t>
      </w:r>
      <w:r>
        <w:rPr>
          <w:rFonts w:ascii="Times New Roman" w:cs="Times New Roman" w:eastAsia="Times New Roman" w:hAnsi="Times New Roman"/>
          <w:sz w:val="22"/>
          <w:szCs w:val="22"/>
          <w:color w:val="auto"/>
        </w:rPr>
        <w:t>. If applicable, transactions executed pursuant to a Plan will be indicated as such on the Insider’s Form 4. In addition, the Company is required to disclose in its periodic reports (i.e., 10-Qs and 10-Ks) the adoption or termination of a Plan by any Section 16 Person during the last completed quarter, including a description of the material terms of such a Plan, other than terms with respect to price.</w:t>
      </w:r>
    </w:p>
    <w:p>
      <w:pPr>
        <w:spacing w:after="0" w:line="177" w:lineRule="exact"/>
        <w:rPr>
          <w:sz w:val="20"/>
          <w:szCs w:val="20"/>
          <w:color w:val="auto"/>
        </w:rPr>
      </w:pPr>
    </w:p>
    <w:p>
      <w:pPr>
        <w:ind w:left="260" w:right="299" w:firstLine="648"/>
        <w:spacing w:after="0" w:line="239" w:lineRule="auto"/>
        <w:rPr>
          <w:sz w:val="20"/>
          <w:szCs w:val="20"/>
          <w:color w:val="auto"/>
        </w:rPr>
      </w:pPr>
      <w:r>
        <w:rPr>
          <w:rFonts w:ascii="Times New Roman" w:cs="Times New Roman" w:eastAsia="Times New Roman" w:hAnsi="Times New Roman"/>
          <w:sz w:val="22"/>
          <w:szCs w:val="22"/>
          <w:color w:val="auto"/>
        </w:rPr>
        <w:t>13.</w:t>
      </w:r>
      <w:r>
        <w:rPr>
          <w:rFonts w:ascii="Times New Roman" w:cs="Times New Roman" w:eastAsia="Times New Roman" w:hAnsi="Times New Roman"/>
          <w:sz w:val="22"/>
          <w:szCs w:val="22"/>
          <w:u w:val="single" w:color="auto"/>
          <w:color w:val="auto"/>
        </w:rPr>
        <w:t>Securities Laws</w:t>
      </w:r>
      <w:r>
        <w:rPr>
          <w:rFonts w:ascii="Times New Roman" w:cs="Times New Roman" w:eastAsia="Times New Roman" w:hAnsi="Times New Roman"/>
          <w:sz w:val="22"/>
          <w:szCs w:val="22"/>
          <w:color w:val="auto"/>
        </w:rPr>
        <w:t>. A Plan does not relieve Insiders from their obligations to comply with the requirements of applicable securities laws. You will need to coordinate with your broker and the Company to ensure that all of these requirements are satisfied and that all required notices and reports are timely and accurately filed.</w:t>
      </w:r>
    </w:p>
    <w:p>
      <w:pPr>
        <w:spacing w:after="0" w:line="39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i w:val="1"/>
          <w:iCs w:val="1"/>
          <w:color w:val="auto"/>
        </w:rPr>
        <w:t>Adopted: February 6, 2025</w:t>
      </w:r>
    </w:p>
    <w:p>
      <w:pPr>
        <w:spacing w:after="0" w:line="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-658495</wp:posOffset>
            </wp:positionH>
            <wp:positionV relativeFrom="paragraph">
              <wp:posOffset>467360</wp:posOffset>
            </wp:positionV>
            <wp:extent cx="7037705"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96">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019"/>
          </w:cols>
          <w:pgMar w:left="1440" w:top="1408" w:right="1440" w:bottom="1440" w:gutter="0" w:footer="0" w:header="0"/>
        </w:sectPr>
      </w:pPr>
    </w:p>
    <w:bookmarkStart w:id="104" w:name="page105"/>
    <w:bookmarkEnd w:id="104"/>
    <w:tbl>
      <w:tblPr>
        <w:tblLayout w:type="fixed"/>
        <w:tblInd w:w="0" w:type="dxa"/>
        <w:tblCellMar>
          <w:top w:w="0" w:type="dxa"/>
          <w:left w:w="0" w:type="dxa"/>
          <w:bottom w:w="0" w:type="dxa"/>
          <w:right w:w="0" w:type="dxa"/>
        </w:tblCellMar>
      </w:tblPr>
      <w:tr>
        <w:trPr>
          <w:trHeight w:val="282"/>
        </w:trPr>
        <w:tc>
          <w:tcPr>
            <w:tcW w:w="274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36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Exhibit 21</w:t>
            </w:r>
          </w:p>
        </w:tc>
      </w:tr>
      <w:tr>
        <w:trPr>
          <w:trHeight w:val="486"/>
        </w:trPr>
        <w:tc>
          <w:tcPr>
            <w:tcW w:w="7620" w:type="dxa"/>
            <w:vAlign w:val="bottom"/>
            <w:gridSpan w:val="2"/>
          </w:tcPr>
          <w:p>
            <w:pPr>
              <w:ind w:left="2500"/>
              <w:spacing w:after="0"/>
              <w:rPr>
                <w:sz w:val="20"/>
                <w:szCs w:val="20"/>
                <w:color w:val="auto"/>
              </w:rPr>
            </w:pPr>
            <w:r>
              <w:rPr>
                <w:rFonts w:ascii="Times New Roman" w:cs="Times New Roman" w:eastAsia="Times New Roman" w:hAnsi="Times New Roman"/>
                <w:sz w:val="22"/>
                <w:szCs w:val="22"/>
                <w:color w:val="auto"/>
              </w:rPr>
              <w:t>SUBSIDIARIES OF THE REGISTRANT</w:t>
            </w:r>
          </w:p>
        </w:tc>
        <w:tc>
          <w:tcPr>
            <w:tcW w:w="3620" w:type="dxa"/>
            <w:vAlign w:val="bottom"/>
          </w:tcPr>
          <w:p>
            <w:pPr>
              <w:spacing w:after="0"/>
              <w:rPr>
                <w:sz w:val="24"/>
                <w:szCs w:val="24"/>
                <w:color w:val="auto"/>
              </w:rPr>
            </w:pPr>
          </w:p>
        </w:tc>
      </w:tr>
      <w:tr>
        <w:trPr>
          <w:trHeight w:val="677"/>
        </w:trPr>
        <w:tc>
          <w:tcPr>
            <w:tcW w:w="2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b w:val="1"/>
                <w:bCs w:val="1"/>
                <w:color w:val="auto"/>
                <w:w w:val="97"/>
              </w:rPr>
              <w:t>Subsidiaries of the Company:</w:t>
            </w:r>
          </w:p>
        </w:tc>
        <w:tc>
          <w:tcPr>
            <w:tcW w:w="4880" w:type="dxa"/>
            <w:vAlign w:val="bottom"/>
          </w:tcPr>
          <w:p>
            <w:pPr>
              <w:spacing w:after="0"/>
              <w:rPr>
                <w:sz w:val="24"/>
                <w:szCs w:val="24"/>
                <w:color w:val="auto"/>
              </w:rPr>
            </w:pPr>
          </w:p>
        </w:tc>
        <w:tc>
          <w:tcPr>
            <w:tcW w:w="3620" w:type="dxa"/>
            <w:vAlign w:val="bottom"/>
          </w:tcPr>
          <w:p>
            <w:pPr>
              <w:spacing w:after="0"/>
              <w:rPr>
                <w:sz w:val="24"/>
                <w:szCs w:val="24"/>
                <w:color w:val="auto"/>
              </w:rPr>
            </w:pPr>
          </w:p>
        </w:tc>
      </w:tr>
      <w:tr>
        <w:trPr>
          <w:trHeight w:val="507"/>
        </w:trPr>
        <w:tc>
          <w:tcPr>
            <w:tcW w:w="762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22"/>
                <w:szCs w:val="22"/>
                <w:b w:val="1"/>
                <w:bCs w:val="1"/>
                <w:color w:val="auto"/>
              </w:rPr>
              <w:t>Names of Subsidiary</w:t>
            </w:r>
            <w:r>
              <w:rPr>
                <w:rFonts w:ascii="Times New Roman" w:cs="Times New Roman" w:eastAsia="Times New Roman" w:hAnsi="Times New Roman"/>
                <w:sz w:val="9"/>
                <w:szCs w:val="9"/>
                <w:b w:val="1"/>
                <w:bCs w:val="1"/>
                <w:color w:val="auto"/>
              </w:rPr>
              <w:t>(1)</w:t>
            </w:r>
          </w:p>
        </w:tc>
        <w:tc>
          <w:tcPr>
            <w:tcW w:w="3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b w:val="1"/>
                <w:bCs w:val="1"/>
                <w:color w:val="auto"/>
              </w:rPr>
              <w:t>Place of Incorporation</w:t>
            </w:r>
          </w:p>
        </w:tc>
      </w:tr>
      <w:tr>
        <w:trPr>
          <w:trHeight w:val="371"/>
        </w:trPr>
        <w:tc>
          <w:tcPr>
            <w:tcW w:w="76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Flagg Bros. of Puerto Rico, Inc.</w:t>
            </w:r>
          </w:p>
        </w:tc>
        <w:tc>
          <w:tcPr>
            <w:tcW w:w="36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Delaware</w:t>
            </w:r>
          </w:p>
        </w:tc>
      </w:tr>
      <w:tr>
        <w:trPr>
          <w:trHeight w:val="243"/>
        </w:trPr>
        <w:tc>
          <w:tcPr>
            <w:tcW w:w="7620" w:type="dxa"/>
            <w:vAlign w:val="bottom"/>
            <w:gridSpan w:val="2"/>
          </w:tcPr>
          <w:p>
            <w:pPr>
              <w:ind w:left="100"/>
              <w:spacing w:after="0" w:line="243" w:lineRule="exact"/>
              <w:rPr>
                <w:sz w:val="20"/>
                <w:szCs w:val="20"/>
                <w:color w:val="auto"/>
              </w:rPr>
            </w:pPr>
            <w:r>
              <w:rPr>
                <w:rFonts w:ascii="Times New Roman" w:cs="Times New Roman" w:eastAsia="Times New Roman" w:hAnsi="Times New Roman"/>
                <w:sz w:val="22"/>
                <w:szCs w:val="22"/>
                <w:color w:val="auto"/>
              </w:rPr>
              <w:t>Genesco Brands, LLC</w:t>
            </w:r>
          </w:p>
        </w:tc>
        <w:tc>
          <w:tcPr>
            <w:tcW w:w="36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Delaware</w:t>
            </w:r>
          </w:p>
        </w:tc>
      </w:tr>
      <w:tr>
        <w:trPr>
          <w:trHeight w:val="243"/>
        </w:trPr>
        <w:tc>
          <w:tcPr>
            <w:tcW w:w="7620" w:type="dxa"/>
            <w:vAlign w:val="bottom"/>
            <w:gridSpan w:val="2"/>
          </w:tcPr>
          <w:p>
            <w:pPr>
              <w:ind w:left="100"/>
              <w:spacing w:after="0" w:line="243" w:lineRule="exact"/>
              <w:rPr>
                <w:sz w:val="20"/>
                <w:szCs w:val="20"/>
                <w:color w:val="auto"/>
              </w:rPr>
            </w:pPr>
            <w:r>
              <w:rPr>
                <w:rFonts w:ascii="Times New Roman" w:cs="Times New Roman" w:eastAsia="Times New Roman" w:hAnsi="Times New Roman"/>
                <w:sz w:val="22"/>
                <w:szCs w:val="22"/>
                <w:color w:val="auto"/>
              </w:rPr>
              <w:t>Genesco Brands NY, LLC</w:t>
            </w:r>
          </w:p>
        </w:tc>
        <w:tc>
          <w:tcPr>
            <w:tcW w:w="36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Delaware</w:t>
            </w:r>
          </w:p>
        </w:tc>
      </w:tr>
      <w:tr>
        <w:trPr>
          <w:trHeight w:val="243"/>
        </w:trPr>
        <w:tc>
          <w:tcPr>
            <w:tcW w:w="7620" w:type="dxa"/>
            <w:vAlign w:val="bottom"/>
            <w:gridSpan w:val="2"/>
          </w:tcPr>
          <w:p>
            <w:pPr>
              <w:ind w:left="100"/>
              <w:spacing w:after="0" w:line="243" w:lineRule="exact"/>
              <w:rPr>
                <w:sz w:val="20"/>
                <w:szCs w:val="20"/>
                <w:color w:val="auto"/>
              </w:rPr>
            </w:pPr>
            <w:r>
              <w:rPr>
                <w:rFonts w:ascii="Times New Roman" w:cs="Times New Roman" w:eastAsia="Times New Roman" w:hAnsi="Times New Roman"/>
                <w:sz w:val="22"/>
                <w:szCs w:val="22"/>
                <w:color w:val="auto"/>
              </w:rPr>
              <w:t>GVI, Inc.</w:t>
            </w:r>
          </w:p>
        </w:tc>
        <w:tc>
          <w:tcPr>
            <w:tcW w:w="36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Delaware</w:t>
            </w:r>
          </w:p>
        </w:tc>
      </w:tr>
      <w:tr>
        <w:trPr>
          <w:trHeight w:val="243"/>
        </w:trPr>
        <w:tc>
          <w:tcPr>
            <w:tcW w:w="7620" w:type="dxa"/>
            <w:vAlign w:val="bottom"/>
            <w:gridSpan w:val="2"/>
          </w:tcPr>
          <w:p>
            <w:pPr>
              <w:ind w:left="100"/>
              <w:spacing w:after="0" w:line="243" w:lineRule="exact"/>
              <w:rPr>
                <w:sz w:val="20"/>
                <w:szCs w:val="20"/>
                <w:color w:val="auto"/>
              </w:rPr>
            </w:pPr>
            <w:r>
              <w:rPr>
                <w:rFonts w:ascii="Times New Roman" w:cs="Times New Roman" w:eastAsia="Times New Roman" w:hAnsi="Times New Roman"/>
                <w:sz w:val="22"/>
                <w:szCs w:val="22"/>
                <w:color w:val="auto"/>
              </w:rPr>
              <w:t>Hat World Corporation</w:t>
            </w:r>
          </w:p>
        </w:tc>
        <w:tc>
          <w:tcPr>
            <w:tcW w:w="36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Delaware</w:t>
            </w:r>
          </w:p>
        </w:tc>
      </w:tr>
      <w:tr>
        <w:trPr>
          <w:trHeight w:val="243"/>
        </w:trPr>
        <w:tc>
          <w:tcPr>
            <w:tcW w:w="7620" w:type="dxa"/>
            <w:vAlign w:val="bottom"/>
            <w:gridSpan w:val="2"/>
          </w:tcPr>
          <w:p>
            <w:pPr>
              <w:ind w:left="100"/>
              <w:spacing w:after="0" w:line="243" w:lineRule="exact"/>
              <w:rPr>
                <w:sz w:val="20"/>
                <w:szCs w:val="20"/>
                <w:color w:val="auto"/>
              </w:rPr>
            </w:pPr>
            <w:r>
              <w:rPr>
                <w:rFonts w:ascii="Times New Roman" w:cs="Times New Roman" w:eastAsia="Times New Roman" w:hAnsi="Times New Roman"/>
                <w:sz w:val="22"/>
                <w:szCs w:val="22"/>
                <w:color w:val="auto"/>
              </w:rPr>
              <w:t>GCO Canada ULC</w:t>
            </w:r>
          </w:p>
        </w:tc>
        <w:tc>
          <w:tcPr>
            <w:tcW w:w="36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Canada</w:t>
            </w:r>
          </w:p>
        </w:tc>
      </w:tr>
      <w:tr>
        <w:trPr>
          <w:trHeight w:val="243"/>
        </w:trPr>
        <w:tc>
          <w:tcPr>
            <w:tcW w:w="7620" w:type="dxa"/>
            <w:vAlign w:val="bottom"/>
            <w:gridSpan w:val="2"/>
          </w:tcPr>
          <w:p>
            <w:pPr>
              <w:ind w:left="100"/>
              <w:spacing w:after="0" w:line="243" w:lineRule="exact"/>
              <w:rPr>
                <w:sz w:val="20"/>
                <w:szCs w:val="20"/>
                <w:color w:val="auto"/>
              </w:rPr>
            </w:pPr>
            <w:r>
              <w:rPr>
                <w:rFonts w:ascii="Times New Roman" w:cs="Times New Roman" w:eastAsia="Times New Roman" w:hAnsi="Times New Roman"/>
                <w:sz w:val="22"/>
                <w:szCs w:val="22"/>
                <w:color w:val="auto"/>
              </w:rPr>
              <w:t>Genesco Footwear LLC</w:t>
            </w:r>
          </w:p>
        </w:tc>
        <w:tc>
          <w:tcPr>
            <w:tcW w:w="36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Tennessee</w:t>
            </w:r>
          </w:p>
        </w:tc>
      </w:tr>
      <w:tr>
        <w:trPr>
          <w:trHeight w:val="243"/>
        </w:trPr>
        <w:tc>
          <w:tcPr>
            <w:tcW w:w="7620" w:type="dxa"/>
            <w:vAlign w:val="bottom"/>
            <w:gridSpan w:val="2"/>
          </w:tcPr>
          <w:p>
            <w:pPr>
              <w:ind w:left="100"/>
              <w:spacing w:after="0" w:line="243" w:lineRule="exact"/>
              <w:rPr>
                <w:sz w:val="20"/>
                <w:szCs w:val="20"/>
                <w:color w:val="auto"/>
              </w:rPr>
            </w:pPr>
            <w:r>
              <w:rPr>
                <w:rFonts w:ascii="Times New Roman" w:cs="Times New Roman" w:eastAsia="Times New Roman" w:hAnsi="Times New Roman"/>
                <w:sz w:val="22"/>
                <w:szCs w:val="22"/>
                <w:color w:val="auto"/>
              </w:rPr>
              <w:t>Genesco Services LLC</w:t>
            </w:r>
          </w:p>
        </w:tc>
        <w:tc>
          <w:tcPr>
            <w:tcW w:w="36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Tennessee</w:t>
            </w:r>
          </w:p>
        </w:tc>
      </w:tr>
      <w:tr>
        <w:trPr>
          <w:trHeight w:val="243"/>
        </w:trPr>
        <w:tc>
          <w:tcPr>
            <w:tcW w:w="7620" w:type="dxa"/>
            <w:vAlign w:val="bottom"/>
            <w:gridSpan w:val="2"/>
          </w:tcPr>
          <w:p>
            <w:pPr>
              <w:ind w:left="100"/>
              <w:spacing w:after="0" w:line="243" w:lineRule="exact"/>
              <w:rPr>
                <w:sz w:val="20"/>
                <w:szCs w:val="20"/>
                <w:color w:val="auto"/>
              </w:rPr>
            </w:pPr>
            <w:r>
              <w:rPr>
                <w:rFonts w:ascii="Times New Roman" w:cs="Times New Roman" w:eastAsia="Times New Roman" w:hAnsi="Times New Roman"/>
                <w:sz w:val="22"/>
                <w:szCs w:val="22"/>
                <w:color w:val="auto"/>
              </w:rPr>
              <w:t>Genesco (Quanzhou) Footwear Co., Ltd.</w:t>
            </w:r>
          </w:p>
        </w:tc>
        <w:tc>
          <w:tcPr>
            <w:tcW w:w="36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China</w:t>
            </w:r>
          </w:p>
        </w:tc>
      </w:tr>
      <w:tr>
        <w:trPr>
          <w:trHeight w:val="243"/>
        </w:trPr>
        <w:tc>
          <w:tcPr>
            <w:tcW w:w="7620" w:type="dxa"/>
            <w:vAlign w:val="bottom"/>
            <w:gridSpan w:val="2"/>
          </w:tcPr>
          <w:p>
            <w:pPr>
              <w:ind w:left="100"/>
              <w:spacing w:after="0" w:line="243" w:lineRule="exact"/>
              <w:rPr>
                <w:sz w:val="20"/>
                <w:szCs w:val="20"/>
                <w:color w:val="auto"/>
              </w:rPr>
            </w:pPr>
            <w:r>
              <w:rPr>
                <w:rFonts w:ascii="Times New Roman" w:cs="Times New Roman" w:eastAsia="Times New Roman" w:hAnsi="Times New Roman"/>
                <w:sz w:val="22"/>
                <w:szCs w:val="22"/>
                <w:color w:val="auto"/>
              </w:rPr>
              <w:t>Genesco (UK) Limited</w:t>
            </w:r>
          </w:p>
        </w:tc>
        <w:tc>
          <w:tcPr>
            <w:tcW w:w="36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United Kingdom</w:t>
            </w:r>
          </w:p>
        </w:tc>
      </w:tr>
      <w:tr>
        <w:trPr>
          <w:trHeight w:val="243"/>
        </w:trPr>
        <w:tc>
          <w:tcPr>
            <w:tcW w:w="7620" w:type="dxa"/>
            <w:vAlign w:val="bottom"/>
            <w:gridSpan w:val="2"/>
          </w:tcPr>
          <w:p>
            <w:pPr>
              <w:ind w:left="100"/>
              <w:spacing w:after="0" w:line="243" w:lineRule="exact"/>
              <w:rPr>
                <w:sz w:val="20"/>
                <w:szCs w:val="20"/>
                <w:color w:val="auto"/>
              </w:rPr>
            </w:pPr>
            <w:r>
              <w:rPr>
                <w:rFonts w:ascii="Times New Roman" w:cs="Times New Roman" w:eastAsia="Times New Roman" w:hAnsi="Times New Roman"/>
                <w:sz w:val="22"/>
                <w:szCs w:val="22"/>
                <w:color w:val="auto"/>
              </w:rPr>
              <w:t>Schuh Group Limited</w:t>
            </w:r>
          </w:p>
        </w:tc>
        <w:tc>
          <w:tcPr>
            <w:tcW w:w="36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United Kingdom</w:t>
            </w:r>
          </w:p>
        </w:tc>
      </w:tr>
      <w:tr>
        <w:trPr>
          <w:trHeight w:val="243"/>
        </w:trPr>
        <w:tc>
          <w:tcPr>
            <w:tcW w:w="7620" w:type="dxa"/>
            <w:vAlign w:val="bottom"/>
            <w:gridSpan w:val="2"/>
          </w:tcPr>
          <w:p>
            <w:pPr>
              <w:ind w:left="100"/>
              <w:spacing w:after="0" w:line="243" w:lineRule="exact"/>
              <w:rPr>
                <w:sz w:val="20"/>
                <w:szCs w:val="20"/>
                <w:color w:val="auto"/>
              </w:rPr>
            </w:pPr>
            <w:r>
              <w:rPr>
                <w:rFonts w:ascii="Times New Roman" w:cs="Times New Roman" w:eastAsia="Times New Roman" w:hAnsi="Times New Roman"/>
                <w:sz w:val="22"/>
                <w:szCs w:val="22"/>
                <w:color w:val="auto"/>
              </w:rPr>
              <w:t>Schuh (Holdings) Limited</w:t>
            </w:r>
          </w:p>
        </w:tc>
        <w:tc>
          <w:tcPr>
            <w:tcW w:w="36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United Kingdom</w:t>
            </w:r>
          </w:p>
        </w:tc>
      </w:tr>
      <w:tr>
        <w:trPr>
          <w:trHeight w:val="243"/>
        </w:trPr>
        <w:tc>
          <w:tcPr>
            <w:tcW w:w="7620" w:type="dxa"/>
            <w:vAlign w:val="bottom"/>
            <w:gridSpan w:val="2"/>
          </w:tcPr>
          <w:p>
            <w:pPr>
              <w:ind w:left="100"/>
              <w:spacing w:after="0" w:line="243" w:lineRule="exact"/>
              <w:rPr>
                <w:sz w:val="20"/>
                <w:szCs w:val="20"/>
                <w:color w:val="auto"/>
              </w:rPr>
            </w:pPr>
            <w:r>
              <w:rPr>
                <w:rFonts w:ascii="Times New Roman" w:cs="Times New Roman" w:eastAsia="Times New Roman" w:hAnsi="Times New Roman"/>
                <w:sz w:val="22"/>
                <w:szCs w:val="22"/>
                <w:color w:val="auto"/>
              </w:rPr>
              <w:t>Schuh Limited</w:t>
            </w:r>
          </w:p>
        </w:tc>
        <w:tc>
          <w:tcPr>
            <w:tcW w:w="36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United Kingdom</w:t>
            </w:r>
          </w:p>
        </w:tc>
      </w:tr>
      <w:tr>
        <w:trPr>
          <w:trHeight w:val="243"/>
        </w:trPr>
        <w:tc>
          <w:tcPr>
            <w:tcW w:w="7620" w:type="dxa"/>
            <w:vAlign w:val="bottom"/>
            <w:gridSpan w:val="2"/>
          </w:tcPr>
          <w:p>
            <w:pPr>
              <w:ind w:left="100"/>
              <w:spacing w:after="0" w:line="243" w:lineRule="exact"/>
              <w:rPr>
                <w:sz w:val="20"/>
                <w:szCs w:val="20"/>
                <w:color w:val="auto"/>
              </w:rPr>
            </w:pPr>
            <w:r>
              <w:rPr>
                <w:rFonts w:ascii="Times New Roman" w:cs="Times New Roman" w:eastAsia="Times New Roman" w:hAnsi="Times New Roman"/>
                <w:sz w:val="22"/>
                <w:szCs w:val="22"/>
                <w:color w:val="auto"/>
              </w:rPr>
              <w:t>Schuh (ROI) Limited</w:t>
            </w:r>
          </w:p>
        </w:tc>
        <w:tc>
          <w:tcPr>
            <w:tcW w:w="36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Republic of Ireland</w:t>
            </w:r>
          </w:p>
        </w:tc>
      </w:tr>
      <w:tr>
        <w:trPr>
          <w:trHeight w:val="270"/>
        </w:trPr>
        <w:tc>
          <w:tcPr>
            <w:tcW w:w="762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22"/>
                <w:szCs w:val="22"/>
                <w:color w:val="auto"/>
              </w:rPr>
              <w:t>Genesco (Jersey) Limited</w:t>
            </w:r>
          </w:p>
        </w:tc>
        <w:tc>
          <w:tcPr>
            <w:tcW w:w="3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rPr>
              <w:t>Jersey</w:t>
            </w:r>
          </w:p>
        </w:tc>
      </w:tr>
    </w:tbl>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vertAlign w:val="superscript"/>
        </w:rPr>
        <w:t>(1)</w:t>
      </w:r>
      <w:r>
        <w:rPr>
          <w:rFonts w:ascii="Times New Roman" w:cs="Times New Roman" w:eastAsia="Times New Roman" w:hAnsi="Times New Roman"/>
          <w:sz w:val="16"/>
          <w:szCs w:val="16"/>
          <w:color w:val="auto"/>
        </w:rPr>
        <w:t>100% of the equity of each listed subsidiary is owned either by the registrant or by a wholly-owned subsidiary of the registrant.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1934845</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05" w:name="page106"/>
    <w:bookmarkEnd w:id="105"/>
    <w:p>
      <w:pPr>
        <w:jc w:val="right"/>
        <w:spacing w:after="0"/>
        <w:rPr>
          <w:sz w:val="20"/>
          <w:szCs w:val="20"/>
          <w:color w:val="auto"/>
        </w:rPr>
      </w:pPr>
      <w:r>
        <w:rPr>
          <w:rFonts w:ascii="Times New Roman" w:cs="Times New Roman" w:eastAsia="Times New Roman" w:hAnsi="Times New Roman"/>
          <w:sz w:val="20"/>
          <w:szCs w:val="20"/>
          <w:color w:val="auto"/>
        </w:rPr>
        <w:t>Exhibit 24</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200" w:lineRule="exact"/>
        <w:rPr>
          <w:sz w:val="20"/>
          <w:szCs w:val="20"/>
          <w:color w:val="auto"/>
        </w:rPr>
      </w:pPr>
    </w:p>
    <w:p>
      <w:pPr>
        <w:spacing w:after="0" w:line="26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9"/>
          <w:szCs w:val="19"/>
          <w:color w:val="auto"/>
        </w:rPr>
        <w:t>The undersigned directors of Genesco Inc., a Tennessee corporation (“Genesco”), do hereby constitute and appoint Scott E. Becker and Cassandra Harris, and any one of them, to act severally as attorneys-in-fact for and in their respective names, places and steads, with full power of substitution, to execute, sign and file with the Securities and Exchange Commission the Annual Report on Form 10-K of Genesco for the fiscal year ended February 1, 2025, and any and all amendments thereto; granting to said attorneys-in-fact, and each of them, full power and authority to do and perform every act and thing whatsoever requisite or necessary to be done in and about the premises as fully to all intents and purposes as the undersigned or any of them might or could do if personally present, and the undersigned do hereby ratify and confirm all that said attorney-in-fact or any of them, or their substitute or substitutes, may lawfully do or cause to be done by virtue hereof.</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Executed this 8th day of February,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460" w:type="dxa"/>
            <w:vAlign w:val="bottom"/>
          </w:tcPr>
          <w:p>
            <w:pPr>
              <w:spacing w:after="0"/>
              <w:rPr>
                <w:sz w:val="20"/>
                <w:szCs w:val="20"/>
                <w:color w:val="auto"/>
              </w:rPr>
            </w:pPr>
            <w:r>
              <w:rPr>
                <w:rFonts w:ascii="Times New Roman" w:cs="Times New Roman" w:eastAsia="Times New Roman" w:hAnsi="Times New Roman"/>
                <w:sz w:val="20"/>
                <w:szCs w:val="20"/>
                <w:color w:val="auto"/>
              </w:rPr>
              <w:t>/s/Joanna Barsh</w:t>
            </w:r>
          </w:p>
        </w:tc>
        <w:tc>
          <w:tcPr>
            <w:tcW w:w="1300" w:type="dxa"/>
            <w:vAlign w:val="bottom"/>
            <w:gridSpan w:val="2"/>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220" w:type="dxa"/>
            <w:vAlign w:val="bottom"/>
            <w:gridSpan w:val="6"/>
          </w:tcPr>
          <w:p>
            <w:pPr>
              <w:ind w:left="20"/>
              <w:spacing w:after="0"/>
              <w:rPr>
                <w:sz w:val="20"/>
                <w:szCs w:val="20"/>
                <w:color w:val="auto"/>
              </w:rPr>
            </w:pPr>
            <w:r>
              <w:rPr>
                <w:rFonts w:ascii="Times New Roman" w:cs="Times New Roman" w:eastAsia="Times New Roman" w:hAnsi="Times New Roman"/>
                <w:sz w:val="20"/>
                <w:szCs w:val="20"/>
                <w:color w:val="auto"/>
              </w:rPr>
              <w:t>/s/Angel R. Martinez</w:t>
            </w:r>
          </w:p>
        </w:tc>
      </w:tr>
      <w:tr>
        <w:trPr>
          <w:trHeight w:val="20"/>
        </w:trPr>
        <w:tc>
          <w:tcPr>
            <w:tcW w:w="14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r>
      <w:tr>
        <w:trPr>
          <w:trHeight w:val="256"/>
        </w:trPr>
        <w:tc>
          <w:tcPr>
            <w:tcW w:w="276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Joanna Barsh, Director</w:t>
            </w:r>
          </w:p>
        </w:tc>
        <w:tc>
          <w:tcPr>
            <w:tcW w:w="200" w:type="dxa"/>
            <w:vAlign w:val="bottom"/>
          </w:tcPr>
          <w:p>
            <w:pPr>
              <w:spacing w:after="0"/>
              <w:rPr>
                <w:sz w:val="22"/>
                <w:szCs w:val="22"/>
                <w:color w:val="auto"/>
              </w:rPr>
            </w:pPr>
          </w:p>
        </w:tc>
        <w:tc>
          <w:tcPr>
            <w:tcW w:w="8280" w:type="dxa"/>
            <w:vAlign w:val="bottom"/>
            <w:gridSpan w:val="7"/>
          </w:tcPr>
          <w:p>
            <w:pPr>
              <w:ind w:left="60"/>
              <w:spacing w:after="0"/>
              <w:rPr>
                <w:sz w:val="20"/>
                <w:szCs w:val="20"/>
                <w:color w:val="auto"/>
              </w:rPr>
            </w:pPr>
            <w:r>
              <w:rPr>
                <w:rFonts w:ascii="Times New Roman" w:cs="Times New Roman" w:eastAsia="Times New Roman" w:hAnsi="Times New Roman"/>
                <w:sz w:val="20"/>
                <w:szCs w:val="20"/>
                <w:color w:val="auto"/>
              </w:rPr>
              <w:t>Angel R. Martinez, Director</w:t>
            </w:r>
          </w:p>
        </w:tc>
      </w:tr>
      <w:tr>
        <w:trPr>
          <w:trHeight w:val="412"/>
        </w:trPr>
        <w:tc>
          <w:tcPr>
            <w:tcW w:w="20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/s/Matthew M. Bilunas</w:t>
            </w: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80" w:type="dxa"/>
            <w:vAlign w:val="bottom"/>
            <w:gridSpan w:val="7"/>
          </w:tcPr>
          <w:p>
            <w:pPr>
              <w:ind w:left="60"/>
              <w:spacing w:after="0"/>
              <w:rPr>
                <w:sz w:val="20"/>
                <w:szCs w:val="20"/>
                <w:color w:val="auto"/>
              </w:rPr>
            </w:pPr>
            <w:r>
              <w:rPr>
                <w:rFonts w:ascii="Times New Roman" w:cs="Times New Roman" w:eastAsia="Times New Roman" w:hAnsi="Times New Roman"/>
                <w:sz w:val="20"/>
                <w:szCs w:val="20"/>
                <w:color w:val="auto"/>
              </w:rPr>
              <w:t>/s/Mary Meixelsperger</w:t>
            </w:r>
          </w:p>
        </w:tc>
      </w:tr>
      <w:tr>
        <w:trPr>
          <w:trHeight w:val="20"/>
        </w:trPr>
        <w:tc>
          <w:tcPr>
            <w:tcW w:w="2040" w:type="dxa"/>
            <w:vAlign w:val="bottom"/>
            <w:tcBorders>
              <w:right w:val="single" w:sz="8" w:color="auto"/>
            </w:tcBorders>
            <w:gridSpan w:val="2"/>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60" w:type="dxa"/>
            <w:vAlign w:val="bottom"/>
            <w:gridSpan w:val="2"/>
            <w:shd w:val="clear" w:color="auto" w:fill="000000"/>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r>
      <w:tr>
        <w:trPr>
          <w:trHeight w:val="256"/>
        </w:trPr>
        <w:tc>
          <w:tcPr>
            <w:tcW w:w="276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Matthew M. Bilunas, Director</w:t>
            </w:r>
          </w:p>
        </w:tc>
        <w:tc>
          <w:tcPr>
            <w:tcW w:w="200" w:type="dxa"/>
            <w:vAlign w:val="bottom"/>
          </w:tcPr>
          <w:p>
            <w:pPr>
              <w:spacing w:after="0"/>
              <w:rPr>
                <w:sz w:val="22"/>
                <w:szCs w:val="22"/>
                <w:color w:val="auto"/>
              </w:rPr>
            </w:pPr>
          </w:p>
        </w:tc>
        <w:tc>
          <w:tcPr>
            <w:tcW w:w="8280" w:type="dxa"/>
            <w:vAlign w:val="bottom"/>
            <w:gridSpan w:val="7"/>
          </w:tcPr>
          <w:p>
            <w:pPr>
              <w:ind w:left="40"/>
              <w:spacing w:after="0"/>
              <w:rPr>
                <w:sz w:val="20"/>
                <w:szCs w:val="20"/>
                <w:color w:val="auto"/>
              </w:rPr>
            </w:pPr>
            <w:r>
              <w:rPr>
                <w:rFonts w:ascii="Times New Roman" w:cs="Times New Roman" w:eastAsia="Times New Roman" w:hAnsi="Times New Roman"/>
                <w:sz w:val="20"/>
                <w:szCs w:val="20"/>
                <w:color w:val="auto"/>
              </w:rPr>
              <w:t>Mary Meixelsperger, Director</w:t>
            </w:r>
          </w:p>
        </w:tc>
      </w:tr>
      <w:tr>
        <w:trPr>
          <w:trHeight w:val="412"/>
        </w:trPr>
        <w:tc>
          <w:tcPr>
            <w:tcW w:w="20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/s/Carolyn Bojanowski</w:t>
            </w: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80" w:type="dxa"/>
            <w:vAlign w:val="bottom"/>
            <w:gridSpan w:val="7"/>
          </w:tcPr>
          <w:p>
            <w:pPr>
              <w:ind w:left="60"/>
              <w:spacing w:after="0"/>
              <w:rPr>
                <w:sz w:val="20"/>
                <w:szCs w:val="20"/>
                <w:color w:val="auto"/>
              </w:rPr>
            </w:pPr>
            <w:r>
              <w:rPr>
                <w:rFonts w:ascii="Times New Roman" w:cs="Times New Roman" w:eastAsia="Times New Roman" w:hAnsi="Times New Roman"/>
                <w:sz w:val="20"/>
                <w:szCs w:val="20"/>
                <w:color w:val="auto"/>
              </w:rPr>
              <w:t>/s/Gregory A. Sandfort</w:t>
            </w:r>
          </w:p>
        </w:tc>
      </w:tr>
      <w:tr>
        <w:trPr>
          <w:trHeight w:val="20"/>
        </w:trPr>
        <w:tc>
          <w:tcPr>
            <w:tcW w:w="2040" w:type="dxa"/>
            <w:vAlign w:val="bottom"/>
            <w:tcBorders>
              <w:right w:val="single" w:sz="8" w:color="auto"/>
            </w:tcBorders>
            <w:gridSpan w:val="2"/>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60" w:type="dxa"/>
            <w:vAlign w:val="bottom"/>
            <w:gridSpan w:val="2"/>
            <w:shd w:val="clear" w:color="auto" w:fill="000000"/>
          </w:tcPr>
          <w:p>
            <w:pPr>
              <w:spacing w:after="0" w:line="20" w:lineRule="exact"/>
              <w:rPr>
                <w:sz w:val="1"/>
                <w:szCs w:val="1"/>
                <w:color w:val="auto"/>
              </w:rPr>
            </w:pPr>
          </w:p>
        </w:tc>
        <w:tc>
          <w:tcPr>
            <w:tcW w:w="360" w:type="dxa"/>
            <w:vAlign w:val="bottom"/>
            <w:gridSpan w:val="3"/>
            <w:shd w:val="clear" w:color="auto" w:fill="000000"/>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r>
      <w:tr>
        <w:trPr>
          <w:trHeight w:val="256"/>
        </w:trPr>
        <w:tc>
          <w:tcPr>
            <w:tcW w:w="276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Carolyn Bojanowski, Director</w:t>
            </w:r>
          </w:p>
        </w:tc>
        <w:tc>
          <w:tcPr>
            <w:tcW w:w="200" w:type="dxa"/>
            <w:vAlign w:val="bottom"/>
          </w:tcPr>
          <w:p>
            <w:pPr>
              <w:spacing w:after="0"/>
              <w:rPr>
                <w:sz w:val="22"/>
                <w:szCs w:val="22"/>
                <w:color w:val="auto"/>
              </w:rPr>
            </w:pPr>
          </w:p>
        </w:tc>
        <w:tc>
          <w:tcPr>
            <w:tcW w:w="8280" w:type="dxa"/>
            <w:vAlign w:val="bottom"/>
            <w:gridSpan w:val="7"/>
          </w:tcPr>
          <w:p>
            <w:pPr>
              <w:ind w:left="40"/>
              <w:spacing w:after="0"/>
              <w:rPr>
                <w:sz w:val="20"/>
                <w:szCs w:val="20"/>
                <w:color w:val="auto"/>
              </w:rPr>
            </w:pPr>
            <w:r>
              <w:rPr>
                <w:rFonts w:ascii="Times New Roman" w:cs="Times New Roman" w:eastAsia="Times New Roman" w:hAnsi="Times New Roman"/>
                <w:sz w:val="20"/>
                <w:szCs w:val="20"/>
                <w:color w:val="auto"/>
              </w:rPr>
              <w:t>Gregory A. Sandfort, Director</w:t>
            </w:r>
          </w:p>
        </w:tc>
      </w:tr>
      <w:tr>
        <w:trPr>
          <w:trHeight w:val="413"/>
        </w:trPr>
        <w:tc>
          <w:tcPr>
            <w:tcW w:w="20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/s/John F. Lambros</w:t>
            </w: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80" w:type="dxa"/>
            <w:vAlign w:val="bottom"/>
            <w:gridSpan w:val="7"/>
          </w:tcPr>
          <w:p>
            <w:pPr>
              <w:spacing w:after="0"/>
              <w:rPr>
                <w:sz w:val="20"/>
                <w:szCs w:val="20"/>
                <w:color w:val="auto"/>
              </w:rPr>
            </w:pPr>
            <w:r>
              <w:rPr>
                <w:rFonts w:ascii="Times New Roman" w:cs="Times New Roman" w:eastAsia="Times New Roman" w:hAnsi="Times New Roman"/>
                <w:sz w:val="20"/>
                <w:szCs w:val="20"/>
                <w:color w:val="auto"/>
              </w:rPr>
              <w:t>/s/Mimi E. Vaughn</w:t>
            </w:r>
          </w:p>
        </w:tc>
      </w:tr>
      <w:tr>
        <w:trPr>
          <w:trHeight w:val="20"/>
        </w:trPr>
        <w:tc>
          <w:tcPr>
            <w:tcW w:w="2040" w:type="dxa"/>
            <w:vAlign w:val="bottom"/>
            <w:tcBorders>
              <w:right w:val="single" w:sz="8" w:color="auto"/>
            </w:tcBorders>
            <w:gridSpan w:val="2"/>
            <w:shd w:val="clear" w:color="auto" w:fill="000000"/>
          </w:tcPr>
          <w:p>
            <w:pPr>
              <w:spacing w:after="0" w:line="20" w:lineRule="exact"/>
              <w:rPr>
                <w:sz w:val="1"/>
                <w:szCs w:val="1"/>
                <w:color w:val="auto"/>
              </w:rPr>
            </w:pPr>
          </w:p>
        </w:tc>
        <w:tc>
          <w:tcPr>
            <w:tcW w:w="720" w:type="dxa"/>
            <w:vAlign w:val="bottom"/>
            <w:tcBorders>
              <w:lef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gridSpan w:val="3"/>
            <w:shd w:val="clear" w:color="auto" w:fill="000000"/>
          </w:tcPr>
          <w:p>
            <w:pPr>
              <w:spacing w:after="0" w:line="20" w:lineRule="exact"/>
              <w:rPr>
                <w:sz w:val="1"/>
                <w:szCs w:val="1"/>
                <w:color w:val="auto"/>
              </w:rPr>
            </w:pPr>
          </w:p>
        </w:tc>
        <w:tc>
          <w:tcPr>
            <w:tcW w:w="6760" w:type="dxa"/>
            <w:vAlign w:val="bottom"/>
            <w:gridSpan w:val="4"/>
          </w:tcPr>
          <w:p>
            <w:pPr>
              <w:spacing w:after="0" w:line="20" w:lineRule="exact"/>
              <w:rPr>
                <w:sz w:val="1"/>
                <w:szCs w:val="1"/>
                <w:color w:val="auto"/>
              </w:rPr>
            </w:pPr>
          </w:p>
        </w:tc>
      </w:tr>
      <w:tr>
        <w:trPr>
          <w:trHeight w:val="256"/>
        </w:trPr>
        <w:tc>
          <w:tcPr>
            <w:tcW w:w="276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John F. Lambros, Director</w:t>
            </w:r>
          </w:p>
        </w:tc>
        <w:tc>
          <w:tcPr>
            <w:tcW w:w="8480" w:type="dxa"/>
            <w:vAlign w:val="bottom"/>
            <w:gridSpan w:val="8"/>
          </w:tcPr>
          <w:p>
            <w:pPr>
              <w:ind w:left="180"/>
              <w:spacing w:after="0"/>
              <w:rPr>
                <w:sz w:val="20"/>
                <w:szCs w:val="20"/>
                <w:color w:val="auto"/>
              </w:rPr>
            </w:pPr>
            <w:r>
              <w:rPr>
                <w:rFonts w:ascii="Times New Roman" w:cs="Times New Roman" w:eastAsia="Times New Roman" w:hAnsi="Times New Roman"/>
                <w:sz w:val="20"/>
                <w:szCs w:val="20"/>
                <w:color w:val="auto"/>
              </w:rPr>
              <w:t>Mimi E. Vaughn, Director</w:t>
            </w:r>
          </w:p>
        </w:tc>
      </w:tr>
      <w:tr>
        <w:trPr>
          <w:trHeight w:val="413"/>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w w:val="98"/>
              </w:rPr>
              <w:t>/s/Thurgood Marshall, Jr.</w:t>
            </w: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0" w:type="dxa"/>
            <w:vAlign w:val="bottom"/>
          </w:tcPr>
          <w:p>
            <w:pPr>
              <w:spacing w:after="0"/>
              <w:rPr>
                <w:sz w:val="24"/>
                <w:szCs w:val="24"/>
                <w:color w:val="auto"/>
              </w:rPr>
            </w:pPr>
          </w:p>
        </w:tc>
      </w:tr>
      <w:tr>
        <w:trPr>
          <w:trHeight w:val="256"/>
        </w:trPr>
        <w:tc>
          <w:tcPr>
            <w:tcW w:w="276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Thurgood Marshall, Jr., Director</w:t>
            </w:r>
          </w:p>
        </w:tc>
        <w:tc>
          <w:tcPr>
            <w:tcW w:w="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400" w:type="dxa"/>
            <w:vAlign w:val="bottom"/>
          </w:tcPr>
          <w:p>
            <w:pPr>
              <w:spacing w:after="0"/>
              <w:rPr>
                <w:sz w:val="22"/>
                <w:szCs w:val="22"/>
                <w:color w:val="auto"/>
              </w:rPr>
            </w:pPr>
          </w:p>
        </w:tc>
      </w:tr>
      <w:tr>
        <w:trPr>
          <w:trHeight w:val="2539"/>
        </w:trPr>
        <w:tc>
          <w:tcPr>
            <w:tcW w:w="146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4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9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9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06" w:name="page107"/>
    <w:bookmarkEnd w:id="106"/>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Mimi E. Vaughn, certify that:</w:t>
      </w:r>
    </w:p>
    <w:p>
      <w:pPr>
        <w:spacing w:after="0" w:line="117" w:lineRule="exact"/>
        <w:rPr>
          <w:sz w:val="20"/>
          <w:szCs w:val="20"/>
          <w:color w:val="auto"/>
        </w:rPr>
      </w:pPr>
    </w:p>
    <w:p>
      <w:pPr>
        <w:ind w:left="180" w:hanging="172"/>
        <w:spacing w:after="0"/>
        <w:tabs>
          <w:tab w:leader="none" w:pos="1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Genesco Inc.;</w:t>
      </w:r>
    </w:p>
    <w:p>
      <w:pPr>
        <w:spacing w:after="0" w:line="117" w:lineRule="exact"/>
        <w:rPr>
          <w:rFonts w:ascii="Times New Roman" w:cs="Times New Roman" w:eastAsia="Times New Roman" w:hAnsi="Times New Roman"/>
          <w:sz w:val="18"/>
          <w:szCs w:val="18"/>
          <w:color w:val="auto"/>
        </w:rPr>
      </w:pPr>
    </w:p>
    <w:p>
      <w:pPr>
        <w:ind w:right="260" w:firstLine="8"/>
        <w:spacing w:after="0" w:line="282" w:lineRule="auto"/>
        <w:tabs>
          <w:tab w:leader="none" w:pos="1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3" w:lineRule="exact"/>
        <w:rPr>
          <w:rFonts w:ascii="Times New Roman" w:cs="Times New Roman" w:eastAsia="Times New Roman" w:hAnsi="Times New Roman"/>
          <w:sz w:val="18"/>
          <w:szCs w:val="18"/>
          <w:color w:val="auto"/>
        </w:rPr>
      </w:pPr>
    </w:p>
    <w:p>
      <w:pPr>
        <w:ind w:right="540" w:firstLine="8"/>
        <w:spacing w:after="0" w:line="282" w:lineRule="auto"/>
        <w:tabs>
          <w:tab w:leader="none" w:pos="1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right="80" w:firstLine="8"/>
        <w:spacing w:after="0" w:line="266" w:lineRule="auto"/>
        <w:tabs>
          <w:tab w:leader="none" w:pos="1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right="340" w:firstLine="507"/>
        <w:spacing w:after="0" w:line="266" w:lineRule="auto"/>
        <w:tabs>
          <w:tab w:leader="none" w:pos="683"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700" w:hanging="193"/>
        <w:spacing w:after="0"/>
        <w:tabs>
          <w:tab w:leader="none" w:pos="70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w:t>
      </w:r>
    </w:p>
    <w:p>
      <w:pPr>
        <w:spacing w:after="0" w:line="27" w:lineRule="exact"/>
        <w:rPr>
          <w:rFonts w:ascii="Times New Roman" w:cs="Times New Roman" w:eastAsia="Times New Roman" w:hAnsi="Times New Roman"/>
          <w:sz w:val="18"/>
          <w:szCs w:val="18"/>
          <w:color w:val="auto"/>
        </w:rPr>
      </w:pPr>
    </w:p>
    <w:p>
      <w:pPr>
        <w:ind w:right="4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Times New Roman" w:cs="Times New Roman" w:eastAsia="Times New Roman" w:hAnsi="Times New Roman"/>
          <w:sz w:val="18"/>
          <w:szCs w:val="18"/>
          <w:color w:val="auto"/>
        </w:rPr>
      </w:pPr>
    </w:p>
    <w:p>
      <w:pPr>
        <w:ind w:right="860" w:firstLine="507"/>
        <w:spacing w:after="0" w:line="282" w:lineRule="auto"/>
        <w:tabs>
          <w:tab w:leader="none" w:pos="683"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right="240" w:firstLine="507"/>
        <w:spacing w:after="0" w:line="266" w:lineRule="auto"/>
        <w:tabs>
          <w:tab w:leader="none" w:pos="694"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right="300" w:firstLine="8"/>
        <w:spacing w:after="0" w:line="282" w:lineRule="auto"/>
        <w:tabs>
          <w:tab w:leader="none" w:pos="1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right="240" w:firstLine="507"/>
        <w:spacing w:after="0" w:line="282" w:lineRule="auto"/>
        <w:tabs>
          <w:tab w:leader="none" w:pos="683"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right="200" w:firstLine="507"/>
        <w:spacing w:after="0" w:line="282" w:lineRule="auto"/>
        <w:tabs>
          <w:tab w:leader="none" w:pos="694"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26, 2025</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Mimi E. Vaughn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5715</wp:posOffset>
            </wp:positionV>
            <wp:extent cx="356616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300">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ind w:left="5640"/>
        <w:spacing w:after="0"/>
        <w:rPr>
          <w:sz w:val="20"/>
          <w:szCs w:val="20"/>
          <w:color w:val="auto"/>
        </w:rPr>
      </w:pPr>
      <w:r>
        <w:rPr>
          <w:rFonts w:ascii="Times New Roman" w:cs="Times New Roman" w:eastAsia="Times New Roman" w:hAnsi="Times New Roman"/>
          <w:sz w:val="18"/>
          <w:szCs w:val="18"/>
          <w:color w:val="auto"/>
        </w:rPr>
        <w:t>Mimi E. Vaughn</w:t>
      </w:r>
    </w:p>
    <w:p>
      <w:pPr>
        <w:spacing w:after="0" w:line="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1021715</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3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07" w:name="page108"/>
    <w:bookmarkEnd w:id="107"/>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Cassandra E. Harris, certify that:</w:t>
      </w:r>
    </w:p>
    <w:p>
      <w:pPr>
        <w:spacing w:after="0" w:line="117" w:lineRule="exact"/>
        <w:rPr>
          <w:sz w:val="20"/>
          <w:szCs w:val="20"/>
          <w:color w:val="auto"/>
        </w:rPr>
      </w:pPr>
    </w:p>
    <w:p>
      <w:pPr>
        <w:ind w:left="180" w:hanging="172"/>
        <w:spacing w:after="0"/>
        <w:tabs>
          <w:tab w:leader="none" w:pos="1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Genesco Inc.;</w:t>
      </w:r>
    </w:p>
    <w:p>
      <w:pPr>
        <w:spacing w:after="0" w:line="117" w:lineRule="exact"/>
        <w:rPr>
          <w:rFonts w:ascii="Times New Roman" w:cs="Times New Roman" w:eastAsia="Times New Roman" w:hAnsi="Times New Roman"/>
          <w:sz w:val="18"/>
          <w:szCs w:val="18"/>
          <w:color w:val="auto"/>
        </w:rPr>
      </w:pPr>
    </w:p>
    <w:p>
      <w:pPr>
        <w:ind w:right="260" w:firstLine="8"/>
        <w:spacing w:after="0" w:line="282" w:lineRule="auto"/>
        <w:tabs>
          <w:tab w:leader="none" w:pos="1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3" w:lineRule="exact"/>
        <w:rPr>
          <w:rFonts w:ascii="Times New Roman" w:cs="Times New Roman" w:eastAsia="Times New Roman" w:hAnsi="Times New Roman"/>
          <w:sz w:val="18"/>
          <w:szCs w:val="18"/>
          <w:color w:val="auto"/>
        </w:rPr>
      </w:pPr>
    </w:p>
    <w:p>
      <w:pPr>
        <w:ind w:right="540" w:firstLine="8"/>
        <w:spacing w:after="0" w:line="282" w:lineRule="auto"/>
        <w:tabs>
          <w:tab w:leader="none" w:pos="1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right="80" w:firstLine="8"/>
        <w:spacing w:after="0" w:line="266" w:lineRule="auto"/>
        <w:tabs>
          <w:tab w:leader="none" w:pos="1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right="340" w:firstLine="507"/>
        <w:spacing w:after="0" w:line="266" w:lineRule="auto"/>
        <w:tabs>
          <w:tab w:leader="none" w:pos="683"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700" w:hanging="193"/>
        <w:spacing w:after="0"/>
        <w:tabs>
          <w:tab w:leader="none" w:pos="70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w:t>
      </w:r>
    </w:p>
    <w:p>
      <w:pPr>
        <w:spacing w:after="0" w:line="27" w:lineRule="exact"/>
        <w:rPr>
          <w:rFonts w:ascii="Times New Roman" w:cs="Times New Roman" w:eastAsia="Times New Roman" w:hAnsi="Times New Roman"/>
          <w:sz w:val="18"/>
          <w:szCs w:val="18"/>
          <w:color w:val="auto"/>
        </w:rPr>
      </w:pPr>
    </w:p>
    <w:p>
      <w:pPr>
        <w:ind w:right="4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Times New Roman" w:cs="Times New Roman" w:eastAsia="Times New Roman" w:hAnsi="Times New Roman"/>
          <w:sz w:val="18"/>
          <w:szCs w:val="18"/>
          <w:color w:val="auto"/>
        </w:rPr>
      </w:pPr>
    </w:p>
    <w:p>
      <w:pPr>
        <w:ind w:right="860" w:firstLine="507"/>
        <w:spacing w:after="0" w:line="282" w:lineRule="auto"/>
        <w:tabs>
          <w:tab w:leader="none" w:pos="683"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right="240" w:firstLine="507"/>
        <w:spacing w:after="0" w:line="266" w:lineRule="auto"/>
        <w:tabs>
          <w:tab w:leader="none" w:pos="694"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right="300" w:firstLine="8"/>
        <w:spacing w:after="0" w:line="282" w:lineRule="auto"/>
        <w:tabs>
          <w:tab w:leader="none" w:pos="1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right="240" w:firstLine="507"/>
        <w:spacing w:after="0" w:line="282" w:lineRule="auto"/>
        <w:tabs>
          <w:tab w:leader="none" w:pos="683"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right="200" w:firstLine="507"/>
        <w:spacing w:after="0" w:line="282" w:lineRule="auto"/>
        <w:tabs>
          <w:tab w:leader="none" w:pos="694"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26, 2025</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Cassandra E. Harris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302">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Cassandra E. Harris</w:t>
      </w:r>
    </w:p>
    <w:p>
      <w:pPr>
        <w:spacing w:after="0" w:line="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1021715</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3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08" w:name="page109"/>
    <w:bookmarkEnd w:id="108"/>
    <w:p>
      <w:pPr>
        <w:spacing w:after="0" w:line="19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53"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Genesco Inc. (the “Company”) on Form 10-K for the period ending February 1, 2025, as filed with the Securities and Exchange Commission on the date hereof (the “Report”), I, Mimi E. Vaughn, Chief Executive Officer of the Company, certify, pursuant to 18 U.S.C. Section 1350, as adopted pursuant to Section 906 of the Sarbanes-Oxley Act of 2002, that:</w:t>
      </w:r>
    </w:p>
    <w:p>
      <w:pPr>
        <w:spacing w:after="0" w:line="122" w:lineRule="exact"/>
        <w:rPr>
          <w:sz w:val="20"/>
          <w:szCs w:val="20"/>
          <w:color w:val="auto"/>
        </w:rPr>
      </w:pPr>
    </w:p>
    <w:p>
      <w:pPr>
        <w:ind w:left="760" w:hanging="253"/>
        <w:spacing w:after="0"/>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71" w:lineRule="exact"/>
        <w:rPr>
          <w:rFonts w:ascii="Times New Roman" w:cs="Times New Roman" w:eastAsia="Times New Roman" w:hAnsi="Times New Roman"/>
          <w:sz w:val="18"/>
          <w:szCs w:val="18"/>
          <w:color w:val="auto"/>
        </w:rPr>
      </w:pPr>
    </w:p>
    <w:p>
      <w:pPr>
        <w:ind w:left="760" w:hanging="253"/>
        <w:spacing w:after="0"/>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5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Mimi E. Vaughn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304">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Mimi E. Vaughn</w:t>
      </w:r>
    </w:p>
    <w:p>
      <w:pPr>
        <w:spacing w:after="0" w:line="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March 26,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1021715</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3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9" w:name="page110"/>
    <w:bookmarkEnd w:id="109"/>
    <w:p>
      <w:pPr>
        <w:spacing w:after="0" w:line="19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53"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Genesco Inc. (the “Company”) on Form 10-K for the period ending February 1, 2025, as filed with the Securities and Exchange Commission on the date hereof (the “Report”), I, Cassandra E. Harris, Senior Vice President and Chief Financial Officer of the Company, certify, pursuant to 18 U.S.C. Section 1350, as adopted pursuant to Section 906 of the Sarbanes-Oxley Act of 2002, that:</w:t>
      </w:r>
    </w:p>
    <w:p>
      <w:pPr>
        <w:spacing w:after="0" w:line="122" w:lineRule="exact"/>
        <w:rPr>
          <w:sz w:val="20"/>
          <w:szCs w:val="20"/>
          <w:color w:val="auto"/>
        </w:rPr>
      </w:pPr>
    </w:p>
    <w:p>
      <w:pPr>
        <w:ind w:left="760" w:hanging="253"/>
        <w:spacing w:after="0"/>
        <w:tabs>
          <w:tab w:leader="none" w:pos="7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71" w:lineRule="exact"/>
        <w:rPr>
          <w:rFonts w:ascii="Times New Roman" w:cs="Times New Roman" w:eastAsia="Times New Roman" w:hAnsi="Times New Roman"/>
          <w:sz w:val="18"/>
          <w:szCs w:val="18"/>
          <w:color w:val="auto"/>
        </w:rPr>
      </w:pPr>
    </w:p>
    <w:p>
      <w:pPr>
        <w:ind w:left="760" w:hanging="253"/>
        <w:spacing w:after="0"/>
        <w:tabs>
          <w:tab w:leader="none" w:pos="7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5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Cassandra E. Harris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306">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Cassandra E. Harris</w:t>
      </w:r>
    </w:p>
    <w:p>
      <w:pPr>
        <w:spacing w:after="0" w:line="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March 26,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1021715</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3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0" w:name="page111"/>
    <w:bookmarkEnd w:id="11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8C895D"/>
    <w:multiLevelType w:val="hybridMultilevel"/>
    <w:lvl w:ilvl="0">
      <w:lvlJc w:val="left"/>
      <w:lvlText w:val="☒"/>
      <w:numFmt w:val="bullet"/>
      <w:start w:val="1"/>
    </w:lvl>
  </w:abstractNum>
  <w:abstractNum w:abstractNumId="1">
    <w:nsid w:val="333AB105"/>
    <w:multiLevelType w:val="hybridMultilevel"/>
    <w:lvl w:ilvl="0">
      <w:lvlJc w:val="left"/>
      <w:lvlText w:val="☐"/>
      <w:numFmt w:val="bullet"/>
      <w:start w:val="1"/>
    </w:lvl>
  </w:abstractNum>
  <w:abstractNum w:abstractNumId="2">
    <w:nsid w:val="721DA317"/>
    <w:multiLevelType w:val="hybridMultilevel"/>
    <w:lvl w:ilvl="0">
      <w:lvlJc w:val="left"/>
      <w:lvlText w:val="%1)"/>
      <w:numFmt w:val="decimal"/>
      <w:start w:val="4"/>
    </w:lvl>
  </w:abstractNum>
  <w:abstractNum w:abstractNumId="3">
    <w:nsid w:val="2443A858"/>
    <w:multiLevelType w:val="hybridMultilevel"/>
    <w:lvl w:ilvl="0">
      <w:lvlJc w:val="left"/>
      <w:lvlText w:val="•"/>
      <w:numFmt w:val="bullet"/>
      <w:start w:val="1"/>
    </w:lvl>
  </w:abstractNum>
  <w:abstractNum w:abstractNumId="4">
    <w:nsid w:val="2D1D5AE9"/>
    <w:multiLevelType w:val="hybridMultilevel"/>
    <w:lvl w:ilvl="0">
      <w:lvlJc w:val="left"/>
      <w:lvlText w:val="•"/>
      <w:numFmt w:val="bullet"/>
      <w:start w:val="1"/>
    </w:lvl>
  </w:abstractNum>
  <w:abstractNum w:abstractNumId="5">
    <w:nsid w:val="6763845E"/>
    <w:multiLevelType w:val="hybridMultilevel"/>
    <w:lvl w:ilvl="0">
      <w:lvlJc w:val="left"/>
      <w:lvlText w:val="•"/>
      <w:numFmt w:val="bullet"/>
      <w:start w:val="1"/>
    </w:lvl>
  </w:abstractNum>
  <w:abstractNum w:abstractNumId="6">
    <w:nsid w:val="75A2A8D4"/>
    <w:multiLevelType w:val="hybridMultilevel"/>
    <w:lvl w:ilvl="0">
      <w:lvlJc w:val="left"/>
      <w:lvlText w:val="•"/>
      <w:numFmt w:val="bullet"/>
      <w:start w:val="1"/>
    </w:lvl>
  </w:abstractNum>
  <w:abstractNum w:abstractNumId="7">
    <w:nsid w:val="8EDBDAB"/>
    <w:multiLevelType w:val="hybridMultilevel"/>
    <w:lvl w:ilvl="0">
      <w:lvlJc w:val="left"/>
      <w:lvlText w:val="•"/>
      <w:numFmt w:val="bullet"/>
      <w:start w:val="1"/>
    </w:lvl>
  </w:abstractNum>
  <w:abstractNum w:abstractNumId="8">
    <w:nsid w:val="79838CB2"/>
    <w:multiLevelType w:val="hybridMultilevel"/>
    <w:lvl w:ilvl="0">
      <w:lvlJc w:val="left"/>
      <w:lvlText w:val="•"/>
      <w:numFmt w:val="bullet"/>
      <w:start w:val="1"/>
    </w:lvl>
  </w:abstractNum>
  <w:abstractNum w:abstractNumId="9">
    <w:nsid w:val="4353D0CD"/>
    <w:multiLevelType w:val="hybridMultilevel"/>
    <w:lvl w:ilvl="0">
      <w:lvlJc w:val="left"/>
      <w:lvlText w:val="•"/>
      <w:numFmt w:val="bullet"/>
      <w:start w:val="1"/>
    </w:lvl>
  </w:abstractNum>
  <w:abstractNum w:abstractNumId="10">
    <w:nsid w:val="B03E0C6"/>
    <w:multiLevelType w:val="hybridMultilevel"/>
    <w:lvl w:ilvl="0">
      <w:lvlJc w:val="left"/>
      <w:lvlText w:val="•"/>
      <w:numFmt w:val="bullet"/>
      <w:start w:val="1"/>
    </w:lvl>
    <w:lvl w:ilvl="1">
      <w:lvlJc w:val="left"/>
      <w:lvlText w:val="•"/>
      <w:numFmt w:val="bullet"/>
      <w:start w:val="1"/>
    </w:lvl>
  </w:abstractNum>
  <w:abstractNum w:abstractNumId="11">
    <w:nsid w:val="189A769B"/>
    <w:multiLevelType w:val="hybridMultilevel"/>
    <w:lvl w:ilvl="0">
      <w:lvlJc w:val="left"/>
      <w:lvlText w:val="•"/>
      <w:numFmt w:val="bullet"/>
      <w:start w:val="1"/>
    </w:lvl>
  </w:abstractNum>
  <w:abstractNum w:abstractNumId="12">
    <w:nsid w:val="54E49EB4"/>
    <w:multiLevelType w:val="hybridMultilevel"/>
    <w:lvl w:ilvl="0">
      <w:lvlJc w:val="left"/>
      <w:lvlText w:val="(%1)"/>
      <w:numFmt w:val="decimal"/>
      <w:start w:val="1"/>
    </w:lvl>
  </w:abstractNum>
  <w:abstractNum w:abstractNumId="13">
    <w:nsid w:val="71F32454"/>
    <w:multiLevelType w:val="hybridMultilevel"/>
    <w:lvl w:ilvl="0">
      <w:lvlJc w:val="left"/>
      <w:lvlText w:val="•"/>
      <w:numFmt w:val="bullet"/>
      <w:start w:val="1"/>
    </w:lvl>
  </w:abstractNum>
  <w:abstractNum w:abstractNumId="14">
    <w:nsid w:val="2CA88611"/>
    <w:multiLevelType w:val="hybridMultilevel"/>
    <w:lvl w:ilvl="0">
      <w:lvlJc w:val="left"/>
      <w:lvlText w:val="•"/>
      <w:numFmt w:val="bullet"/>
      <w:start w:val="1"/>
    </w:lvl>
  </w:abstractNum>
  <w:abstractNum w:abstractNumId="15">
    <w:nsid w:val="836C40E"/>
    <w:multiLevelType w:val="hybridMultilevel"/>
    <w:lvl w:ilvl="0">
      <w:lvlJc w:val="left"/>
      <w:lvlText w:val="(%1)"/>
      <w:numFmt w:val="decimal"/>
      <w:start w:val="1"/>
    </w:lvl>
  </w:abstractNum>
  <w:abstractNum w:abstractNumId="16">
    <w:nsid w:val="2901D82"/>
    <w:multiLevelType w:val="hybridMultilevel"/>
    <w:lvl w:ilvl="0">
      <w:lvlJc w:val="left"/>
      <w:lvlText w:val="(%1)"/>
      <w:numFmt w:val="decimal"/>
      <w:start w:val="1"/>
    </w:lvl>
  </w:abstractNum>
  <w:abstractNum w:abstractNumId="17">
    <w:nsid w:val="3A95F874"/>
    <w:multiLevelType w:val="hybridMultilevel"/>
    <w:lvl w:ilvl="0">
      <w:lvlJc w:val="left"/>
      <w:lvlText w:val="(%1)"/>
      <w:numFmt w:val="decimal"/>
      <w:start w:val="1"/>
    </w:lvl>
  </w:abstractNum>
  <w:abstractNum w:abstractNumId="18">
    <w:nsid w:val="8138641"/>
    <w:multiLevelType w:val="hybridMultilevel"/>
    <w:lvl w:ilvl="0">
      <w:lvlJc w:val="left"/>
      <w:lvlText w:val="(%1)"/>
      <w:numFmt w:val="decimal"/>
      <w:start w:val="1"/>
    </w:lvl>
  </w:abstractNum>
  <w:abstractNum w:abstractNumId="19">
    <w:nsid w:val="1E7FF521"/>
    <w:multiLevelType w:val="hybridMultilevel"/>
    <w:lvl w:ilvl="0">
      <w:lvlJc w:val="left"/>
      <w:lvlText w:val="(%1)"/>
      <w:numFmt w:val="decimal"/>
      <w:start w:val="1"/>
    </w:lvl>
  </w:abstractNum>
  <w:abstractNum w:abstractNumId="20">
    <w:nsid w:val="7C3DBD3D"/>
    <w:multiLevelType w:val="hybridMultilevel"/>
    <w:lvl w:ilvl="0">
      <w:lvlJc w:val="left"/>
      <w:lvlText w:val="(%1)"/>
      <w:numFmt w:val="decimal"/>
      <w:start w:val="1"/>
    </w:lvl>
  </w:abstractNum>
  <w:abstractNum w:abstractNumId="21">
    <w:nsid w:val="737B8DDC"/>
    <w:multiLevelType w:val="hybridMultilevel"/>
    <w:lvl w:ilvl="0">
      <w:lvlJc w:val="left"/>
      <w:lvlText w:val="(%1)"/>
      <w:numFmt w:val="decimal"/>
      <w:start w:val="2"/>
    </w:lvl>
    <w:lvl w:ilvl="1">
      <w:lvlJc w:val="left"/>
      <w:lvlText w:val="%2."/>
      <w:numFmt w:val="lowerLetter"/>
      <w:start w:val="2"/>
    </w:lvl>
  </w:abstractNum>
  <w:abstractNum w:abstractNumId="22">
    <w:nsid w:val="6CEAF087"/>
    <w:multiLevelType w:val="hybridMultilevel"/>
    <w:lvl w:ilvl="0">
      <w:lvlJc w:val="left"/>
      <w:lvlText w:val="(%1)"/>
      <w:numFmt w:val="decimal"/>
      <w:start w:val="10"/>
    </w:lvl>
    <w:lvl w:ilvl="1">
      <w:lvlJc w:val="left"/>
      <w:lvlText w:val="%2."/>
      <w:numFmt w:val="lowerLetter"/>
      <w:start w:val="2"/>
    </w:lvl>
  </w:abstractNum>
  <w:abstractNum w:abstractNumId="23">
    <w:nsid w:val="22221A70"/>
    <w:multiLevelType w:val="hybridMultilevel"/>
    <w:lvl w:ilvl="0">
      <w:lvlJc w:val="left"/>
      <w:lvlText w:val="%1."/>
      <w:numFmt w:val="lowerLetter"/>
      <w:start w:val="19"/>
    </w:lvl>
  </w:abstractNum>
  <w:abstractNum w:abstractNumId="24">
    <w:nsid w:val="4516DDE9"/>
    <w:multiLevelType w:val="hybridMultilevel"/>
    <w:lvl w:ilvl="0">
      <w:lvlJc w:val="left"/>
      <w:lvlText w:val="%1."/>
      <w:numFmt w:val="lowerLetter"/>
      <w:start w:val="27"/>
    </w:lvl>
  </w:abstractNum>
  <w:abstractNum w:abstractNumId="25">
    <w:nsid w:val="3006C83E"/>
    <w:multiLevelType w:val="hybridMultilevel"/>
    <w:lvl w:ilvl="0">
      <w:lvlJc w:val="left"/>
      <w:lvlText w:val="%1."/>
      <w:numFmt w:val="lowerLetter"/>
      <w:start w:val="40"/>
    </w:lvl>
  </w:abstractNum>
  <w:abstractNum w:abstractNumId="26">
    <w:nsid w:val="614FD4A1"/>
    <w:multiLevelType w:val="hybridMultilevel"/>
    <w:lvl w:ilvl="0">
      <w:lvlJc w:val="left"/>
      <w:lvlText w:val="(%1)"/>
      <w:numFmt w:val="decimal"/>
      <w:start w:val="1"/>
    </w:lvl>
  </w:abstractNum>
  <w:abstractNum w:abstractNumId="27">
    <w:nsid w:val="419AC241"/>
    <w:multiLevelType w:val="hybridMultilevel"/>
    <w:lvl w:ilvl="0">
      <w:lvlJc w:val="left"/>
      <w:lvlText w:val="(%1)"/>
      <w:numFmt w:val="decimal"/>
      <w:start w:val="1"/>
    </w:lvl>
  </w:abstractNum>
  <w:abstractNum w:abstractNumId="28">
    <w:nsid w:val="5577F8E1"/>
    <w:multiLevelType w:val="hybridMultilevel"/>
    <w:lvl w:ilvl="0">
      <w:lvlJc w:val="left"/>
      <w:lvlText w:val="%1."/>
      <w:numFmt w:val="decimal"/>
      <w:start w:val="1"/>
    </w:lvl>
  </w:abstractNum>
  <w:abstractNum w:abstractNumId="29">
    <w:nsid w:val="440BADFC"/>
    <w:multiLevelType w:val="hybridMultilevel"/>
    <w:lvl w:ilvl="0">
      <w:lvlJc w:val="left"/>
      <w:lvlText w:val="·"/>
      <w:numFmt w:val="bullet"/>
      <w:start w:val="1"/>
    </w:lvl>
  </w:abstractNum>
  <w:abstractNum w:abstractNumId="30">
    <w:nsid w:val="5072367"/>
    <w:multiLevelType w:val="hybridMultilevel"/>
    <w:lvl w:ilvl="0">
      <w:lvlJc w:val="left"/>
      <w:lvlText w:val="·"/>
      <w:numFmt w:val="bullet"/>
      <w:start w:val="1"/>
    </w:lvl>
  </w:abstractNum>
  <w:abstractNum w:abstractNumId="31">
    <w:nsid w:val="3804823E"/>
    <w:multiLevelType w:val="hybridMultilevel"/>
    <w:lvl w:ilvl="0">
      <w:lvlJc w:val="left"/>
      <w:lvlText w:val="·"/>
      <w:numFmt w:val="bullet"/>
      <w:start w:val="1"/>
    </w:lvl>
  </w:abstractNum>
  <w:abstractNum w:abstractNumId="32">
    <w:nsid w:val="77465F01"/>
    <w:multiLevelType w:val="hybridMultilevel"/>
    <w:lvl w:ilvl="0">
      <w:lvlJc w:val="left"/>
      <w:lvlText w:val="·"/>
      <w:numFmt w:val="bullet"/>
      <w:start w:val="1"/>
    </w:lvl>
  </w:abstractNum>
  <w:abstractNum w:abstractNumId="33">
    <w:nsid w:val="7724C67E"/>
    <w:multiLevelType w:val="hybridMultilevel"/>
    <w:lvl w:ilvl="0">
      <w:lvlJc w:val="left"/>
      <w:lvlText w:val="·"/>
      <w:numFmt w:val="bullet"/>
      <w:start w:val="1"/>
    </w:lvl>
  </w:abstractNum>
  <w:abstractNum w:abstractNumId="34">
    <w:nsid w:val="5C482A97"/>
    <w:multiLevelType w:val="hybridMultilevel"/>
    <w:lvl w:ilvl="0">
      <w:lvlJc w:val="left"/>
      <w:lvlText w:val="%1."/>
      <w:numFmt w:val="decimal"/>
      <w:start w:val="1"/>
    </w:lvl>
    <w:lvl w:ilvl="1">
      <w:lvlJc w:val="left"/>
      <w:lvlText w:val="%2."/>
      <w:numFmt w:val="lowerLetter"/>
      <w:start w:val="1"/>
    </w:lvl>
  </w:abstractNum>
  <w:abstractNum w:abstractNumId="35">
    <w:nsid w:val="2463B9EA"/>
    <w:multiLevelType w:val="hybridMultilevel"/>
    <w:lvl w:ilvl="0">
      <w:lvlJc w:val="left"/>
      <w:lvlText w:val="%1"/>
      <w:numFmt w:val="decimal"/>
      <w:start w:val="1"/>
    </w:lvl>
    <w:lvl w:ilvl="1">
      <w:lvlJc w:val="left"/>
      <w:lvlText w:val="%2."/>
      <w:numFmt w:val="lowerLetter"/>
      <w:start w:val="2"/>
    </w:lvl>
  </w:abstractNum>
  <w:abstractNum w:abstractNumId="36">
    <w:nsid w:val="5E884ADC"/>
    <w:multiLevelType w:val="hybridMultilevel"/>
    <w:lvl w:ilvl="0">
      <w:lvlJc w:val="left"/>
      <w:lvlText w:val="%1."/>
      <w:numFmt w:val="decimal"/>
      <w:start w:val="5"/>
    </w:lvl>
    <w:lvl w:ilvl="1">
      <w:lvlJc w:val="left"/>
      <w:lvlText w:val="%2."/>
      <w:numFmt w:val="lowerLetter"/>
      <w:start w:val="1"/>
    </w:lvl>
  </w:abstractNum>
  <w:abstractNum w:abstractNumId="37">
    <w:nsid w:val="51EAD36B"/>
    <w:multiLevelType w:val="hybridMultilevel"/>
    <w:lvl w:ilvl="0">
      <w:lvlJc w:val="left"/>
      <w:lvlText w:val="%1."/>
      <w:numFmt w:val="decimal"/>
      <w:start w:val="1"/>
    </w:lvl>
    <w:lvl w:ilvl="1">
      <w:lvlJc w:val="left"/>
      <w:lvlText w:val="%2)"/>
      <w:numFmt w:val="lowerLetter"/>
      <w:start w:val="1"/>
    </w:lvl>
  </w:abstractNum>
  <w:abstractNum w:abstractNumId="38">
    <w:nsid w:val="2D517796"/>
    <w:multiLevelType w:val="hybridMultilevel"/>
    <w:lvl w:ilvl="0">
      <w:lvlJc w:val="left"/>
      <w:lvlText w:val="%1."/>
      <w:numFmt w:val="decimal"/>
      <w:start w:val="1"/>
    </w:lvl>
    <w:lvl w:ilvl="1">
      <w:lvlJc w:val="left"/>
      <w:lvlText w:val="%2)"/>
      <w:numFmt w:val="lowerLetter"/>
      <w:start w:val="1"/>
    </w:lvl>
  </w:abstractNum>
  <w:abstractNum w:abstractNumId="39">
    <w:nsid w:val="580BD78F"/>
    <w:multiLevelType w:val="hybridMultilevel"/>
    <w:lvl w:ilvl="0">
      <w:lvlJc w:val="left"/>
      <w:lvlText w:val="(%1)"/>
      <w:numFmt w:val="decimal"/>
      <w:start w:val="1"/>
    </w:lvl>
  </w:abstractNum>
  <w:abstractNum w:abstractNumId="40">
    <w:nsid w:val="153EA43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9" Type="http://schemas.openxmlformats.org/officeDocument/2006/relationships/image" Target="media/image105.png"/><Relationship Id="rId120" Type="http://schemas.openxmlformats.org/officeDocument/2006/relationships/image" Target="media/image106.png"/><Relationship Id="rId121" Type="http://schemas.openxmlformats.org/officeDocument/2006/relationships/image" Target="media/image107.png"/><Relationship Id="rId122" Type="http://schemas.openxmlformats.org/officeDocument/2006/relationships/image" Target="media/image108.png"/><Relationship Id="rId123" Type="http://schemas.openxmlformats.org/officeDocument/2006/relationships/image" Target="media/image109.png"/><Relationship Id="rId124" Type="http://schemas.openxmlformats.org/officeDocument/2006/relationships/image" Target="media/image110.png"/><Relationship Id="rId125" Type="http://schemas.openxmlformats.org/officeDocument/2006/relationships/image" Target="media/image111.png"/><Relationship Id="rId126" Type="http://schemas.openxmlformats.org/officeDocument/2006/relationships/image" Target="media/image112.png"/><Relationship Id="rId127" Type="http://schemas.openxmlformats.org/officeDocument/2006/relationships/image" Target="media/image113.png"/><Relationship Id="rId128" Type="http://schemas.openxmlformats.org/officeDocument/2006/relationships/image" Target="media/image114.png"/><Relationship Id="rId129" Type="http://schemas.openxmlformats.org/officeDocument/2006/relationships/image" Target="media/image115.png"/><Relationship Id="rId130" Type="http://schemas.openxmlformats.org/officeDocument/2006/relationships/image" Target="media/image116.png"/><Relationship Id="rId131" Type="http://schemas.openxmlformats.org/officeDocument/2006/relationships/image" Target="media/image117.png"/><Relationship Id="rId132" Type="http://schemas.openxmlformats.org/officeDocument/2006/relationships/image" Target="media/image118.png"/><Relationship Id="rId133" Type="http://schemas.openxmlformats.org/officeDocument/2006/relationships/image" Target="media/image119.png"/><Relationship Id="rId134" Type="http://schemas.openxmlformats.org/officeDocument/2006/relationships/image" Target="media/image120.png"/><Relationship Id="rId135" Type="http://schemas.openxmlformats.org/officeDocument/2006/relationships/image" Target="media/image121.png"/><Relationship Id="rId136" Type="http://schemas.openxmlformats.org/officeDocument/2006/relationships/image" Target="media/image122.png"/><Relationship Id="rId137" Type="http://schemas.openxmlformats.org/officeDocument/2006/relationships/image" Target="media/image123.png"/><Relationship Id="rId138" Type="http://schemas.openxmlformats.org/officeDocument/2006/relationships/image" Target="media/image124.png"/><Relationship Id="rId157" Type="http://schemas.openxmlformats.org/officeDocument/2006/relationships/image" Target="media/image125.png"/><Relationship Id="rId158" Type="http://schemas.openxmlformats.org/officeDocument/2006/relationships/image" Target="media/image126.png"/><Relationship Id="rId159" Type="http://schemas.openxmlformats.org/officeDocument/2006/relationships/image" Target="media/image127.png"/><Relationship Id="rId160" Type="http://schemas.openxmlformats.org/officeDocument/2006/relationships/image" Target="media/image128.png"/><Relationship Id="rId161" Type="http://schemas.openxmlformats.org/officeDocument/2006/relationships/image" Target="media/image129.png"/><Relationship Id="rId162" Type="http://schemas.openxmlformats.org/officeDocument/2006/relationships/image" Target="media/image130.png"/><Relationship Id="rId163" Type="http://schemas.openxmlformats.org/officeDocument/2006/relationships/image" Target="media/image131.png"/><Relationship Id="rId164" Type="http://schemas.openxmlformats.org/officeDocument/2006/relationships/image" Target="media/image132.png"/><Relationship Id="rId165" Type="http://schemas.openxmlformats.org/officeDocument/2006/relationships/image" Target="media/image133.png"/><Relationship Id="rId166" Type="http://schemas.openxmlformats.org/officeDocument/2006/relationships/image" Target="media/image134.png"/><Relationship Id="rId167" Type="http://schemas.openxmlformats.org/officeDocument/2006/relationships/image" Target="media/image135.png"/><Relationship Id="rId168" Type="http://schemas.openxmlformats.org/officeDocument/2006/relationships/image" Target="media/image136.png"/><Relationship Id="rId169" Type="http://schemas.openxmlformats.org/officeDocument/2006/relationships/image" Target="media/image137.png"/><Relationship Id="rId170" Type="http://schemas.openxmlformats.org/officeDocument/2006/relationships/image" Target="media/image138.png"/><Relationship Id="rId171" Type="http://schemas.openxmlformats.org/officeDocument/2006/relationships/image" Target="media/image139.png"/><Relationship Id="rId172" Type="http://schemas.openxmlformats.org/officeDocument/2006/relationships/image" Target="media/image140.png"/><Relationship Id="rId173" Type="http://schemas.openxmlformats.org/officeDocument/2006/relationships/image" Target="media/image141.png"/><Relationship Id="rId174" Type="http://schemas.openxmlformats.org/officeDocument/2006/relationships/image" Target="media/image142.png"/><Relationship Id="rId175" Type="http://schemas.openxmlformats.org/officeDocument/2006/relationships/image" Target="media/image143.png"/><Relationship Id="rId176" Type="http://schemas.openxmlformats.org/officeDocument/2006/relationships/image" Target="media/image144.png"/><Relationship Id="rId177" Type="http://schemas.openxmlformats.org/officeDocument/2006/relationships/image" Target="media/image145.png"/><Relationship Id="rId178" Type="http://schemas.openxmlformats.org/officeDocument/2006/relationships/image" Target="media/image146.png"/><Relationship Id="rId179" Type="http://schemas.openxmlformats.org/officeDocument/2006/relationships/image" Target="media/image147.png"/><Relationship Id="rId180" Type="http://schemas.openxmlformats.org/officeDocument/2006/relationships/image" Target="media/image148.png"/><Relationship Id="rId181" Type="http://schemas.openxmlformats.org/officeDocument/2006/relationships/image" Target="media/image149.png"/><Relationship Id="rId182" Type="http://schemas.openxmlformats.org/officeDocument/2006/relationships/image" Target="media/image150.png"/><Relationship Id="rId183" Type="http://schemas.openxmlformats.org/officeDocument/2006/relationships/image" Target="media/image151.png"/><Relationship Id="rId184" Type="http://schemas.openxmlformats.org/officeDocument/2006/relationships/image" Target="media/image152.png"/><Relationship Id="rId185" Type="http://schemas.openxmlformats.org/officeDocument/2006/relationships/image" Target="media/image153.png"/><Relationship Id="rId186" Type="http://schemas.openxmlformats.org/officeDocument/2006/relationships/image" Target="media/image154.png"/><Relationship Id="rId187" Type="http://schemas.openxmlformats.org/officeDocument/2006/relationships/image" Target="media/image155.png"/><Relationship Id="rId188" Type="http://schemas.openxmlformats.org/officeDocument/2006/relationships/image" Target="media/image156.png"/><Relationship Id="rId189" Type="http://schemas.openxmlformats.org/officeDocument/2006/relationships/image" Target="media/image157.png"/><Relationship Id="rId190" Type="http://schemas.openxmlformats.org/officeDocument/2006/relationships/image" Target="media/image158.png"/><Relationship Id="rId191" Type="http://schemas.openxmlformats.org/officeDocument/2006/relationships/image" Target="media/image159.png"/><Relationship Id="rId192" Type="http://schemas.openxmlformats.org/officeDocument/2006/relationships/image" Target="media/image160.png"/><Relationship Id="rId193" Type="http://schemas.openxmlformats.org/officeDocument/2006/relationships/image" Target="media/image161.png"/><Relationship Id="rId194" Type="http://schemas.openxmlformats.org/officeDocument/2006/relationships/image" Target="media/image162.png"/><Relationship Id="rId195" Type="http://schemas.openxmlformats.org/officeDocument/2006/relationships/image" Target="media/image163.png"/><Relationship Id="rId196" Type="http://schemas.openxmlformats.org/officeDocument/2006/relationships/image" Target="media/image164.png"/><Relationship Id="rId197" Type="http://schemas.openxmlformats.org/officeDocument/2006/relationships/image" Target="media/image165.png"/><Relationship Id="rId198" Type="http://schemas.openxmlformats.org/officeDocument/2006/relationships/image" Target="media/image166.png"/><Relationship Id="rId199" Type="http://schemas.openxmlformats.org/officeDocument/2006/relationships/image" Target="media/image167.png"/><Relationship Id="rId200" Type="http://schemas.openxmlformats.org/officeDocument/2006/relationships/image" Target="media/image168.png"/><Relationship Id="rId201" Type="http://schemas.openxmlformats.org/officeDocument/2006/relationships/image" Target="media/image169.png"/><Relationship Id="rId202" Type="http://schemas.openxmlformats.org/officeDocument/2006/relationships/image" Target="media/image170.png"/><Relationship Id="rId203" Type="http://schemas.openxmlformats.org/officeDocument/2006/relationships/image" Target="media/image171.png"/><Relationship Id="rId210" Type="http://schemas.openxmlformats.org/officeDocument/2006/relationships/image" Target="media/image172.png"/><Relationship Id="rId211" Type="http://schemas.openxmlformats.org/officeDocument/2006/relationships/image" Target="media/image173.png"/><Relationship Id="rId212" Type="http://schemas.openxmlformats.org/officeDocument/2006/relationships/image" Target="media/image174.png"/><Relationship Id="rId213" Type="http://schemas.openxmlformats.org/officeDocument/2006/relationships/image" Target="media/image175.png"/><Relationship Id="rId214" Type="http://schemas.openxmlformats.org/officeDocument/2006/relationships/image" Target="media/image176.png"/><Relationship Id="rId215" Type="http://schemas.openxmlformats.org/officeDocument/2006/relationships/image" Target="media/image177.png"/><Relationship Id="rId216" Type="http://schemas.openxmlformats.org/officeDocument/2006/relationships/image" Target="media/image178.png"/><Relationship Id="rId217" Type="http://schemas.openxmlformats.org/officeDocument/2006/relationships/image" Target="media/image179.png"/><Relationship Id="rId218" Type="http://schemas.openxmlformats.org/officeDocument/2006/relationships/image" Target="media/image180.png"/><Relationship Id="rId219" Type="http://schemas.openxmlformats.org/officeDocument/2006/relationships/image" Target="media/image181.png"/><Relationship Id="rId220" Type="http://schemas.openxmlformats.org/officeDocument/2006/relationships/image" Target="media/image182.png"/><Relationship Id="rId221" Type="http://schemas.openxmlformats.org/officeDocument/2006/relationships/image" Target="media/image183.png"/><Relationship Id="rId222" Type="http://schemas.openxmlformats.org/officeDocument/2006/relationships/image" Target="media/image184.png"/><Relationship Id="rId223" Type="http://schemas.openxmlformats.org/officeDocument/2006/relationships/image" Target="media/image185.png"/><Relationship Id="rId224" Type="http://schemas.openxmlformats.org/officeDocument/2006/relationships/image" Target="media/image186.png"/><Relationship Id="rId236" Type="http://schemas.openxmlformats.org/officeDocument/2006/relationships/image" Target="media/image187.png"/><Relationship Id="rId237" Type="http://schemas.openxmlformats.org/officeDocument/2006/relationships/image" Target="media/image188.png"/><Relationship Id="rId238" Type="http://schemas.openxmlformats.org/officeDocument/2006/relationships/image" Target="media/image189.png"/><Relationship Id="rId239" Type="http://schemas.openxmlformats.org/officeDocument/2006/relationships/image" Target="media/image190.png"/><Relationship Id="rId240" Type="http://schemas.openxmlformats.org/officeDocument/2006/relationships/image" Target="media/image191.png"/><Relationship Id="rId241" Type="http://schemas.openxmlformats.org/officeDocument/2006/relationships/image" Target="media/image192.png"/><Relationship Id="rId242" Type="http://schemas.openxmlformats.org/officeDocument/2006/relationships/image" Target="media/image193.png"/><Relationship Id="rId243" Type="http://schemas.openxmlformats.org/officeDocument/2006/relationships/image" Target="media/image194.png"/><Relationship Id="rId244" Type="http://schemas.openxmlformats.org/officeDocument/2006/relationships/image" Target="media/image195.png"/><Relationship Id="rId245" Type="http://schemas.openxmlformats.org/officeDocument/2006/relationships/image" Target="media/image196.png"/><Relationship Id="rId246" Type="http://schemas.openxmlformats.org/officeDocument/2006/relationships/image" Target="media/image197.png"/><Relationship Id="rId247" Type="http://schemas.openxmlformats.org/officeDocument/2006/relationships/image" Target="media/image198.png"/><Relationship Id="rId248" Type="http://schemas.openxmlformats.org/officeDocument/2006/relationships/image" Target="media/image199.png"/><Relationship Id="rId249" Type="http://schemas.openxmlformats.org/officeDocument/2006/relationships/image" Target="media/image200.png"/><Relationship Id="rId250" Type="http://schemas.openxmlformats.org/officeDocument/2006/relationships/image" Target="media/image201.png"/><Relationship Id="rId251" Type="http://schemas.openxmlformats.org/officeDocument/2006/relationships/image" Target="media/image202.png"/><Relationship Id="rId252" Type="http://schemas.openxmlformats.org/officeDocument/2006/relationships/image" Target="media/image203.png"/><Relationship Id="rId253" Type="http://schemas.openxmlformats.org/officeDocument/2006/relationships/image" Target="media/image204.png"/><Relationship Id="rId254" Type="http://schemas.openxmlformats.org/officeDocument/2006/relationships/image" Target="media/image205.png"/><Relationship Id="rId255" Type="http://schemas.openxmlformats.org/officeDocument/2006/relationships/image" Target="media/image206.png"/><Relationship Id="rId256" Type="http://schemas.openxmlformats.org/officeDocument/2006/relationships/image" Target="media/image207.png"/><Relationship Id="rId257" Type="http://schemas.openxmlformats.org/officeDocument/2006/relationships/image" Target="media/image208.png"/><Relationship Id="rId258" Type="http://schemas.openxmlformats.org/officeDocument/2006/relationships/image" Target="media/image209.png"/><Relationship Id="rId259" Type="http://schemas.openxmlformats.org/officeDocument/2006/relationships/image" Target="media/image210.png"/><Relationship Id="rId260" Type="http://schemas.openxmlformats.org/officeDocument/2006/relationships/image" Target="media/image211.png"/><Relationship Id="rId261" Type="http://schemas.openxmlformats.org/officeDocument/2006/relationships/image" Target="media/image212.png"/><Relationship Id="rId262" Type="http://schemas.openxmlformats.org/officeDocument/2006/relationships/image" Target="media/image213.png"/><Relationship Id="rId263" Type="http://schemas.openxmlformats.org/officeDocument/2006/relationships/image" Target="media/image214.png"/><Relationship Id="rId264" Type="http://schemas.openxmlformats.org/officeDocument/2006/relationships/image" Target="media/image215.png"/><Relationship Id="rId265" Type="http://schemas.openxmlformats.org/officeDocument/2006/relationships/image" Target="media/image216.png"/><Relationship Id="rId266" Type="http://schemas.openxmlformats.org/officeDocument/2006/relationships/image" Target="media/image217.png"/><Relationship Id="rId267" Type="http://schemas.openxmlformats.org/officeDocument/2006/relationships/image" Target="media/image218.png"/><Relationship Id="rId268" Type="http://schemas.openxmlformats.org/officeDocument/2006/relationships/image" Target="media/image219.png"/><Relationship Id="rId269" Type="http://schemas.openxmlformats.org/officeDocument/2006/relationships/image" Target="media/image220.png"/><Relationship Id="rId270" Type="http://schemas.openxmlformats.org/officeDocument/2006/relationships/image" Target="media/image221.png"/><Relationship Id="rId271" Type="http://schemas.openxmlformats.org/officeDocument/2006/relationships/image" Target="media/image222.png"/><Relationship Id="rId272" Type="http://schemas.openxmlformats.org/officeDocument/2006/relationships/image" Target="media/image223.png"/><Relationship Id="rId273" Type="http://schemas.openxmlformats.org/officeDocument/2006/relationships/image" Target="media/image224.png"/><Relationship Id="rId275" Type="http://schemas.openxmlformats.org/officeDocument/2006/relationships/image" Target="media/image225.png"/><Relationship Id="rId276" Type="http://schemas.openxmlformats.org/officeDocument/2006/relationships/image" Target="media/image226.png"/><Relationship Id="rId277" Type="http://schemas.openxmlformats.org/officeDocument/2006/relationships/image" Target="media/image227.png"/><Relationship Id="rId278" Type="http://schemas.openxmlformats.org/officeDocument/2006/relationships/image" Target="media/image228.png"/><Relationship Id="rId279" Type="http://schemas.openxmlformats.org/officeDocument/2006/relationships/image" Target="media/image229.png"/><Relationship Id="rId280" Type="http://schemas.openxmlformats.org/officeDocument/2006/relationships/image" Target="media/image230.png"/><Relationship Id="rId281" Type="http://schemas.openxmlformats.org/officeDocument/2006/relationships/image" Target="media/image231.png"/><Relationship Id="rId282" Type="http://schemas.openxmlformats.org/officeDocument/2006/relationships/image" Target="media/image232.png"/><Relationship Id="rId283" Type="http://schemas.openxmlformats.org/officeDocument/2006/relationships/image" Target="media/image233.png"/><Relationship Id="rId284" Type="http://schemas.openxmlformats.org/officeDocument/2006/relationships/image" Target="media/image234.jpeg"/><Relationship Id="rId285" Type="http://schemas.openxmlformats.org/officeDocument/2006/relationships/image" Target="media/image235.png"/><Relationship Id="rId286" Type="http://schemas.openxmlformats.org/officeDocument/2006/relationships/image" Target="media/image236.png"/><Relationship Id="rId287" Type="http://schemas.openxmlformats.org/officeDocument/2006/relationships/image" Target="media/image237.png"/><Relationship Id="rId288" Type="http://schemas.openxmlformats.org/officeDocument/2006/relationships/image" Target="media/image238.png"/><Relationship Id="rId289" Type="http://schemas.openxmlformats.org/officeDocument/2006/relationships/image" Target="media/image239.png"/><Relationship Id="rId290" Type="http://schemas.openxmlformats.org/officeDocument/2006/relationships/image" Target="media/image240.png"/><Relationship Id="rId291" Type="http://schemas.openxmlformats.org/officeDocument/2006/relationships/image" Target="media/image241.png"/><Relationship Id="rId292" Type="http://schemas.openxmlformats.org/officeDocument/2006/relationships/image" Target="media/image242.png"/><Relationship Id="rId293" Type="http://schemas.openxmlformats.org/officeDocument/2006/relationships/image" Target="media/image243.png"/><Relationship Id="rId294" Type="http://schemas.openxmlformats.org/officeDocument/2006/relationships/image" Target="media/image244.png"/><Relationship Id="rId295" Type="http://schemas.openxmlformats.org/officeDocument/2006/relationships/image" Target="media/image245.png"/><Relationship Id="rId296" Type="http://schemas.openxmlformats.org/officeDocument/2006/relationships/image" Target="media/image246.png"/><Relationship Id="rId297" Type="http://schemas.openxmlformats.org/officeDocument/2006/relationships/image" Target="media/image247.png"/><Relationship Id="rId298" Type="http://schemas.openxmlformats.org/officeDocument/2006/relationships/image" Target="media/image248.png"/><Relationship Id="rId299" Type="http://schemas.openxmlformats.org/officeDocument/2006/relationships/image" Target="media/image249.png"/><Relationship Id="rId300" Type="http://schemas.openxmlformats.org/officeDocument/2006/relationships/image" Target="media/image250.png"/><Relationship Id="rId301" Type="http://schemas.openxmlformats.org/officeDocument/2006/relationships/image" Target="media/image251.png"/><Relationship Id="rId302" Type="http://schemas.openxmlformats.org/officeDocument/2006/relationships/image" Target="media/image252.png"/><Relationship Id="rId303" Type="http://schemas.openxmlformats.org/officeDocument/2006/relationships/image" Target="media/image253.png"/><Relationship Id="rId304" Type="http://schemas.openxmlformats.org/officeDocument/2006/relationships/image" Target="media/image254.png"/><Relationship Id="rId305" Type="http://schemas.openxmlformats.org/officeDocument/2006/relationships/image" Target="media/image255.png"/><Relationship Id="rId306" Type="http://schemas.openxmlformats.org/officeDocument/2006/relationships/image" Target="media/image256.png"/><Relationship Id="rId307" Type="http://schemas.openxmlformats.org/officeDocument/2006/relationships/image" Target="media/image257.png"/><Relationship Id="rId112" Type="http://schemas.openxmlformats.org/officeDocument/2006/relationships/hyperlink" Target="https://www.sec.gov/Archives/edgar/data/18498/000001849818000050/ex21121418lids.htm" TargetMode="External"/><Relationship Id="rId113" Type="http://schemas.openxmlformats.org/officeDocument/2006/relationships/hyperlink" Target="https://www.sec.gov/Archives/edgar/data/18498/000001849819000058/ex21togast.htm" TargetMode="External"/><Relationship Id="rId114" Type="http://schemas.openxmlformats.org/officeDocument/2006/relationships/hyperlink" Target="https://www.sec.gov/Archives/edgar/data/18498/000156459021016951/gco-ex2c_202.htm" TargetMode="External"/><Relationship Id="rId115" Type="http://schemas.openxmlformats.org/officeDocument/2006/relationships/hyperlink" Target="https://www.sec.gov/Archives/edgar/data/18498/000095017022020877/gco-ex3_1.htm" TargetMode="External"/><Relationship Id="rId116" Type="http://schemas.openxmlformats.org/officeDocument/2006/relationships/hyperlink" Target="https://www.sec.gov/Archives/edgar/data/18498/000095017022026199/gco-ex3_3.htm" TargetMode="External"/><Relationship Id="rId117" Type="http://schemas.openxmlformats.org/officeDocument/2006/relationships/hyperlink" Target="https://www.sec.gov/Archives/edgar/data/18498/000095014403005944/g82475exv3.txt" TargetMode="External"/><Relationship Id="rId118" Type="http://schemas.openxmlformats.org/officeDocument/2006/relationships/hyperlink" Target="https://www.sec.gov/Archives/edgar/data/18498/000095017024036902/gco-ex4_b.htm" TargetMode="External"/><Relationship Id="rId139" Type="http://schemas.openxmlformats.org/officeDocument/2006/relationships/hyperlink" Target="https://www.sec.gov/Archives/edgar/data/18498/000001849818000008/genesco-bamlx2018x4tharcre.htm" TargetMode="External"/><Relationship Id="rId140" Type="http://schemas.openxmlformats.org/officeDocument/2006/relationships/hyperlink" Target="https://www.sec.gov/Archives/edgar/data/18498/000001849819000006/ex101lidssale020419.htm" TargetMode="External"/><Relationship Id="rId141" Type="http://schemas.openxmlformats.org/officeDocument/2006/relationships/hyperlink" Target="https://www.sec.gov/Archives/edgar/data/18498/000156459020028679/gco-8k_20200609.htm" TargetMode="External"/><Relationship Id="rId142" Type="http://schemas.openxmlformats.org/officeDocument/2006/relationships/hyperlink" Target="https://www.sec.gov/Archives/edgar/data/18498/000095017022000748/gco-ex10_1.htm" TargetMode="External"/><Relationship Id="rId143" Type="http://schemas.openxmlformats.org/officeDocument/2006/relationships/hyperlink" Target="https://www.sec.gov/Archives/edgar/data/18498/0000950144-97-005030.txt" TargetMode="External"/><Relationship Id="rId144" Type="http://schemas.openxmlformats.org/officeDocument/2006/relationships/hyperlink" Target="https://www.sec.gov/Archives/edgar/data/18498/000001849816000083/ex101annmtg062316.htm" TargetMode="External"/><Relationship Id="rId145" Type="http://schemas.openxmlformats.org/officeDocument/2006/relationships/hyperlink" Target="https://www.sec.gov/Archives/edgar/data/0000018498/000001849820000016/gcofy202010-kq4.htm" TargetMode="External"/><Relationship Id="rId146" Type="http://schemas.openxmlformats.org/officeDocument/2006/relationships/hyperlink" Target="https://www.sec.gov/Archives/edgar/data/18498/000156459021032370/gco-ex10_114.htm" TargetMode="External"/><Relationship Id="rId147" Type="http://schemas.openxmlformats.org/officeDocument/2006/relationships/hyperlink" Target="https://www.sec.gov/Archives/edgar/data/18498/000156459021059838/gco-ex10a_29.htm" TargetMode="External"/><Relationship Id="rId148" Type="http://schemas.openxmlformats.org/officeDocument/2006/relationships/hyperlink" Target="https://www.sec.gov/Archives/edgar/data/18498/000095017023011377/gco-ex10_1.htm" TargetMode="External"/><Relationship Id="rId149" Type="http://schemas.openxmlformats.org/officeDocument/2006/relationships/hyperlink" Target="https://www.sec.gov/Archives/edgar/data/18498/000119312520143234/d896613ddef14a.htm" TargetMode="External"/><Relationship Id="rId150" Type="http://schemas.openxmlformats.org/officeDocument/2006/relationships/hyperlink" Target="https://www.sec.gov/Archives/edgar/data/18498/000119312523142978/d445507ddef14a.htm" TargetMode="External"/><Relationship Id="rId151" Type="http://schemas.openxmlformats.org/officeDocument/2006/relationships/hyperlink" Target="https://www.sec.gov/Archives/edgar/data/18498/000119312524141291/d675918ddef14a.htm" TargetMode="External"/><Relationship Id="rId152" Type="http://schemas.openxmlformats.org/officeDocument/2006/relationships/hyperlink" Target="https://www.sec.gov/Archives/edgar/data/18498/000095014405012586/g98695exv10wc.txt" TargetMode="External"/><Relationship Id="rId153" Type="http://schemas.openxmlformats.org/officeDocument/2006/relationships/hyperlink" Target="https://www.sec.gov/Archives/edgar/data/18498/000095014405012586/g98695exv10wd.txt" TargetMode="External"/><Relationship Id="rId154" Type="http://schemas.openxmlformats.org/officeDocument/2006/relationships/hyperlink" Target="https://www.sec.gov/Archives/edgar/data/18498/000095014405012586/g98695exv10we.txt" TargetMode="External"/><Relationship Id="rId155" Type="http://schemas.openxmlformats.org/officeDocument/2006/relationships/hyperlink" Target="https://www.sec.gov/Archives/edgar/data/18498/000095014405012586/g98695exv10wf.txt" TargetMode="External"/><Relationship Id="rId156" Type="http://schemas.openxmlformats.org/officeDocument/2006/relationships/hyperlink" Target="https://www.sec.gov/Archives/edgar/data/18498/000095012309042323/g20467exv10wa.htm" TargetMode="External"/><Relationship Id="rId204" Type="http://schemas.openxmlformats.org/officeDocument/2006/relationships/hyperlink" Target="https://www.sec.gov/Archives/edgar/data/18498/000095017023026918/gco-ex10_2.htm" TargetMode="External"/><Relationship Id="rId205" Type="http://schemas.openxmlformats.org/officeDocument/2006/relationships/hyperlink" Target="https://www.sec.gov/Archives/edgar/data/18498/000095017024072730/gco-ex10_2.htm" TargetMode="External"/><Relationship Id="rId206" Type="http://schemas.openxmlformats.org/officeDocument/2006/relationships/hyperlink" Target="https://www.sec.gov/Archives/edgar/data/18498/000095017023026918/gco-ex10_3.htm" TargetMode="External"/><Relationship Id="rId207" Type="http://schemas.openxmlformats.org/officeDocument/2006/relationships/hyperlink" Target="https://www.sec.gov/Archives/edgar/data/18498/000095014408008032/g16357exv10w1.htm" TargetMode="External"/><Relationship Id="rId208" Type="http://schemas.openxmlformats.org/officeDocument/2006/relationships/hyperlink" Target="https://www.sec.gov/Archives/edgar/data/18498/000095014408009201/g16954qexv10w2.htm" TargetMode="External"/><Relationship Id="rId209" Type="http://schemas.openxmlformats.org/officeDocument/2006/relationships/hyperlink" Target="https://www.sec.gov/Archives/edgar/data/18498/000095012310030948/g22711exv10ws.htm" TargetMode="External"/><Relationship Id="rId225" Type="http://schemas.openxmlformats.org/officeDocument/2006/relationships/hyperlink" Target="https://www.sec.gov/Archives/edgar/data/18498/000001849819000047/ex101epa.htm" TargetMode="External"/><Relationship Id="rId226" Type="http://schemas.openxmlformats.org/officeDocument/2006/relationships/hyperlink" Target="https://www.sec.gov/Archives/edgar/data/18498/000095017025015844/gco-ex10_1.htm" TargetMode="External"/><Relationship Id="rId227" Type="http://schemas.openxmlformats.org/officeDocument/2006/relationships/hyperlink" Target="https://www.sec.gov/Archives/edgar/data/18498/000095017024052957/gco-ex10_1.htm" TargetMode="External"/><Relationship Id="rId228" Type="http://schemas.openxmlformats.org/officeDocument/2006/relationships/hyperlink" Target="https://www.sec.gov/Archives/edgar/data/18498/000095014408002576/g12595exv10wr.htm" TargetMode="External"/><Relationship Id="rId229" Type="http://schemas.openxmlformats.org/officeDocument/2006/relationships/hyperlink" Target="https://www.sec.gov/Archives/edgar/data/18498/000095012311083483/g25506exv10wa.htm" TargetMode="External"/><Relationship Id="rId230" Type="http://schemas.openxmlformats.org/officeDocument/2006/relationships/hyperlink" Target="https://www.sec.gov/Archives/edgar/data/18498/000095017023045544/gco-ex10_1.htm" TargetMode="External"/><Relationship Id="rId231" Type="http://schemas.openxmlformats.org/officeDocument/2006/relationships/hyperlink" Target="https://www.sec.gov/Archives/edgar/data/18498/000095017024036902/gco-ex10_cc.htm" TargetMode="External"/><Relationship Id="rId232" Type="http://schemas.openxmlformats.org/officeDocument/2006/relationships/hyperlink" Target="https://www.sec.gov/Archives/edgar/data/18498/000095014409003670/g18837exv10w1.htm" TargetMode="External"/><Relationship Id="rId233" Type="http://schemas.openxmlformats.org/officeDocument/2006/relationships/hyperlink" Target="https://www.sec.gov/Archives/edgar/data/18498/000095014409003670/g18837exv10w2.htm" TargetMode="External"/><Relationship Id="rId234" Type="http://schemas.openxmlformats.org/officeDocument/2006/relationships/hyperlink" Target="https://www.sec.gov/Archives/edgar/data/18498/000095012309056341/g21041exv10w1.htm" TargetMode="External"/><Relationship Id="rId235" Type="http://schemas.openxmlformats.org/officeDocument/2006/relationships/hyperlink" Target="https://www.sec.gov/Archives/edgar/data/18498/000095012309059073/g21130exv10w1.htm" TargetMode="External"/><Relationship Id="rId274" Type="http://schemas.openxmlformats.org/officeDocument/2006/relationships/hyperlink" Target="https://www.sec.gov/Archives/edgar/data/18498/000095017024036902/gco-ex9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2025-03-26T09:47:42Z</dcterms:created>
  <dcterms:modified xsi:type="dcterms:W3CDTF">2025-03-26T09:47:42Z</dcterms:modified>
</cp:coreProperties>
</file>