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co-20260903.htm"/>
      <w:bookmarkStart w:id="1" w:name="ksgco20260903"/>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FORM 8-K</w:t>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CURRENT REPORT</w:t>
      </w:r>
    </w:p>
    <w:p>
      <w:pPr>
        <w:pStyle w:val="TextBody"/>
        <w:bidi w:val="0"/>
        <w:jc w:val="center"/>
        <w:rPr>
          <w:rFonts w:ascii="Times New Roman" w:hAnsi="Times New Roman"/>
          <w:b/>
          <w:color w:val="231F20"/>
          <w:sz w:val="20"/>
        </w:rPr>
      </w:pPr>
      <w:r>
        <w:rPr>
          <w:rFonts w:ascii="Times New Roman" w:hAnsi="Times New Roman"/>
          <w:b/>
          <w:color w:val="231F20"/>
          <w:sz w:val="20"/>
        </w:rPr>
        <w:t>Pursuant to Section 13 or 15(d) of the Securities Exchange Act of 1934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Date of Report (date of earliest event reported): September 3, 2026</w:t>
      </w:r>
    </w:p>
    <w:p>
      <w:pPr>
        <w:pStyle w:val="TextBody"/>
        <w:bidi w:val="0"/>
        <w:jc w:val="center"/>
        <w:rPr>
          <w:rFonts w:ascii="Times New Roman" w:hAnsi="Times New Roman"/>
          <w:b/>
          <w:color w:val="000000"/>
          <w:sz w:val="20"/>
        </w:rPr>
      </w:pPr>
      <w:r>
        <w:rPr>
          <w:rFonts w:ascii="Times New Roman" w:hAnsi="Times New Roman"/>
          <w:b/>
          <w:color w:val="000000"/>
          <w:sz w:val="20"/>
        </w:rPr>
        <w:t>GENESCO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5644" w:type="dxa"/>
        <w:jc w:val="left"/>
        <w:tblInd w:w="0" w:type="dxa"/>
        <w:tblLayout w:type="fixed"/>
        <w:tblCellMar>
          <w:top w:w="28" w:type="dxa"/>
          <w:left w:w="28" w:type="dxa"/>
          <w:bottom w:w="28" w:type="dxa"/>
          <w:right w:w="28" w:type="dxa"/>
        </w:tblCellMar>
      </w:tblPr>
      <w:tblGrid>
        <w:gridCol w:w="2296"/>
        <w:gridCol w:w="811"/>
        <w:gridCol w:w="886"/>
        <w:gridCol w:w="1651"/>
      </w:tblGrid>
      <w:tr>
        <w:trPr/>
        <w:tc>
          <w:tcPr>
            <w:tcW w:w="22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Tennessee</w:t>
            </w:r>
          </w:p>
        </w:tc>
        <w:tc>
          <w:tcPr>
            <w:tcW w:w="169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1-3083</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62-0211340</w:t>
            </w:r>
          </w:p>
        </w:tc>
      </w:tr>
      <w:tr>
        <w:trPr/>
        <w:tc>
          <w:tcPr>
            <w:tcW w:w="229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697"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(Commission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 Number)</w:t>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r>
        <w:trPr/>
        <w:tc>
          <w:tcPr>
            <w:tcW w:w="31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5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535 Marriott Drive</w:t>
            </w:r>
          </w:p>
        </w:tc>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Nashville</w:t>
            </w:r>
          </w:p>
        </w:tc>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Tennessee</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37214</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(615) 367-7000</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7888" w:type="dxa"/>
        <w:jc w:val="left"/>
        <w:tblInd w:w="0" w:type="dxa"/>
        <w:tblLayout w:type="fixed"/>
        <w:tblCellMar>
          <w:top w:w="28" w:type="dxa"/>
          <w:left w:w="28" w:type="dxa"/>
          <w:bottom w:w="28" w:type="dxa"/>
          <w:right w:w="28" w:type="dxa"/>
        </w:tblCellMar>
      </w:tblPr>
      <w:tblGrid>
        <w:gridCol w:w="331"/>
        <w:gridCol w:w="146"/>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jc w:val="left"/>
        <w:rPr/>
      </w:pPr>
      <w:r>
        <w:rPr/>
        <w:t> </w:t>
      </w:r>
    </w:p>
    <w:tbl>
      <w:tblPr>
        <w:tblW w:w="8898" w:type="dxa"/>
        <w:jc w:val="left"/>
        <w:tblInd w:w="0" w:type="dxa"/>
        <w:tblLayout w:type="fixed"/>
        <w:tblCellMar>
          <w:top w:w="28" w:type="dxa"/>
          <w:left w:w="28" w:type="dxa"/>
          <w:bottom w:w="28" w:type="dxa"/>
          <w:right w:w="28" w:type="dxa"/>
        </w:tblCellMar>
      </w:tblPr>
      <w:tblGrid>
        <w:gridCol w:w="331"/>
        <w:gridCol w:w="636"/>
        <w:gridCol w:w="7931"/>
      </w:tblGrid>
      <w:tr>
        <w:trPr/>
        <w:tc>
          <w:tcPr>
            <w:tcW w:w="33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79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9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231F20"/>
                <w:sz w:val="20"/>
              </w:rPr>
            </w:pPr>
            <w:r>
              <w:rPr>
                <w:rFonts w:ascii="Times New Roman" w:hAnsi="Times New Roman"/>
                <w:color w:val="231F20"/>
                <w:sz w:val="20"/>
              </w:rPr>
              <w:t>Soliciting material pursuant to Rule 14a-12 under the Exchange Act (17 CFR 240.14a-12)</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636"/>
        <w:gridCol w:w="9238"/>
      </w:tblGrid>
      <w:tr>
        <w:trPr/>
        <w:tc>
          <w:tcPr>
            <w:tcW w:w="33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23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9238"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231F20"/>
                <w:sz w:val="20"/>
              </w:rPr>
            </w:pPr>
            <w:r>
              <w:rPr>
                <w:rFonts w:ascii="Times New Roman" w:hAnsi="Times New Roman"/>
                <w:color w:val="231F20"/>
                <w:sz w:val="20"/>
              </w:rPr>
              <w:t>Pre-commencement communications pursuant to Rule 14d-2(b) under the Exchange Act (17 CFR 240.14d-2(b))</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636"/>
        <w:gridCol w:w="9238"/>
      </w:tblGrid>
      <w:tr>
        <w:trPr/>
        <w:tc>
          <w:tcPr>
            <w:tcW w:w="33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23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9238"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231F20"/>
                <w:sz w:val="20"/>
              </w:rPr>
            </w:pPr>
            <w:r>
              <w:rPr>
                <w:rFonts w:ascii="Times New Roman" w:hAnsi="Times New Roman"/>
                <w:color w:val="231F20"/>
                <w:sz w:val="20"/>
              </w:rPr>
              <w:t>Pre-commencement communications pursuant to Rule 13e-4(c) under the Exchange Act (17 CFR 240.13e-4(c))</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6813" w:type="dxa"/>
        <w:jc w:val="left"/>
        <w:tblInd w:w="0" w:type="dxa"/>
        <w:tblLayout w:type="fixed"/>
        <w:tblCellMar>
          <w:top w:w="28" w:type="dxa"/>
          <w:left w:w="28" w:type="dxa"/>
          <w:bottom w:w="28" w:type="dxa"/>
          <w:right w:w="28" w:type="dxa"/>
        </w:tblCellMar>
      </w:tblPr>
      <w:tblGrid>
        <w:gridCol w:w="2416"/>
        <w:gridCol w:w="1456"/>
        <w:gridCol w:w="2941"/>
      </w:tblGrid>
      <w:tr>
        <w:trPr/>
        <w:tc>
          <w:tcPr>
            <w:tcW w:w="241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2416" w:type="dxa"/>
            <w:tcBorders>
              <w:top w:val="single" w:sz="8" w:space="0" w:color="000000"/>
              <w:left w:val="single" w:sz="8" w:space="0" w:color="000000"/>
              <w:bottom w:val="single" w:sz="8" w:space="0" w:color="000000"/>
              <w:right w:val="single" w:sz="8" w:space="0" w:color="000000"/>
            </w:tcBorders>
            <w:tcMar>
              <w:left w:w="60" w:type="dxa"/>
              <w:right w:w="6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2941" w:type="dxa"/>
            <w:tcBorders>
              <w:top w:val="single" w:sz="8" w:space="0" w:color="000000"/>
              <w:bottom w:val="single" w:sz="8" w:space="0" w:color="000000"/>
              <w:right w:val="single" w:sz="8" w:space="0" w:color="000000"/>
            </w:tcBorders>
            <w:tcMar>
              <w:left w:w="0" w:type="dxa"/>
              <w:right w:w="6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exchange on which registered</w:t>
            </w:r>
          </w:p>
        </w:tc>
      </w:tr>
      <w:tr>
        <w:trPr/>
        <w:tc>
          <w:tcPr>
            <w:tcW w:w="2416" w:type="dxa"/>
            <w:tcBorders>
              <w:left w:val="single" w:sz="8" w:space="0" w:color="000000"/>
              <w:bottom w:val="single" w:sz="8" w:space="0" w:color="000000"/>
              <w:right w:val="single" w:sz="8" w:space="0" w:color="000000"/>
            </w:tcBorders>
            <w:tcMar>
              <w:top w:w="0" w:type="dxa"/>
              <w:left w:w="60" w:type="dxa"/>
              <w:right w:w="4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$1.00 par value</w:t>
            </w:r>
          </w:p>
        </w:tc>
        <w:tc>
          <w:tcPr>
            <w:tcW w:w="1456"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GCO</w:t>
            </w:r>
          </w:p>
        </w:tc>
        <w:tc>
          <w:tcPr>
            <w:tcW w:w="2941" w:type="dxa"/>
            <w:tcBorders>
              <w:bottom w:val="single" w:sz="8" w:space="0" w:color="000000"/>
              <w:right w:val="single" w:sz="8" w:space="0" w:color="000000"/>
            </w:tcBorders>
            <w:tcMar>
              <w:top w:w="0" w:type="dxa"/>
              <w:left w:w="0" w:type="dxa"/>
              <w:right w:w="6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283"/>
        <w:jc w:val="right"/>
        <w:rPr>
          <w:rFonts w:ascii="Times New Roman" w:hAnsi="Times New Roman"/>
          <w:sz w:val="20"/>
        </w:rPr>
      </w:pPr>
      <w:r>
        <w:rPr>
          <w:rFonts w:ascii="Times New Roman" w:hAnsi="Times New Roman"/>
          <w:color w:val="231F20"/>
          <w:sz w:val="20"/>
        </w:rPr>
        <w:t xml:space="preserve">Emerging growth company </w:t>
      </w:r>
      <w:r>
        <w:rPr>
          <w:rFonts w:ascii="Times New Roman" w:hAnsi="Times New Roman"/>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jc w:val="right"/>
        <w:rPr>
          <w:color w:val="000000"/>
        </w:rPr>
      </w:pPr>
      <w:r>
        <w:rPr>
          <w:color w:val="00000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3, 2026, Genesco Inc. issued a press release announcing results of operations for the second fiscal quarter ended August 1, 2026. A copy of the press release is furnished as Exhibit 99.1 to this Current Report on Form 8-K.</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September 3, 2026, the Company also posted on its website, </w:t>
      </w:r>
      <w:r>
        <w:rPr>
          <w:rFonts w:ascii="Times New Roman" w:hAnsi="Times New Roman"/>
          <w:color w:val="000000"/>
          <w:sz w:val="20"/>
          <w:u w:val="single"/>
        </w:rPr>
        <w:t>www.genesco.com</w:t>
      </w:r>
      <w:r>
        <w:rPr>
          <w:rFonts w:ascii="Times New Roman" w:hAnsi="Times New Roman"/>
          <w:color w:val="000000"/>
          <w:sz w:val="20"/>
        </w:rPr>
        <w:t>, a slide presentation with summary results. A copy of the slide presentation is furnished as Exhibit 99.2 to this Current Report on Form 8-K.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disclosing financial results calculated in accordance with United States generally accepted accounting principles (GAAP), the press release furnished herewith contains non-GAAP financial measures, including adjusted gross margin, selling and administrative expenses, operating income (loss), interest, net, pretax earnings (loss), earnings (loss) from continuing operations and earnings (loss) per share from continuing operations, as discussed in the text of the release and as detailed on the reconciliation schedule attached to the press release. For consistency and ease of comparison with the adjusted results for the prior period announced last year, the Company believes that disclosure of the non-GAAP measures will be useful to investors.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exhibits are furnished herewith:</w:t>
      </w:r>
    </w:p>
    <w:p>
      <w:pPr>
        <w:pStyle w:val="TextBody"/>
        <w:bidi w:val="0"/>
        <w:jc w:val="left"/>
        <w:rPr/>
      </w:pPr>
      <w:r>
        <w:rPr/>
        <w:t> </w:t>
      </w:r>
    </w:p>
    <w:tbl>
      <w:tblPr>
        <w:tblW w:w="8023" w:type="dxa"/>
        <w:jc w:val="left"/>
        <w:tblInd w:w="0" w:type="dxa"/>
        <w:tblLayout w:type="fixed"/>
        <w:tblCellMar>
          <w:top w:w="28" w:type="dxa"/>
          <w:left w:w="28" w:type="dxa"/>
          <w:bottom w:w="28" w:type="dxa"/>
          <w:right w:w="28" w:type="dxa"/>
        </w:tblCellMar>
      </w:tblPr>
      <w:tblGrid>
        <w:gridCol w:w="1276"/>
        <w:gridCol w:w="146"/>
        <w:gridCol w:w="660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gco-ex99_1.htm">
              <w:r>
                <w:rPr>
                  <w:rStyle w:val="InternetLink"/>
                  <w:rFonts w:ascii="Times New Roman" w:hAnsi="Times New Roman"/>
                  <w:color w:val="0000FF"/>
                  <w:sz w:val="20"/>
                  <w:u w:val="single"/>
                </w:rPr>
                <w:t>Press Release issued by Genesco Inc. on September 3, 2026</w:t>
              </w:r>
            </w:hyperlink>
          </w:p>
        </w:tc>
      </w:tr>
      <w:tr>
        <w:trPr/>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gco-ex99_2.htm">
              <w:r>
                <w:rPr>
                  <w:rStyle w:val="InternetLink"/>
                  <w:rFonts w:ascii="Times New Roman" w:hAnsi="Times New Roman"/>
                  <w:color w:val="0000FF"/>
                  <w:sz w:val="20"/>
                  <w:u w:val="single"/>
                </w:rPr>
                <w:t>Genesco Inc. Second Quarter ended August 1, 2026 Summary Results</w:t>
              </w:r>
            </w:hyperlink>
          </w:p>
        </w:tc>
      </w:tr>
      <w:tr>
        <w:trPr/>
        <w:tc>
          <w:tcPr>
            <w:tcW w:w="12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7975" w:type="dxa"/>
        <w:jc w:val="left"/>
        <w:tblInd w:w="0" w:type="dxa"/>
        <w:tblLayout w:type="fixed"/>
        <w:tblCellMar>
          <w:top w:w="28" w:type="dxa"/>
          <w:left w:w="28" w:type="dxa"/>
          <w:bottom w:w="28" w:type="dxa"/>
          <w:right w:w="28" w:type="dxa"/>
        </w:tblCellMar>
      </w:tblPr>
      <w:tblGrid>
        <w:gridCol w:w="2116"/>
        <w:gridCol w:w="146"/>
        <w:gridCol w:w="631"/>
        <w:gridCol w:w="146"/>
        <w:gridCol w:w="4936"/>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GENESCO INC.</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36"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Jonathan M. Collins</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M. Collins</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 Finance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gco-ex99_1.htm"/>
      <w:bookmarkStart w:id="3" w:name="ksgco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4"/>
        </w:rPr>
        <w:t>GENESCO INC. REPORTS FISCAL 2027 SECOND QUARTER RESULTS</w:t>
      </w:r>
      <w:r>
        <w:rPr>
          <w:rFonts w:ascii="Times New Roman" w:hAnsi="Times New Roman"/>
          <w:color w:val="000000"/>
          <w:sz w:val="20"/>
        </w:rPr>
        <w:t xml:space="preserve"> </w:t>
      </w:r>
    </w:p>
    <w:p>
      <w:pPr>
        <w:pStyle w:val="TextBody"/>
        <w:bidi w:val="0"/>
        <w:jc w:val="center"/>
        <w:rPr>
          <w:rFonts w:ascii="Arial" w:hAnsi="Arial"/>
          <w:b/>
          <w:color w:val="000000"/>
          <w:sz w:val="24"/>
        </w:rPr>
      </w:pPr>
      <w:r>
        <w:rPr>
          <w:rFonts w:ascii="Arial" w:hAnsi="Arial"/>
          <w:b/>
          <w:color w:val="000000"/>
          <w:sz w:val="24"/>
        </w:rPr>
        <w:t>--Operating Income and EPS Improvement Exceed Expectations and Last Year--</w:t>
      </w:r>
    </w:p>
    <w:p>
      <w:pPr>
        <w:pStyle w:val="TextBody"/>
        <w:bidi w:val="0"/>
        <w:jc w:val="center"/>
        <w:rPr>
          <w:rFonts w:ascii="Arial" w:hAnsi="Arial"/>
          <w:b/>
          <w:color w:val="000000"/>
          <w:sz w:val="24"/>
        </w:rPr>
      </w:pPr>
      <w:r>
        <w:rPr>
          <w:rFonts w:ascii="Arial" w:hAnsi="Arial"/>
          <w:b/>
          <w:color w:val="000000"/>
          <w:sz w:val="24"/>
        </w:rPr>
        <w:t>-- Journeys Comparable Sales +2%, Johnston &amp; Murphy Comparable Sales +4%--</w:t>
      </w:r>
    </w:p>
    <w:p>
      <w:pPr>
        <w:pStyle w:val="TextBody"/>
        <w:bidi w:val="0"/>
        <w:jc w:val="center"/>
        <w:rPr>
          <w:rFonts w:ascii="Arial" w:hAnsi="Arial"/>
          <w:b/>
          <w:color w:val="000000"/>
          <w:sz w:val="24"/>
        </w:rPr>
      </w:pPr>
      <w:r>
        <w:rPr>
          <w:rFonts w:ascii="Arial" w:hAnsi="Arial"/>
          <w:b/>
          <w:color w:val="000000"/>
          <w:sz w:val="24"/>
        </w:rPr>
        <w:t>--Eighth Consecutive Quarter of Positive Total Comparable Sales Growth for Journeys--</w:t>
      </w:r>
    </w:p>
    <w:p>
      <w:pPr>
        <w:pStyle w:val="TextBody"/>
        <w:bidi w:val="0"/>
        <w:jc w:val="center"/>
        <w:rPr>
          <w:rFonts w:ascii="Arial" w:hAnsi="Arial"/>
          <w:b/>
          <w:color w:val="000000"/>
          <w:sz w:val="24"/>
        </w:rPr>
      </w:pPr>
      <w:r>
        <w:rPr>
          <w:rFonts w:ascii="Arial" w:hAnsi="Arial"/>
          <w:b/>
          <w:color w:val="000000"/>
          <w:sz w:val="24"/>
        </w:rPr>
        <w:t>--Raises EPS Guidance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NASHVILLE, Tenn., Sept. 3, 2026 --- Genesco Inc. (NYSE: GCO) today reported second quarter results for the three months ended August 1, 2026.</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Second Quarter Fiscal 2027 Financial Summary</w:t>
      </w:r>
    </w:p>
    <w:p>
      <w:pPr>
        <w:pStyle w:val="TextBody"/>
        <w:bidi w:val="0"/>
        <w:jc w:val="left"/>
        <w:rPr>
          <w:rFonts w:ascii="Arial" w:hAnsi="Arial"/>
          <w:i/>
          <w:color w:val="000000"/>
          <w:sz w:val="22"/>
        </w:rPr>
      </w:pPr>
      <w:r>
        <w:rPr>
          <w:rFonts w:ascii="Arial" w:hAnsi="Arial"/>
          <w:i/>
          <w:color w:val="000000"/>
          <w:sz w:val="22"/>
        </w:rPr>
        <w:t>GAAP results include tariff refunds as well as other one-time adjustments; adjusted (Non-GAAP) results exclude these items to better reflect underlying operating performance</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 xml:space="preserve">Net sales of $530 million decreased 3% compared to Q2FY26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Comparable sales decreased 1% compared to last year, with stores up 1% while e-commerce decreased 6%</w:t>
      </w:r>
    </w:p>
    <w:p>
      <w:pPr>
        <w:pStyle w:val="TextBody"/>
        <w:bidi w:val="0"/>
        <w:spacing w:before="120" w:after="283"/>
        <w:jc w:val="left"/>
        <w:rPr>
          <w:color w:val="000000"/>
        </w:rPr>
      </w:pPr>
      <w:r>
        <w:rPr>
          <w:color w:val="000000"/>
        </w:rPr>
        <w:t>•</w:t>
      </w:r>
    </w:p>
    <w:p>
      <w:pPr>
        <w:pStyle w:val="TextBody"/>
        <w:bidi w:val="0"/>
        <w:spacing w:lineRule="auto" w:line="360" w:before="120" w:after="283"/>
        <w:jc w:val="left"/>
        <w:rPr>
          <w:rFonts w:ascii="Arial" w:hAnsi="Arial"/>
          <w:sz w:val="15"/>
        </w:rPr>
      </w:pPr>
      <w:r>
        <w:rPr>
          <w:rFonts w:ascii="Arial" w:hAnsi="Arial"/>
          <w:color w:val="000000"/>
          <w:sz w:val="22"/>
        </w:rPr>
        <w:t>Gross margin improved 560 basis points compared to last year, reflecting tariff refunds; Adjusted gross margin improved 140 basis points compared to last year</w:t>
      </w:r>
      <w:r>
        <w:rPr>
          <w:rFonts w:ascii="Arial" w:hAnsi="Arial"/>
          <w:color w:val="000000"/>
          <w:sz w:val="15"/>
        </w:rPr>
        <w:t>1</w:t>
      </w:r>
    </w:p>
    <w:p>
      <w:pPr>
        <w:pStyle w:val="TextBody"/>
        <w:bidi w:val="0"/>
        <w:spacing w:before="120" w:after="283"/>
        <w:jc w:val="left"/>
        <w:rPr>
          <w:color w:val="000000"/>
        </w:rPr>
      </w:pPr>
      <w:r>
        <w:rPr>
          <w:color w:val="000000"/>
        </w:rPr>
        <w:t>•</w:t>
      </w:r>
    </w:p>
    <w:p>
      <w:pPr>
        <w:pStyle w:val="TextBody"/>
        <w:bidi w:val="0"/>
        <w:spacing w:lineRule="auto" w:line="360" w:before="120" w:after="283"/>
        <w:jc w:val="left"/>
        <w:rPr>
          <w:rFonts w:ascii="Arial" w:hAnsi="Arial"/>
          <w:sz w:val="15"/>
        </w:rPr>
      </w:pPr>
      <w:r>
        <w:rPr>
          <w:rFonts w:ascii="Arial" w:hAnsi="Arial"/>
          <w:color w:val="000000"/>
          <w:sz w:val="22"/>
        </w:rPr>
        <w:t>Operating margin improved 330 basis points compared to last year; Adjusted operating margin improved 100 basis points compared to last year</w:t>
      </w:r>
      <w:r>
        <w:rPr>
          <w:rFonts w:ascii="Arial" w:hAnsi="Arial"/>
          <w:color w:val="000000"/>
          <w:sz w:val="15"/>
        </w:rPr>
        <w:t>1</w:t>
      </w:r>
    </w:p>
    <w:p>
      <w:pPr>
        <w:pStyle w:val="TextBody"/>
        <w:bidi w:val="0"/>
        <w:spacing w:before="120" w:after="283"/>
        <w:jc w:val="left"/>
        <w:rPr>
          <w:color w:val="000000"/>
        </w:rPr>
      </w:pPr>
      <w:r>
        <w:rPr>
          <w:color w:val="000000"/>
        </w:rPr>
        <w:t>•</w:t>
      </w:r>
    </w:p>
    <w:p>
      <w:pPr>
        <w:pStyle w:val="TextBody"/>
        <w:bidi w:val="0"/>
        <w:spacing w:lineRule="auto" w:line="360" w:before="120" w:after="283"/>
        <w:jc w:val="left"/>
        <w:rPr>
          <w:rFonts w:ascii="Arial" w:hAnsi="Arial"/>
          <w:sz w:val="15"/>
        </w:rPr>
      </w:pPr>
      <w:r>
        <w:rPr>
          <w:rFonts w:ascii="Arial" w:hAnsi="Arial"/>
          <w:color w:val="000000"/>
          <w:sz w:val="22"/>
        </w:rPr>
        <w:t>GAAP EPS was $0.32 and Non-GAAP EPS was ($0.83)</w:t>
      </w:r>
      <w:r>
        <w:rPr>
          <w:rFonts w:ascii="Arial" w:hAnsi="Arial"/>
          <w:color w:val="000000"/>
          <w:sz w:val="15"/>
        </w:rPr>
        <w:t xml:space="preserve">1 </w:t>
      </w:r>
      <w:r>
        <w:rPr>
          <w:rFonts w:ascii="Arial" w:hAnsi="Arial"/>
          <w:color w:val="000000"/>
          <w:sz w:val="22"/>
        </w:rPr>
        <w:t>versus GAAP EPS of ($1.79) and Non-GAAP EPS of ($1.14) last year</w:t>
      </w:r>
      <w:r>
        <w:rPr>
          <w:rFonts w:ascii="Arial" w:hAnsi="Arial"/>
          <w:color w:val="000000"/>
          <w:sz w:val="15"/>
        </w:rPr>
        <w:t>2</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Raises adjusted EPS guidance to high end of $2.00 to $2.40 range versus midpoint last quarter</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Mimi E. Vaughn, Genesco’s Board Chair, President and Chief Executive Officer, said, “We delivered second quarter bottom line results that were significantly better than last year and well ahead of our expectations. The quarter provides further evidence that our Footwear First strategy is working and our momentum is building. Journeys and Johnston &amp; Murphy both delivered positive comparable sales in the quarter, and earnings improvement reflected the operating leverage we set out to build, with more full-price selling aiding gross margin recapture and disciplined expense management driving the stronger performance. As we anticipated, the decline in sales was driven by strategic actions: store closures, our license transition, and pullback on discounting at Schuh. As we move past these shorter-term headwinds, we expect sales trends to improve, and we remain confident that the initiatives underway across our company position us for profitable growth.” </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__________________________</w:t>
      </w:r>
    </w:p>
    <w:p>
      <w:pPr>
        <w:pStyle w:val="TextBody"/>
        <w:bidi w:val="0"/>
        <w:spacing w:lineRule="auto" w:line="360"/>
        <w:jc w:val="left"/>
        <w:rPr>
          <w:rFonts w:ascii="Arial" w:hAnsi="Arial"/>
          <w:sz w:val="11"/>
        </w:rPr>
      </w:pPr>
      <w:r>
        <w:rPr>
          <w:rFonts w:ascii="Arial" w:hAnsi="Arial"/>
          <w:color w:val="000000"/>
          <w:sz w:val="11"/>
        </w:rPr>
        <w:t>1</w:t>
      </w:r>
      <w:r>
        <w:rPr>
          <w:rFonts w:ascii="Arial" w:hAnsi="Arial"/>
          <w:color w:val="000000"/>
          <w:sz w:val="16"/>
        </w:rPr>
        <w:t>Non-GAAP earnings per share (“EPS”), adjusted operating loss and adjusted gross margin are non-GAAP measures. Non-GAAP EPS results exclude tariff refund-related benefits and certain one-time costs, net of tax, including proxy contest and other legal expenses, information technology transformation costs, severance and other restructuring costs in the second quarter of Fiscal 2027 and severance, net of tax, in the second quarter of Fiscal 2026 (“the Excluded Items”). See Schedule B for reconciliations to GAAP measures. The Company believes that disclosure of earnings (loss) and earnings (loss) per</w:t>
      </w:r>
      <w:r>
        <w:rPr>
          <w:rFonts w:ascii="Arial" w:hAnsi="Arial"/>
          <w:color w:val="000000"/>
          <w:sz w:val="11"/>
        </w:rPr>
        <w:t xml:space="preserve"> </w:t>
      </w:r>
      <w:r>
        <w:rPr>
          <w:rFonts w:ascii="Arial" w:hAnsi="Arial"/>
          <w:color w:val="000000"/>
          <w:sz w:val="16"/>
        </w:rPr>
        <w:t>share from continuing operations</w:t>
      </w:r>
      <w:r>
        <w:rPr>
          <w:rFonts w:ascii="Arial" w:hAnsi="Arial"/>
          <w:color w:val="000000"/>
          <w:sz w:val="11"/>
        </w:rPr>
        <w:t xml:space="preserve"> </w:t>
      </w:r>
      <w:r>
        <w:rPr>
          <w:rFonts w:ascii="Arial" w:hAnsi="Arial"/>
          <w:color w:val="000000"/>
          <w:sz w:val="16"/>
        </w:rPr>
        <w:t>and gross margin adjusted for the items not reflected in the previously announced expectations will be meaningful to investors, especially in light of the impact of such items on the results.</w:t>
      </w:r>
    </w:p>
    <w:p>
      <w:pPr>
        <w:pStyle w:val="TextBody"/>
        <w:bidi w:val="0"/>
        <w:spacing w:lineRule="auto" w:line="360"/>
        <w:jc w:val="left"/>
        <w:rPr>
          <w:rFonts w:ascii="Arial" w:hAnsi="Arial"/>
          <w:sz w:val="11"/>
        </w:rPr>
      </w:pPr>
      <w:r>
        <w:rPr>
          <w:rFonts w:ascii="Arial" w:hAnsi="Arial"/>
          <w:color w:val="000000"/>
          <w:sz w:val="11"/>
        </w:rPr>
        <w:t xml:space="preserve">2 </w:t>
      </w:r>
      <w:r>
        <w:rPr>
          <w:rFonts w:ascii="Arial" w:hAnsi="Arial"/>
          <w:color w:val="000000"/>
          <w:sz w:val="16"/>
        </w:rPr>
        <w:t>The GAAP effective tax rate for the second quarter was (2.5)% in Fiscal 2027 compared to (15.0)% in the second quarter last year. The adjusted tax rate, reflecting Excluded Items described in footnote 1, was 5.7% in Fiscal 2027 compared to 26.5% in the second quarter last year.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Vaughn continued, “The third quarter is off to a good start with back-to-school and Journeys accelerating to a mid-single-digit comp in August on top of very strong growth the last two years.”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Jonathan M. Collins, Genesco’s Senior Vice President, Finance and Chief Financial Officer, added, “As a result of our performance, we are raising our full-year adjusted EPS outlook to the high end of the $2.00 to $2.40 range, up from our previous midpoint of the same range. With strong execution across our businesses, continued traction from our strategic initiatives and a focused approach to cost management, we are working to unlock meaningful earnings opportunity and create further shareholder value.”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Second Quarter Review</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Net sales for the second quarter of Fiscal 2027 decreased 3% to $530 million compared to $546 million in the second quarter of Fiscal 2026. The decrease in net sales reflects the impact of net store closings, decreased licensed sales, a 6% decrease in e-commerce comparable sales from reduced Schuh discounting and an unfavorable foreign exchange impact, partially offset by a 1% increase in same store sales and higher sales from enlarged stores. </w:t>
      </w:r>
    </w:p>
    <w:tbl>
      <w:tblPr>
        <w:tblW w:w="7113" w:type="dxa"/>
        <w:jc w:val="left"/>
        <w:tblInd w:w="0" w:type="dxa"/>
        <w:tblLayout w:type="fixed"/>
        <w:tblCellMar>
          <w:top w:w="28" w:type="dxa"/>
          <w:left w:w="28" w:type="dxa"/>
          <w:bottom w:w="28" w:type="dxa"/>
          <w:right w:w="28" w:type="dxa"/>
        </w:tblCellMar>
      </w:tblPr>
      <w:tblGrid>
        <w:gridCol w:w="5206"/>
        <w:gridCol w:w="931"/>
        <w:gridCol w:w="976"/>
      </w:tblGrid>
      <w:tr>
        <w:trPr/>
        <w:tc>
          <w:tcPr>
            <w:tcW w:w="520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7113"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sz w:val="22"/>
              </w:rPr>
            </w:pPr>
            <w:r>
              <w:rPr>
                <w:rFonts w:ascii="Arial" w:hAnsi="Arial"/>
                <w:b/>
                <w:color w:val="000000"/>
                <w:sz w:val="22"/>
              </w:rPr>
              <w:t>Comparable Sales</w:t>
            </w:r>
            <w:r>
              <w:rPr>
                <w:rFonts w:ascii="Arial" w:hAnsi="Arial"/>
                <w:color w:val="000000"/>
                <w:sz w:val="22"/>
              </w:rPr>
              <w:t xml:space="preserve"> </w:t>
            </w:r>
          </w:p>
        </w:tc>
      </w:tr>
      <w:tr>
        <w:trPr/>
        <w:tc>
          <w:tcPr>
            <w:tcW w:w="520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2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Comparable Same Store and E-commerce Sales:</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2QFY27</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2QFY26</w:t>
            </w:r>
          </w:p>
        </w:tc>
      </w:tr>
      <w:tr>
        <w:trPr/>
        <w:tc>
          <w:tcPr>
            <w:tcW w:w="52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Journeys Group</w:t>
            </w:r>
          </w:p>
        </w:tc>
        <w:tc>
          <w:tcPr>
            <w:tcW w:w="9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2%</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9%</w:t>
            </w:r>
          </w:p>
        </w:tc>
      </w:tr>
      <w:tr>
        <w:trPr/>
        <w:tc>
          <w:tcPr>
            <w:tcW w:w="52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Schuh Group</w:t>
            </w:r>
          </w:p>
        </w:tc>
        <w:tc>
          <w:tcPr>
            <w:tcW w:w="9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(9)%</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w:t>
            </w:r>
          </w:p>
        </w:tc>
      </w:tr>
      <w:tr>
        <w:trPr/>
        <w:tc>
          <w:tcPr>
            <w:tcW w:w="52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Johnston &amp; Murphy Group</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w:t>
            </w:r>
          </w:p>
        </w:tc>
        <w:tc>
          <w:tcPr>
            <w:tcW w:w="9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w:t>
            </w:r>
          </w:p>
        </w:tc>
      </w:tr>
      <w:tr>
        <w:trPr/>
        <w:tc>
          <w:tcPr>
            <w:tcW w:w="52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Total Genesco Comparable Sales</w:t>
            </w:r>
          </w:p>
        </w:tc>
        <w:tc>
          <w:tcPr>
            <w:tcW w:w="93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w:t>
            </w:r>
          </w:p>
        </w:tc>
        <w:tc>
          <w:tcPr>
            <w:tcW w:w="97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4%</w:t>
            </w:r>
          </w:p>
        </w:tc>
      </w:tr>
      <w:tr>
        <w:trPr/>
        <w:tc>
          <w:tcPr>
            <w:tcW w:w="52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Same Store Sales</w:t>
            </w:r>
          </w:p>
        </w:tc>
        <w:tc>
          <w:tcPr>
            <w:tcW w:w="93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w:t>
            </w:r>
          </w:p>
        </w:tc>
        <w:tc>
          <w:tcPr>
            <w:tcW w:w="97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5%</w:t>
            </w:r>
          </w:p>
        </w:tc>
      </w:tr>
      <w:tr>
        <w:trPr/>
        <w:tc>
          <w:tcPr>
            <w:tcW w:w="52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2"/>
              </w:rPr>
            </w:pPr>
            <w:r>
              <w:rPr>
                <w:rFonts w:ascii="Arial" w:hAnsi="Arial"/>
                <w:color w:val="000000"/>
                <w:sz w:val="22"/>
              </w:rPr>
              <w:t>Comparable E-commerce Sales</w:t>
            </w:r>
          </w:p>
        </w:tc>
        <w:tc>
          <w:tcPr>
            <w:tcW w:w="931"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(6)%</w:t>
            </w:r>
          </w:p>
        </w:tc>
        <w:tc>
          <w:tcPr>
            <w:tcW w:w="976" w:type="dxa"/>
            <w:tcBorders>
              <w:bottom w:val="double" w:sz="4" w:space="0" w:color="000000"/>
            </w:tcBorders>
            <w:tcMar>
              <w:top w:w="0" w:type="dxa"/>
              <w:left w:w="0" w:type="dxa"/>
              <w:right w:w="0" w:type="dxa"/>
            </w:tcMar>
            <w:vAlign w:val="center"/>
          </w:tcPr>
          <w:p>
            <w:pPr>
              <w:pStyle w:val="TableContents"/>
              <w:bidi w:val="0"/>
              <w:spacing w:before="0" w:after="283"/>
              <w:jc w:val="right"/>
              <w:rPr>
                <w:rFonts w:ascii="Arial" w:hAnsi="Arial"/>
                <w:color w:val="000000"/>
                <w:sz w:val="22"/>
              </w:rPr>
            </w:pPr>
            <w:r>
              <w:rPr>
                <w:rFonts w:ascii="Arial" w:hAnsi="Arial"/>
                <w:color w:val="000000"/>
                <w:sz w:val="22"/>
              </w:rPr>
              <w:t>1%</w:t>
            </w:r>
          </w:p>
        </w:tc>
      </w:tr>
    </w:tbl>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overall sales decrease of 3% for the second quarter of Fiscal 2027 compared to the second quarter of Fiscal 2026 was driven by a decrease of 10% at Schuh and a 21% or $7 million decrease at Genesco Brands, partially offset by a 5% increase at Johnston &amp; Murphy, while sales at Journeys were flat. On a constant currency basis, Schuh sales were down 10% for the second quarter this year.</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Gross margin for the second quarter this year improved to 51.4%, including tariff refunds, compared to 45.8% last year. Adjusted gross margin for the second quarter this year of 47.2% increased 140 basis points as a percentage of sales compared to 45.8% last year. The increase as a percentage of sales compared to Fiscal 2026 is due primarily to less promotional activity and higher full-price selling at Schuh, favorable changes in sales mix, license exit benefit and pricing and tariff mitigation actions across our branded businesses.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Selling and administrative expenses were 49.0% as a percentage of sales compared to 48.4% last year. Adjusted selling and administrative expenses for the second quarter this year decreased almost $6 million but deleveraged 40 basis points as a percentage of sales to 48.8% compared to 48.4% last year due to the sales decline this year. The increase as a percentage of sales primarily reflected increased occupancy and performance-based compensation expenses, partially offset by decreased selling salaries and marketing expenses. Excluding performance-based compensation expense, selling and administrative expenses were only up 10 basis points for the second quarter this year, reflecting our cost savings initiatives in a quarter with decreased sales.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Genesco’s GAAP operating income for the second quarter was $3.6 million, or 0.7% of sales this year, including tariff refunds, compared with an operating loss of $14.4 million, or 2.6% of sales in the second quarter last year. Adjusted for the Excluded Items in the second quarters of both Fiscal 2027 and Fiscal 2026, the operating loss for the second quarter was $8.3 million this year compared to a loss of $14.3 million last year. Adjusted operating margin was a loss of 1.6% of sales in the second quarter of Fiscal 2027 compared to a loss of 2.6% in the second quarter last year. </w:t>
      </w:r>
    </w:p>
    <w:p>
      <w:pPr>
        <w:pStyle w:val="TextBody"/>
        <w:bidi w:val="0"/>
        <w:jc w:val="left"/>
        <w:rPr>
          <w:rFonts w:ascii="Arial" w:hAnsi="Arial"/>
          <w:color w:val="000000"/>
          <w:sz w:val="22"/>
        </w:rPr>
      </w:pPr>
      <w:r>
        <w:rPr>
          <w:rFonts w:ascii="Arial" w:hAnsi="Arial"/>
          <w:color w:val="000000"/>
          <w:sz w:val="22"/>
        </w:rPr>
        <w:br/>
        <w:t xml:space="preserve">The effective tax rate for the second quarter was (2.5%) in Fiscal 2027 compared to (15.0%) in the second quarter last year. The adjusted tax rate, reflecting Excluded Items, was 5.7% in Fiscal 2027 compared to 26.5% in the second quarter last year. The lower adjusted tax rate for the second quarter of Fiscal 2027 compared to the second quarter last year primarily reflects a lower expected tax rate for Fiscal 2027 versus Fiscal 2026 due to the impact of the valuation allowance in certain jurisdictions combined with the income tax law changes from the One Big Beautiful Bill Act (“OBBBA”).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GAAP earnings from continuing operations were $3.5 million in the second quarter of Fiscal 2027, including tariff refunds, compared to a loss of $18.5 million in the second quarter last year. Adjusted for the Excluded Items, the second quarter loss from continuing operations was $8.8 million, or $0.83 per share, in Fiscal 2027, compared to a loss of $11.7 million, or $1.14 per share, in the second quarter last year.</w:t>
      </w:r>
    </w:p>
    <w:p>
      <w:pPr>
        <w:pStyle w:val="TextBody"/>
        <w:bidi w:val="0"/>
        <w:jc w:val="left"/>
        <w:rPr/>
      </w:pPr>
      <w:r>
        <w:rPr/>
        <w:t> </w:t>
      </w:r>
    </w:p>
    <w:p>
      <w:pPr>
        <w:pStyle w:val="TextBody"/>
        <w:bidi w:val="0"/>
        <w:jc w:val="left"/>
        <w:rPr/>
      </w:pPr>
      <w:r>
        <w:rPr/>
        <w:t> </w:t>
      </w:r>
    </w:p>
    <w:p>
      <w:pPr>
        <w:pStyle w:val="TextBody"/>
        <w:bidi w:val="0"/>
        <w:jc w:val="left"/>
        <w:rPr>
          <w:rFonts w:ascii="Arial" w:hAnsi="Arial"/>
          <w:sz w:val="22"/>
        </w:rPr>
      </w:pPr>
      <w:r>
        <w:rPr>
          <w:rFonts w:ascii="Arial" w:hAnsi="Arial"/>
          <w:b/>
          <w:color w:val="000000"/>
          <w:sz w:val="22"/>
        </w:rPr>
        <w:t>Tariff Refunds</w:t>
      </w:r>
      <w:r>
        <w:rPr>
          <w:rFonts w:ascii="Arial" w:hAnsi="Arial"/>
          <w:color w:val="000000"/>
          <w:sz w:val="22"/>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Company received $22.5 million in tariff refunds, including interest, during the second quarter this year related to its branded businesses under the International Emergency Economic Powers Act. The tariff refunds are excluded from the adjusted loss from continuing operations. In addition, no additional tariff refunds are included in the Company’s guidance for the full year.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Cost Savings Program</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In connection with its IT Transformation and programs to drive automation, operating efficiencies and spend optimization, the Company announced a new cost reduction program earlier this year which is expected to generate cost savings of $40 to $50 million between now and Fiscal 2029 with up to $20 million realized this year. This program is aimed at structurally reducing the cost base, continued investment in growth initiatives, further supporting operating margin expansion and continued utilization of AI capabilities which unlock additional opportunities.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Cash, Borrowings and Inventory</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Cash as of August 1, 2026, was $57.1 million, compared with $41.0 million as of August 2, 2025. Total debt at the end of the second quarter of Fiscal 2027 was $15.8 million compared with $71.0 million at the end of last year’s second quarter. Inventories increased 8% on a year-over-year basis primarily reflecting increased inventory at Journeys.</w:t>
      </w:r>
    </w:p>
    <w:p>
      <w:pPr>
        <w:pStyle w:val="TextBody"/>
        <w:bidi w:val="0"/>
        <w:jc w:val="left"/>
        <w:rPr>
          <w:rFonts w:ascii="Arial" w:hAnsi="Arial"/>
          <w:b/>
          <w:color w:val="000000"/>
          <w:sz w:val="22"/>
        </w:rPr>
      </w:pPr>
      <w:r>
        <w:rPr>
          <w:rFonts w:ascii="Arial" w:hAnsi="Arial"/>
          <w:b/>
          <w:color w:val="000000"/>
          <w:sz w:val="22"/>
        </w:rPr>
        <w:t>Capital Expenditures and Store Activity</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For the second quarter this year, capital expenditures were $17 million, related primarily to retail store remodels. Depreciation and amortization was $13 million. During the quarter, the Company opened three stores and closed 25 stores. The Company ended the quarter with 1,186 stores compared with 1,253 stores at the end of the second quarter last year, or a decrease of 5%. Square footage was down 5% on a year-over-year basis.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Share Repurchases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The Company did not repurchase any shares during the second quarter of Fiscal 2027. The Company has repurchased 317,503 shares during the Company’s third quarter as of August 31, 2026 and currently has $18.8 million remaining on its expanded share repurchase authorization announced in June 2023. The Company continues to view share repurchases as an important component of its balanced capital allocation strategy and is committed to deploying excess capital.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sz w:val="22"/>
        </w:rPr>
      </w:pPr>
      <w:r>
        <w:rPr>
          <w:rFonts w:ascii="Arial" w:hAnsi="Arial"/>
          <w:b/>
          <w:color w:val="000000"/>
          <w:sz w:val="22"/>
        </w:rPr>
        <w:t>Fiscal 2027 Outlook</w:t>
      </w:r>
      <w:r>
        <w:rPr>
          <w:rFonts w:ascii="Arial" w:hAnsi="Arial"/>
          <w:color w:val="000000"/>
          <w:sz w:val="22"/>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Based on better than expected second quarter results including stronger gross margins and better expense management, partially offset by lower sales assumptions for Schuh in the back half, the Company is raising its adjusted diluted earnings per share outlook for Fiscal 2027. </w:t>
      </w:r>
    </w:p>
    <w:p>
      <w:pPr>
        <w:pStyle w:val="TextBody"/>
        <w:bidi w:val="0"/>
        <w:spacing w:before="120" w:after="283"/>
        <w:jc w:val="left"/>
        <w:rPr>
          <w:color w:val="000000"/>
        </w:rPr>
      </w:pPr>
      <w:r>
        <w:rPr>
          <w:color w:val="000000"/>
        </w:rPr>
        <w:t>•</w:t>
      </w:r>
    </w:p>
    <w:p>
      <w:pPr>
        <w:pStyle w:val="TextBody"/>
        <w:bidi w:val="0"/>
        <w:spacing w:lineRule="auto" w:line="360" w:before="120" w:after="283"/>
        <w:jc w:val="left"/>
        <w:rPr>
          <w:rFonts w:ascii="Arial" w:hAnsi="Arial"/>
          <w:sz w:val="15"/>
        </w:rPr>
      </w:pPr>
      <w:r>
        <w:rPr>
          <w:rFonts w:ascii="Arial" w:hAnsi="Arial"/>
          <w:color w:val="000000"/>
          <w:sz w:val="22"/>
        </w:rPr>
        <w:t>Adjusted diluted earnings per share from continuing operations are now expected to be at the high end of the range of $2.00 to $2.40</w:t>
      </w:r>
      <w:r>
        <w:rPr>
          <w:rFonts w:ascii="Arial" w:hAnsi="Arial"/>
          <w:color w:val="000000"/>
          <w:sz w:val="15"/>
        </w:rPr>
        <w:t>3</w:t>
      </w:r>
      <w:r>
        <w:rPr>
          <w:rFonts w:ascii="Arial" w:hAnsi="Arial"/>
          <w:color w:val="000000"/>
          <w:sz w:val="22"/>
        </w:rPr>
        <w:t>, versus the midpoint of the same range in previous guidance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Comparable sales are now expected to be flat versus prior guidance of positive 1% to 2%, reflecting greater pressure at Schuh, resulting in total sales now down approximately 2% versus prior guidance of flat to down 1%</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2"/>
        </w:rPr>
      </w:pPr>
      <w:r>
        <w:rPr>
          <w:rFonts w:ascii="Arial" w:hAnsi="Arial"/>
          <w:color w:val="000000"/>
          <w:sz w:val="22"/>
        </w:rPr>
        <w:t>Operating income, reflecting stronger gross margins, is now expected to be at the high end of the previous range of $34 to $40 million, versus the prior view of the midpoint of the range</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Guidance reflects repurchases through August 31 and assumes no further share repurchases for this year and a tax rate of 30% for Fiscal 2027 but due to the valuation allowance, the tax rate for the third quarter of the year will be in the range of approximately 7% to 8%</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Conference Call, Management Commentary and Investor Presentation</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The Company has posted detailed financial commentary and a supplemental financial presentation of second quarter results on its website, www.genesco.com, in the investor relations section. The Company's live conference call on September 3, 2026, at 7:30 a.m. (Central time), may be accessed through the Company's website, www.genesco.com. To listen live, please go to the website at least 15 minutes early to register, download and install any necessary software. </w:t>
      </w:r>
    </w:p>
    <w:p>
      <w:pPr>
        <w:pStyle w:val="TextBody"/>
        <w:bidi w:val="0"/>
        <w:jc w:val="left"/>
        <w:rPr/>
      </w:pPr>
      <w:r>
        <w:rPr/>
        <w:t> </w:t>
      </w:r>
    </w:p>
    <w:p>
      <w:pPr>
        <w:pStyle w:val="TextBody"/>
        <w:bidi w:val="0"/>
        <w:jc w:val="left"/>
        <w:rPr>
          <w:rFonts w:ascii="Arial" w:hAnsi="Arial"/>
          <w:sz w:val="22"/>
        </w:rPr>
      </w:pPr>
      <w:r>
        <w:rPr>
          <w:rFonts w:ascii="Arial" w:hAnsi="Arial"/>
          <w:b/>
          <w:color w:val="000000"/>
          <w:sz w:val="22"/>
        </w:rPr>
        <w:t>Safe Harbor Statement</w:t>
      </w:r>
      <w:r>
        <w:rPr>
          <w:rFonts w:ascii="Arial" w:hAnsi="Arial"/>
          <w:color w:val="000000"/>
          <w:sz w:val="22"/>
        </w:rPr>
        <w:t xml:space="preserv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This release contains forward-looking statements, including those regarding future sales, earnings, operating income, gross margins, expenses, tariff refunds, capital expenditures, depreciation and amortization, tax rates, store openings and closures, cost reductions, share repurchases and all other statements not addressing solely historical facts or present conditions. Forward-looking statements are usually identified by or are associated with such words as “intend,” “expect,” “feel,” “should,” “believe,” “anticipate,” “optimistic,” “confident” and similar terminology. Actual results could vary materially from the expectations reflected in these statements. A number of factors could cause differences. These include adjustments to projections reflected in forward-looking statements, including those resulting from </w:t>
      </w:r>
    </w:p>
    <w:p>
      <w:pPr>
        <w:pStyle w:val="TextBody"/>
        <w:bidi w:val="0"/>
        <w:jc w:val="left"/>
        <w:rPr/>
      </w:pPr>
      <w:r>
        <w:rPr/>
        <w:t> </w:t>
      </w:r>
    </w:p>
    <w:p>
      <w:pPr>
        <w:pStyle w:val="TextBody"/>
        <w:bidi w:val="0"/>
        <w:jc w:val="left"/>
        <w:rPr/>
      </w:pPr>
      <w:r>
        <w:rPr/>
        <w:t> </w:t>
      </w:r>
    </w:p>
    <w:p>
      <w:pPr>
        <w:pStyle w:val="TextBody"/>
        <w:bidi w:val="0"/>
        <w:spacing w:lineRule="auto" w:line="360"/>
        <w:jc w:val="left"/>
        <w:rPr>
          <w:rFonts w:ascii="Arial" w:hAnsi="Arial"/>
          <w:sz w:val="11"/>
        </w:rPr>
      </w:pPr>
      <w:r>
        <w:rPr>
          <w:rFonts w:ascii="Arial" w:hAnsi="Arial"/>
          <w:color w:val="000000"/>
          <w:sz w:val="11"/>
        </w:rPr>
        <w:t>3</w:t>
      </w:r>
      <w:r>
        <w:rPr>
          <w:rFonts w:ascii="Arial" w:hAnsi="Arial"/>
          <w:color w:val="000000"/>
          <w:sz w:val="16"/>
        </w:rPr>
        <w:t>A reconciliation of the adjusted financial measures cited in the guidance to their corresponding measures as reported pursuant to GAAP is included in Schedule B to this press release.</w:t>
      </w:r>
      <w:r>
        <w:rPr>
          <w:rFonts w:ascii="Arial" w:hAnsi="Arial"/>
          <w:color w:val="000000"/>
          <w:sz w:val="11"/>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rFonts w:ascii="Arial" w:hAnsi="Arial"/>
          <w:color w:val="000000"/>
          <w:sz w:val="22"/>
        </w:rPr>
      </w:pPr>
      <w:r>
        <w:rPr>
          <w:rFonts w:ascii="Arial" w:hAnsi="Arial"/>
          <w:color w:val="000000"/>
          <w:sz w:val="22"/>
        </w:rPr>
        <w:t xml:space="preserve">weakness in store, e-commerce and shopping mall traffic, the imposition of tariffs (including the timing and amount thereof) on products imported by the Company or its vendors as well as the ability and costs to move production of products in response to tariffs; our ability to pass on price increases to our customers; restrictions on operations imposed by government entities and/or landlords, and limitations on the Company’s ability to adequately staff and operate stores. Differences from expectations could also result from store closures and effects on the business as a result of the level of consumer spending on our merchandise and interest in our brands and in general; the level and timing of promotional activity necessary to maintain inventories at appropriate levels; the Company’s ability to obtain from suppliers products that are in-demand on a timely basis and effectively manage disruptions in product supply or distribution, including disruptions as a result of pandemics or geopolitical events, including shipping disruptions near crucial trade routes; unfavorable trends in fuel costs, foreign exchange rates, foreign labor and material costs, and other factors affecting the cost of products; a disruption in shipping or increase in cost of our imported products, and other factors affecting the cost of products; our dependence on third-party vendors and licensors for the products we sell; store closures and effects on the business as a result of civil disturbances; our ability to renew our license agreements; impacts of the ongoing geopolitical conflicts around the world including, without limitation, the conflict with Iran; and other sources of market weakness in the locations in which we operate; the effectiveness of the Company's omnichannel initiatives; costs associated with proxy contest; costs associated with changes in minimum wage and overtime requirements; wage pressures; labor shortages; the effects of inflation; the evolving regulatory landscape related to our use of social media; weakness in the consumer economy and retail industry; competition and fashion trends in the Company's markets, including trends with respect to the popularity of casual and dress footwear; any failure to increase sales at our existing stores, given our high fixed expense cost structure, and in our e-commerce businesses; risks related to the potential for terrorist events; changes in buying patterns by significant wholesale customers; changes in consumer preferences; our ability to continue to complete and integrate acquisitions; our ability to expand our business and diversify our product base; impairment of goodwill in connection with acquisitions; payment related risks that could increase our operating cost, expose us to fraud or theft, subject us to potential liability and disrupt our business; and changes in the timing of holidays or in the onset of seasonal weather affecting period-to-period sales comparisons. Additional factors that could cause differences from expectations include the ability to secure allocations to refine product assortments to address consumer demand; the ability to renew leases in existing stores and control or lower occupancy costs, to open or close stores in the number and on the planned schedule, and to conduct required remodeling or refurbishment on schedule and at expected expense levels; the Company’s ability to realize anticipated cost savings, including rent savings and savings in connection with the restructuring of the Company’s information technology functions; the amount and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timing of share repurchases; our ability to make our occupancy costs more variable; the Company’s ability to achieve expected digital gains and gain market share; deterioration in the performance of individual businesses or of the Company's market value relative to its book value, resulting in impairments of fixed assets, operating lease right of use assets or intangible assets or other adverse financial consequences and the timing and amount of such impairments or other consequences; unexpected changes to the market for the Company's shares or for the retail sector in general; costs and reputational harm as a result of disruptions in the Company’s business or information technology systems either by security breaches and incidents or by potential problems associated with the implementation of new or upgraded systems or as the result of the restructuring of the Company’s information technology functions; risks that our efforts to integrate AI into our business operations may not be successful and could result in reputational harm and /or liability; changes in tax laws and tax rates and the Company’s ability to realize any anticipated tax benefits in both the amount and timeframe anticipated; and the cost and outcome of litigation, investigations, environmental matters and other disputes involving the Company. Additional factors are cited in the "Risk Factors," "Legal Proceedings" and "Management's Discussion and Analysis of Financial Condition and Results of Operations" sections of, and elsewhere in, the Company’s SEC filings, copies of which may be obtained from the SEC website, www.sec.gov, or by contacting the investor relations department of Genesco via the Company’s website, www.genesco.com. Many of the factors that will determine the outcome of the subject matter of this release are beyond Genesco's ability to control or predict. Genesco undertakes no obligation to release publicly the results of any revisions to these forward-looking statements that may be made to reflect events or circumstances after the date hereof or to reflect the occurrence of unanticipated events. Forward-looking statements reflect the expectations of the Company at the time they are made. The Company disclaims any obligation to update such statements.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Genesco Inc.</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Genesco Inc. (NYSE: GCO) is a Footwear First company with distinctively positioned retail and lifestyle brands and proven omnichannel capabilities offering customers the footwear they desire in engaging shopping environments, including more than 1,180 retail stores and branded e-commerce websites. Its Journeys, Little Burgundy and Schuh brands serve teens, kids and young adults with on-trend fashion footwear that inspires youth culture in the U.S., Canada and the U.K. Johnston &amp; Murphy serves successful, affluent men and women with premium footwear, apparel and accessories in the U.S. and Canada, and Genesco Brands Group sells branded lifestyle footwear to leading retailers under licensed brands including Wrangler, Dockers and Starter. Founded in 1924, Genesco is based in Nashville, Tennessee. For more information on Genesco and its operating divisions, please visit www.genesco.com.</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rFonts w:ascii="Arial" w:hAnsi="Arial"/>
          <w:sz w:val="22"/>
        </w:rPr>
      </w:pPr>
      <w:r>
        <w:rPr>
          <w:rFonts w:ascii="Arial" w:hAnsi="Arial"/>
          <w:b/>
          <w:color w:val="000000"/>
          <w:sz w:val="22"/>
        </w:rPr>
        <w:t>Genesco Financial Contacts</w:t>
      </w:r>
      <w:r>
        <w:rPr>
          <w:rFonts w:ascii="Arial" w:hAnsi="Arial"/>
          <w:color w:val="000000"/>
          <w:sz w:val="22"/>
        </w:rPr>
        <w:br/>
        <w:t>Jonathan M. Collins, Senior Vice President, Finance, Chief Financial Officer</w:t>
        <w:br/>
        <w:t xml:space="preserve">(615) 367-7465 / </w:t>
      </w:r>
      <w:r>
        <w:rPr>
          <w:rFonts w:ascii="Arial" w:hAnsi="Arial"/>
          <w:color w:val="0000FF"/>
          <w:sz w:val="22"/>
          <w:u w:val="single"/>
        </w:rPr>
        <w:t>jcollins1@genesco.com</w:t>
      </w:r>
      <w:r>
        <w:rPr>
          <w:rFonts w:ascii="Arial" w:hAnsi="Arial"/>
          <w:color w:val="000000"/>
          <w:sz w:val="22"/>
        </w:rPr>
        <w:t xml:space="preserve">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2"/>
        </w:rPr>
        <w:t>Darryl R. MacQuarrie, Senior Director, FP&amp;A &amp; Investor Relations</w:t>
      </w:r>
      <w:r>
        <w:rPr>
          <w:rFonts w:ascii="Times New Roman" w:hAnsi="Times New Roman"/>
          <w:color w:val="000000"/>
          <w:sz w:val="20"/>
        </w:rPr>
        <w:t xml:space="preserve"> </w:t>
      </w:r>
    </w:p>
    <w:p>
      <w:pPr>
        <w:pStyle w:val="TextBody"/>
        <w:bidi w:val="0"/>
        <w:jc w:val="both"/>
        <w:rPr>
          <w:rFonts w:ascii="Arial" w:hAnsi="Arial"/>
          <w:sz w:val="22"/>
        </w:rPr>
      </w:pPr>
      <w:r>
        <w:rPr>
          <w:rFonts w:ascii="Arial" w:hAnsi="Arial"/>
          <w:color w:val="000000"/>
          <w:sz w:val="22"/>
        </w:rPr>
        <w:t xml:space="preserve">(615) 308-5629 / </w:t>
      </w:r>
      <w:r>
        <w:rPr>
          <w:rFonts w:ascii="Arial" w:hAnsi="Arial"/>
          <w:color w:val="0000FF"/>
          <w:sz w:val="22"/>
          <w:u w:val="single"/>
        </w:rPr>
        <w:t>dmacquarrie@genesco.com</w:t>
      </w:r>
    </w:p>
    <w:p>
      <w:pPr>
        <w:pStyle w:val="TextBody"/>
        <w:bidi w:val="0"/>
        <w:jc w:val="left"/>
        <w:rPr/>
      </w:pPr>
      <w:r>
        <w:rPr/>
        <w:t> </w:t>
      </w:r>
    </w:p>
    <w:p>
      <w:pPr>
        <w:pStyle w:val="TextBody"/>
        <w:bidi w:val="0"/>
        <w:jc w:val="left"/>
        <w:rPr>
          <w:rFonts w:ascii="Arial" w:hAnsi="Arial"/>
          <w:sz w:val="22"/>
        </w:rPr>
      </w:pPr>
      <w:r>
        <w:rPr>
          <w:rFonts w:ascii="Arial" w:hAnsi="Arial"/>
          <w:b/>
          <w:color w:val="000000"/>
          <w:sz w:val="22"/>
        </w:rPr>
        <w:t>Genesco Media Contact</w:t>
      </w:r>
      <w:r>
        <w:rPr>
          <w:rFonts w:ascii="Arial" w:hAnsi="Arial"/>
          <w:color w:val="000000"/>
          <w:sz w:val="22"/>
        </w:rPr>
        <w:br/>
        <w:t>Claire S. McCall, Director, Corporate Relations</w:t>
        <w:br/>
        <w:t xml:space="preserve">(615) 308-2483 / </w:t>
      </w:r>
      <w:r>
        <w:rPr>
          <w:rFonts w:ascii="Arial" w:hAnsi="Arial"/>
          <w:color w:val="0000FF"/>
          <w:sz w:val="22"/>
          <w:u w:val="single"/>
        </w:rPr>
        <w:t>cmccall@genesco.com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GENESCO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7"/>
        <w:gridCol w:w="146"/>
        <w:gridCol w:w="211"/>
        <w:gridCol w:w="781"/>
        <w:gridCol w:w="166"/>
        <w:gridCol w:w="146"/>
        <w:gridCol w:w="171"/>
        <w:gridCol w:w="670"/>
        <w:gridCol w:w="301"/>
        <w:gridCol w:w="146"/>
        <w:gridCol w:w="211"/>
        <w:gridCol w:w="781"/>
        <w:gridCol w:w="166"/>
        <w:gridCol w:w="146"/>
        <w:gridCol w:w="168"/>
        <w:gridCol w:w="660"/>
        <w:gridCol w:w="518"/>
      </w:tblGrid>
      <w:tr>
        <w:trPr/>
        <w:tc>
          <w:tcPr>
            <w:tcW w:w="4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48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Quarter 2</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August 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of</w:t>
              <w:br/>
              <w:t>Net Sales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of</w:t>
              <w:br/>
              <w:t>Net Sales</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529,858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17"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Gross margin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7"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Selling and administrative expenses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7" w:type="dxa"/>
            <w:tcBorders>
              <w:bottom w:val="single" w:sz="4" w:space="0" w:color="000000"/>
            </w:tcBorders>
            <w:shd w:fill="CFF0FC"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Asset impairments and other, net</w:t>
            </w:r>
            <w:r>
              <w:rPr>
                <w:rFonts w:ascii="Times New Roman" w:hAnsi="Times New Roman"/>
                <w:color w:val="000000"/>
                <w:sz w:val="13"/>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components of 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7"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Interest, net</w:t>
            </w:r>
            <w:r>
              <w:rPr>
                <w:rFonts w:ascii="Times New Roman" w:hAnsi="Times New Roman"/>
                <w:color w:val="000000"/>
                <w:sz w:val="13"/>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Earnings (loss)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Earnings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81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Earnings (Loss)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Before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earnings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Before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earnings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8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a $21.8 million gross margin gain in the second quarter of Fiscal 2027 for the refund of tariffs.</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a $0.9 million charge for costs associated with information technology transformation in the second quarter of Fiscal 2027.</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an $8.9 million charge in the second quarter of Fiscal 2027 which includes a $6.9 million charge for costs related to proxy contest, a $1.0 million charge for other legal matters, a $0.4 million charge for costs associated with information technology transformation, a $0.5 million charge for severance and other restructuring and $0.1 million for store restructuring. Includes a $0.1 million charge for severance in the second quarter of Fiscal 2026.</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Includes $0.7 million of interest income in the second quarter of Fiscal 2027 related to tariff refunds.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GENESCO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82"/>
        <w:gridCol w:w="146"/>
        <w:gridCol w:w="211"/>
        <w:gridCol w:w="931"/>
        <w:gridCol w:w="166"/>
        <w:gridCol w:w="146"/>
        <w:gridCol w:w="174"/>
        <w:gridCol w:w="684"/>
        <w:gridCol w:w="301"/>
        <w:gridCol w:w="146"/>
        <w:gridCol w:w="211"/>
        <w:gridCol w:w="931"/>
        <w:gridCol w:w="166"/>
        <w:gridCol w:w="146"/>
        <w:gridCol w:w="172"/>
        <w:gridCol w:w="673"/>
        <w:gridCol w:w="519"/>
      </w:tblGrid>
      <w:tr>
        <w:trPr/>
        <w:tc>
          <w:tcPr>
            <w:tcW w:w="4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August 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of</w:t>
              <w:br/>
              <w:t>Net Sales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of</w:t>
              <w:br/>
              <w:t>Net Sales</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1,016,883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515,847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50.7</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82"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Gross margin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Selling and administrative expenses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513,960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2" w:type="dxa"/>
            <w:tcBorders>
              <w:bottom w:val="single" w:sz="4" w:space="0" w:color="000000"/>
            </w:tcBorders>
            <w:shd w:fill="CFF0FC"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Asset impairments and other, net</w:t>
            </w:r>
            <w:r>
              <w:rPr>
                <w:rFonts w:ascii="Times New Roman" w:hAnsi="Times New Roman"/>
                <w:color w:val="000000"/>
                <w:sz w:val="13"/>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components of net periodic benefit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Interest, net</w:t>
            </w:r>
            <w:r>
              <w:rPr>
                <w:rFonts w:ascii="Times New Roman" w:hAnsi="Times New Roman"/>
                <w:color w:val="000000"/>
                <w:sz w:val="13"/>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8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Earnings (Loss)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Before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Before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a $21.8 million gain in the first six months of Fiscal 2027 for the refund of tariffs and a $0.1 million gain in the first six months of Fiscal 2027 for the reversal of an inventory write-down in Genesco Brands Group related to license exits.</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a $2.6 million charge for costs associated with information technology transformation in the first six months of Fiscal 2027.</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a $1.2 million gain in the first six months of Fiscal 2027 which includes a $13.4 million gain related to payment card interchange fee litigation, partially offset by a $6.9 million charge for costs related to proxy contest, a $3.1 million charge for store restructuring, a $1.0 million charge for other legal matters, a $0.6 million charge for costs associated with information technology transformation and a $0.6 million charge for severance and other restructuring. Includes a $0.4 million charge for severance in the first six months of Fiscal 2026.</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Includes $0.7 million of interest income in the first six months of Fiscal 2027 related to tariff refunds.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GENESCO INC.</w:t>
      </w:r>
    </w:p>
    <w:p>
      <w:pPr>
        <w:pStyle w:val="TextBody"/>
        <w:bidi w:val="0"/>
        <w:jc w:val="center"/>
        <w:rPr>
          <w:rFonts w:ascii="Times New Roman" w:hAnsi="Times New Roman"/>
          <w:b/>
          <w:color w:val="000000"/>
          <w:sz w:val="20"/>
        </w:rPr>
      </w:pPr>
      <w:r>
        <w:rPr>
          <w:rFonts w:ascii="Times New Roman" w:hAnsi="Times New Roman"/>
          <w:b/>
          <w:color w:val="000000"/>
          <w:sz w:val="20"/>
        </w:rPr>
        <w:t>Sales/Earnings Summary by Segment</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07"/>
        <w:gridCol w:w="146"/>
        <w:gridCol w:w="211"/>
        <w:gridCol w:w="781"/>
        <w:gridCol w:w="166"/>
        <w:gridCol w:w="146"/>
        <w:gridCol w:w="172"/>
        <w:gridCol w:w="674"/>
        <w:gridCol w:w="301"/>
        <w:gridCol w:w="146"/>
        <w:gridCol w:w="211"/>
        <w:gridCol w:w="781"/>
        <w:gridCol w:w="166"/>
        <w:gridCol w:w="146"/>
        <w:gridCol w:w="169"/>
        <w:gridCol w:w="664"/>
        <w:gridCol w:w="518"/>
      </w:tblGrid>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Quarter 2</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August 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of</w:t>
              <w:br/>
              <w:t>Net Sales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of</w:t>
              <w:br/>
              <w:t>Net Sales</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Journeys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Schuh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Johnston &amp; Murphy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Genesco Brands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Sales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529,858</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545,965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Journeys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7"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Schuh Group</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7"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Johnston &amp; Murphy Group</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7"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Genesco Brands Group</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7"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Corporate and Other</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 (loss)</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3,617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components of net periodic benefit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7" w:type="dxa"/>
            <w:tcBorders>
              <w:bottom w:val="single" w:sz="4" w:space="0" w:color="000000"/>
            </w:tcBorders>
            <w:shd w:fill="CFF0FC"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Interest, net</w:t>
            </w:r>
            <w:r>
              <w:rPr>
                <w:rFonts w:ascii="Times New Roman" w:hAnsi="Times New Roman"/>
                <w:color w:val="000000"/>
                <w:sz w:val="13"/>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(loss)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Earnings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a $0.1 million charge for costs associated with information technology transformation in the second quarter of Fiscal 2027.</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a $13.3 million gain in the second quarter of Fiscal 2027 for the refund of tariffs.</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an $8.5 million gain in the second quarter of Fiscal 2027 for the refund of tariffs.</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a $9.7 million charge in the second quarter of Fiscal 2027 which includes a $6.9 million charge for costs related to proxy contest, a $1.0 million charge for other legal matters, a $1.2 million charge for costs associated with information technology transformation, a $0.5 million charge for severance and other restructuring and $0.1 million for store restructuring. Includes a $0.1 million charge for severance in the second quarter of Fiscal 2026.</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Includes $0.7 million of interest income in the second quarter of Fiscal 2027 related to tariff refunds.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GENESCO INC.</w:t>
      </w:r>
    </w:p>
    <w:p>
      <w:pPr>
        <w:pStyle w:val="TextBody"/>
        <w:bidi w:val="0"/>
        <w:jc w:val="center"/>
        <w:rPr>
          <w:rFonts w:ascii="Times New Roman" w:hAnsi="Times New Roman"/>
          <w:b/>
          <w:color w:val="000000"/>
          <w:sz w:val="20"/>
        </w:rPr>
      </w:pPr>
      <w:r>
        <w:rPr>
          <w:rFonts w:ascii="Times New Roman" w:hAnsi="Times New Roman"/>
          <w:b/>
          <w:color w:val="000000"/>
          <w:sz w:val="20"/>
        </w:rPr>
        <w:t>Sales/Earnings Summary by Segment</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73"/>
        <w:gridCol w:w="146"/>
        <w:gridCol w:w="211"/>
        <w:gridCol w:w="931"/>
        <w:gridCol w:w="166"/>
        <w:gridCol w:w="146"/>
        <w:gridCol w:w="175"/>
        <w:gridCol w:w="688"/>
        <w:gridCol w:w="301"/>
        <w:gridCol w:w="146"/>
        <w:gridCol w:w="211"/>
        <w:gridCol w:w="931"/>
        <w:gridCol w:w="166"/>
        <w:gridCol w:w="146"/>
        <w:gridCol w:w="173"/>
        <w:gridCol w:w="677"/>
        <w:gridCol w:w="518"/>
      </w:tblGrid>
      <w:tr>
        <w:trPr/>
        <w:tc>
          <w:tcPr>
            <w:tcW w:w="4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4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August 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 of</w:t>
              <w:br/>
              <w:t>Net Sales</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of</w:t>
              <w:br/>
              <w:t>Net Sales</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Journeys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603,159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Schuh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Johnston &amp; Murphy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Genesco Brands Group</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1,016,883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Journeys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3"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Schuh Group</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3"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Johnston &amp; Murphy Group</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3"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Genesco Brands Group</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73"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Corporate and Other</w:t>
            </w:r>
            <w:r>
              <w:rPr>
                <w:rFonts w:ascii="Times New Roman" w:hAnsi="Times New Roman"/>
                <w:color w:val="000000"/>
                <w:sz w:val="13"/>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components of net periodic benefit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3" w:type="dxa"/>
            <w:tcBorders>
              <w:bottom w:val="single" w:sz="4" w:space="0" w:color="000000"/>
            </w:tcBorders>
            <w:shd w:fill="CFF0FC"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Interest, net</w:t>
            </w:r>
            <w:r>
              <w:rPr>
                <w:rFonts w:ascii="Times New Roman" w:hAnsi="Times New Roman"/>
                <w:color w:val="000000"/>
                <w:sz w:val="13"/>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continuing operations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a $0.4 million charge for costs associated with information technology transformation in the first six months of Fiscal 2027.</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a $13.3 million gain in the first six months of Fiscal 2027 for the refund of tariffs.</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an $8.5 million gain in the first six months of Fiscal 2027 for the refund of tariffs and a $0.1 million gain for the reversal of an inventory write-down related to license exits.</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a $1.0 million charge in the first six months of Fiscal 2027 which includes a $6.9 million charge for costs related to proxy contest, a $3.1 million charge for store restructuring, a $2.8 million charge for costs associated with information technology transformation, a $1.0 million charge for other legal matters and a $0.6 million charge for severance and other restructuring, partially offset by a $13.4 million gain related to payment card interchange fee litigation. Includes a $0.4 million charge for severance in the first six months of Fiscal 2026.</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Includes $0.7 million of interest income in the first six months of Fiscal 2027 related to tariff refunds.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GENESCO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center"/>
        <w:rPr/>
      </w:pPr>
      <w:r>
        <w:rPr/>
        <w:t> </w:t>
      </w:r>
    </w:p>
    <w:tbl>
      <w:tblPr>
        <w:tblW w:w="6764" w:type="dxa"/>
        <w:jc w:val="left"/>
        <w:tblInd w:w="0" w:type="dxa"/>
        <w:tblLayout w:type="fixed"/>
        <w:tblCellMar>
          <w:top w:w="28" w:type="dxa"/>
          <w:left w:w="28" w:type="dxa"/>
          <w:bottom w:w="28" w:type="dxa"/>
          <w:right w:w="28" w:type="dxa"/>
        </w:tblCellMar>
      </w:tblPr>
      <w:tblGrid>
        <w:gridCol w:w="3481"/>
        <w:gridCol w:w="249"/>
        <w:gridCol w:w="1101"/>
        <w:gridCol w:w="146"/>
        <w:gridCol w:w="146"/>
        <w:gridCol w:w="249"/>
        <w:gridCol w:w="1101"/>
        <w:gridCol w:w="291"/>
      </w:tblGrid>
      <w:tr>
        <w:trPr/>
        <w:tc>
          <w:tcPr>
            <w:tcW w:w="348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August 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539,670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501,008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49,572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current assets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676,292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645,891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238,626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 of use assets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475,221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and other intangibles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36,744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8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Assets</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1,504,233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1,421,925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193,016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long-term debt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operating lease liabilities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101,335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current liabilities</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426,755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414,355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liabilities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459,420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395,186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556,975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506,372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8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Liabilities and Equity</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1,504,233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1,421,925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GENESCO INC.</w:t>
      </w:r>
    </w:p>
    <w:p>
      <w:pPr>
        <w:pStyle w:val="TextBody"/>
        <w:bidi w:val="0"/>
        <w:jc w:val="center"/>
        <w:rPr>
          <w:rFonts w:ascii="Times New Roman" w:hAnsi="Times New Roman"/>
          <w:b/>
          <w:color w:val="000000"/>
          <w:sz w:val="20"/>
        </w:rPr>
      </w:pPr>
      <w:r>
        <w:rPr>
          <w:rFonts w:ascii="Times New Roman" w:hAnsi="Times New Roman"/>
          <w:b/>
          <w:color w:val="000000"/>
          <w:sz w:val="20"/>
        </w:rPr>
        <w:t>Store Count Activity</w:t>
      </w:r>
    </w:p>
    <w:p>
      <w:pPr>
        <w:pStyle w:val="TextBody"/>
        <w:bidi w:val="0"/>
        <w:jc w:val="center"/>
        <w:rPr/>
      </w:pPr>
      <w:r>
        <w:rPr/>
        <w:t> </w:t>
      </w:r>
    </w:p>
    <w:tbl>
      <w:tblPr>
        <w:tblW w:w="8197" w:type="dxa"/>
        <w:jc w:val="left"/>
        <w:tblInd w:w="0" w:type="dxa"/>
        <w:tblLayout w:type="fixed"/>
        <w:tblCellMar>
          <w:top w:w="28" w:type="dxa"/>
          <w:left w:w="28" w:type="dxa"/>
          <w:bottom w:w="28" w:type="dxa"/>
          <w:right w:w="28" w:type="dxa"/>
        </w:tblCellMar>
      </w:tblPr>
      <w:tblGrid>
        <w:gridCol w:w="2311"/>
        <w:gridCol w:w="174"/>
        <w:gridCol w:w="681"/>
        <w:gridCol w:w="146"/>
        <w:gridCol w:w="175"/>
        <w:gridCol w:w="381"/>
        <w:gridCol w:w="146"/>
        <w:gridCol w:w="180"/>
        <w:gridCol w:w="391"/>
        <w:gridCol w:w="146"/>
        <w:gridCol w:w="174"/>
        <w:gridCol w:w="681"/>
        <w:gridCol w:w="146"/>
        <w:gridCol w:w="227"/>
        <w:gridCol w:w="329"/>
        <w:gridCol w:w="146"/>
        <w:gridCol w:w="180"/>
        <w:gridCol w:w="391"/>
        <w:gridCol w:w="146"/>
        <w:gridCol w:w="174"/>
        <w:gridCol w:w="68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Balance</w:t>
              <w:br/>
              <w:t>02/01/25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Open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Close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Balance</w:t>
              <w:br/>
              <w:t>01/31/26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Open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Close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Balance</w:t>
              <w:br/>
              <w:t>08/01/26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Journeys Group</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Schuh Group</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Johnston &amp; Murphy Group</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Retail Stores</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5777" w:type="dxa"/>
        <w:jc w:val="left"/>
        <w:tblInd w:w="0" w:type="dxa"/>
        <w:tblLayout w:type="fixed"/>
        <w:tblCellMar>
          <w:top w:w="28" w:type="dxa"/>
          <w:left w:w="28" w:type="dxa"/>
          <w:bottom w:w="28" w:type="dxa"/>
          <w:right w:w="28" w:type="dxa"/>
        </w:tblCellMar>
      </w:tblPr>
      <w:tblGrid>
        <w:gridCol w:w="2311"/>
        <w:gridCol w:w="174"/>
        <w:gridCol w:w="681"/>
        <w:gridCol w:w="146"/>
        <w:gridCol w:w="227"/>
        <w:gridCol w:w="329"/>
        <w:gridCol w:w="146"/>
        <w:gridCol w:w="180"/>
        <w:gridCol w:w="391"/>
        <w:gridCol w:w="146"/>
        <w:gridCol w:w="174"/>
        <w:gridCol w:w="68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Balance</w:t>
              <w:br/>
              <w:t>05/02/26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Open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Close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Balance</w:t>
              <w:br/>
              <w:t>08/01/26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Journeys Group</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Schuh Group</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Johnston &amp; Murphy Group</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Retail Stores</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GENESCO INC.</w:t>
      </w:r>
    </w:p>
    <w:p>
      <w:pPr>
        <w:pStyle w:val="TextBody"/>
        <w:bidi w:val="0"/>
        <w:jc w:val="center"/>
        <w:rPr>
          <w:rFonts w:ascii="Times New Roman" w:hAnsi="Times New Roman"/>
          <w:b/>
          <w:color w:val="000000"/>
          <w:sz w:val="20"/>
        </w:rPr>
      </w:pPr>
      <w:r>
        <w:rPr>
          <w:rFonts w:ascii="Times New Roman" w:hAnsi="Times New Roman"/>
          <w:b/>
          <w:color w:val="000000"/>
          <w:sz w:val="20"/>
        </w:rPr>
        <w:t>Comparable Sales</w:t>
      </w:r>
    </w:p>
    <w:p>
      <w:pPr>
        <w:pStyle w:val="TextBody"/>
        <w:bidi w:val="0"/>
        <w:jc w:val="center"/>
        <w:rPr/>
      </w:pPr>
      <w:r>
        <w:rPr/>
        <w:t> </w:t>
      </w:r>
    </w:p>
    <w:tbl>
      <w:tblPr>
        <w:tblW w:w="7733" w:type="dxa"/>
        <w:jc w:val="left"/>
        <w:tblInd w:w="0" w:type="dxa"/>
        <w:tblLayout w:type="fixed"/>
        <w:tblCellMar>
          <w:top w:w="28" w:type="dxa"/>
          <w:left w:w="28" w:type="dxa"/>
          <w:bottom w:w="28" w:type="dxa"/>
          <w:right w:w="28" w:type="dxa"/>
        </w:tblCellMar>
      </w:tblPr>
      <w:tblGrid>
        <w:gridCol w:w="2626"/>
        <w:gridCol w:w="309"/>
        <w:gridCol w:w="576"/>
        <w:gridCol w:w="301"/>
        <w:gridCol w:w="309"/>
        <w:gridCol w:w="576"/>
        <w:gridCol w:w="271"/>
        <w:gridCol w:w="146"/>
        <w:gridCol w:w="309"/>
        <w:gridCol w:w="576"/>
        <w:gridCol w:w="433"/>
        <w:gridCol w:w="309"/>
        <w:gridCol w:w="576"/>
        <w:gridCol w:w="416"/>
      </w:tblGrid>
      <w:tr>
        <w:trPr/>
        <w:tc>
          <w:tcPr>
            <w:tcW w:w="262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August 1,</w:t>
              <w:b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w:t>
              <w:b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August 1,</w:t>
              <w:br/>
              <w:t>2026</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2,</w:t>
              <w:b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Journeys Group</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Schuh Group</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Johnston &amp; Murphy Group</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2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Comparable Sales</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Same Store Sales</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E-commerce Sales</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Schedule B</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Genesco Inc.</w:t>
      </w:r>
    </w:p>
    <w:p>
      <w:pPr>
        <w:pStyle w:val="TextBody"/>
        <w:bidi w:val="0"/>
        <w:jc w:val="center"/>
        <w:rPr>
          <w:rFonts w:ascii="Times New Roman" w:hAnsi="Times New Roman"/>
          <w:color w:val="000000"/>
          <w:sz w:val="20"/>
        </w:rPr>
      </w:pPr>
      <w:r>
        <w:rPr>
          <w:rFonts w:ascii="Times New Roman" w:hAnsi="Times New Roman"/>
          <w:color w:val="000000"/>
          <w:sz w:val="20"/>
        </w:rPr>
        <w:t>Adjustments to Reported Earnings (Loss) from Continuing Operations</w:t>
      </w:r>
    </w:p>
    <w:p>
      <w:pPr>
        <w:pStyle w:val="TextBody"/>
        <w:bidi w:val="0"/>
        <w:jc w:val="center"/>
        <w:rPr>
          <w:rFonts w:ascii="Times New Roman" w:hAnsi="Times New Roman"/>
          <w:color w:val="000000"/>
          <w:sz w:val="20"/>
        </w:rPr>
      </w:pPr>
      <w:r>
        <w:rPr>
          <w:rFonts w:ascii="Times New Roman" w:hAnsi="Times New Roman"/>
          <w:color w:val="000000"/>
          <w:sz w:val="20"/>
        </w:rPr>
        <w:t xml:space="preserve">Three Months Ended August 1, 2026 and August 2,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believes that disclosure of earnings (loss) and earnings (loss) per share from continuing operations and operating income (loss) adjusted for the items not reflected in the previously announced expectations will be meaningful to investors, especially in light of the impact of such items on the results.</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212"/>
        <w:gridCol w:w="196"/>
        <w:gridCol w:w="661"/>
        <w:gridCol w:w="166"/>
        <w:gridCol w:w="196"/>
        <w:gridCol w:w="661"/>
        <w:gridCol w:w="166"/>
        <w:gridCol w:w="236"/>
        <w:gridCol w:w="583"/>
        <w:gridCol w:w="166"/>
        <w:gridCol w:w="146"/>
        <w:gridCol w:w="196"/>
        <w:gridCol w:w="376"/>
        <w:gridCol w:w="146"/>
        <w:gridCol w:w="196"/>
        <w:gridCol w:w="661"/>
        <w:gridCol w:w="166"/>
        <w:gridCol w:w="220"/>
        <w:gridCol w:w="542"/>
        <w:gridCol w:w="313"/>
      </w:tblGrid>
      <w:tr>
        <w:trPr/>
        <w:tc>
          <w:tcPr>
            <w:tcW w:w="4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Quarter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Quarter 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5"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per share amounts)</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of</w:t>
              <w:br/>
              <w:t>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b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Pretax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Net of</w:t>
              <w:br/>
              <w:t>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 Share</w:t>
              <w:br/>
              <w:t>Amounts</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Earnings (Loss) from continuing operations, as reported</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3,482</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0.32</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(18,456</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313"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4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 adjustment:</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2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Tariff refunds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(21,780</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(20,308</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(1.86</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3"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2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Reversal of inventory write-down related to exit of licenses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0.00</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42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Total gross margin adjustment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(21,805</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(20,331</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(1.86</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3"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0" w:right="0" w:firstLine="100"/>
              <w:jc w:val="left"/>
              <w:rPr/>
            </w:pPr>
            <w:r>
              <w:rPr/>
              <w:t> </w:t>
            </w:r>
          </w:p>
        </w:tc>
      </w:tr>
      <w:tr>
        <w:trPr/>
        <w:tc>
          <w:tcPr>
            <w:tcW w:w="42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4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and administrative expense adjustment:</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42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Costs associated with information technology transformation</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900</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845</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0.08</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3"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4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4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 impairments and other adjustments:</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2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Asset impairment charges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0.00</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3"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2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Severance and other restructuring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459</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427</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0.04</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2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Costs associated with information technology transformation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440</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411</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0.04</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3"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2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Gain related to payment card interchange fee litigation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(0.01</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2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Store restructuring charges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115</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117</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0.01</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3"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2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Costs related to proxy contest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6,890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6,424</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0.59</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2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legal matters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1,040</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970</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0.09</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3"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2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Impact of less dilutive shares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(0.03</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42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asset impairments and other adjustments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8,944</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8,305</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0.73</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3"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0" w:right="0" w:firstLine="100"/>
              <w:jc w:val="left"/>
              <w:rPr/>
            </w:pPr>
            <w:r>
              <w:rPr/>
              <w:t> </w:t>
            </w:r>
          </w:p>
        </w:tc>
      </w:tr>
      <w:tr>
        <w:trPr/>
        <w:tc>
          <w:tcPr>
            <w:tcW w:w="42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net adjustment related to interest income on tariffs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(738</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(688</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(0.06</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4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 adjustments:</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7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right"/>
              <w:rPr/>
            </w:pPr>
            <w:r>
              <w:rPr/>
              <w:t> </w:t>
            </w:r>
          </w:p>
        </w:tc>
      </w:tr>
      <w:tr>
        <w:trPr/>
        <w:tc>
          <w:tcPr>
            <w:tcW w:w="42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Tax impact share based awards</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313"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2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One big beautiful bill impact</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0.00</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6,849</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0.66</w:t>
            </w:r>
          </w:p>
        </w:tc>
        <w:tc>
          <w:tcPr>
            <w:tcW w:w="313"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2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tax items</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(383</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(0.04</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42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income tax expense adjustments</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(383</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(0.04</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6,660</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0.65</w:t>
            </w:r>
          </w:p>
        </w:tc>
        <w:tc>
          <w:tcPr>
            <w:tcW w:w="313"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4212"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6"/>
              </w:rPr>
              <w:t xml:space="preserve">Adjusted loss from continuing operations </w:t>
            </w:r>
            <w:r>
              <w:rPr>
                <w:rFonts w:ascii="Times New Roman" w:hAnsi="Times New Roman"/>
                <w:color w:val="000000"/>
                <w:sz w:val="11"/>
              </w:rPr>
              <w:t>(1) and (2)</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(8,770</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(0.83</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(11,708</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313"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283"/>
        <w:jc w:val="both"/>
        <w:rPr/>
      </w:pPr>
      <w:r>
        <w:rPr/>
        <w:t> </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adjusted tax rate for the second quarter of Fiscal 2027 and 2026 is 5.7% and 26.5%, respectively.</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EPS reflects 10.5 million and 10.3 million share count for the second quarter of Fiscal 2027 and 2026, respectively, which excludes common stock equivalents in both periods due to the adjusted loss from continuing operations. Earnings per share from continuing operations in Fiscal 2027 includes equivalents of 0.4 million shares for total shares of 10.9 million.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Schedule B</w:t>
      </w:r>
    </w:p>
    <w:p>
      <w:pPr>
        <w:pStyle w:val="TextBody"/>
        <w:bidi w:val="0"/>
        <w:jc w:val="center"/>
        <w:rPr>
          <w:rFonts w:ascii="Times New Roman" w:hAnsi="Times New Roman"/>
          <w:color w:val="000000"/>
          <w:sz w:val="20"/>
        </w:rPr>
      </w:pPr>
      <w:r>
        <w:rPr>
          <w:rFonts w:ascii="Times New Roman" w:hAnsi="Times New Roman"/>
          <w:color w:val="000000"/>
          <w:sz w:val="20"/>
        </w:rPr>
        <w:t>Genesco Inc.</w:t>
      </w:r>
    </w:p>
    <w:p>
      <w:pPr>
        <w:pStyle w:val="TextBody"/>
        <w:bidi w:val="0"/>
        <w:jc w:val="center"/>
        <w:rPr>
          <w:rFonts w:ascii="Times New Roman" w:hAnsi="Times New Roman"/>
          <w:color w:val="000000"/>
          <w:sz w:val="20"/>
        </w:rPr>
      </w:pPr>
      <w:r>
        <w:rPr>
          <w:rFonts w:ascii="Times New Roman" w:hAnsi="Times New Roman"/>
          <w:color w:val="000000"/>
          <w:sz w:val="20"/>
        </w:rPr>
        <w:t>Adjustments to Reported Operating Income (Loss)</w:t>
      </w:r>
    </w:p>
    <w:p>
      <w:pPr>
        <w:pStyle w:val="TextBody"/>
        <w:bidi w:val="0"/>
        <w:jc w:val="center"/>
        <w:rPr>
          <w:rFonts w:ascii="Times New Roman" w:hAnsi="Times New Roman"/>
          <w:color w:val="000000"/>
          <w:sz w:val="20"/>
        </w:rPr>
      </w:pPr>
      <w:r>
        <w:rPr>
          <w:rFonts w:ascii="Times New Roman" w:hAnsi="Times New Roman"/>
          <w:color w:val="000000"/>
          <w:sz w:val="20"/>
        </w:rPr>
        <w:t xml:space="preserve">Three Months Ended August 1, 2026 and August 2, 2025 </w:t>
      </w:r>
    </w:p>
    <w:p>
      <w:pPr>
        <w:pStyle w:val="TextBody"/>
        <w:bidi w:val="0"/>
        <w:jc w:val="left"/>
        <w:rPr/>
      </w:pPr>
      <w:r>
        <w:rPr/>
        <w:t> </w:t>
      </w:r>
    </w:p>
    <w:tbl>
      <w:tblPr>
        <w:tblW w:w="8950" w:type="dxa"/>
        <w:jc w:val="left"/>
        <w:tblInd w:w="0" w:type="dxa"/>
        <w:tblLayout w:type="fixed"/>
        <w:tblCellMar>
          <w:top w:w="28" w:type="dxa"/>
          <w:left w:w="28" w:type="dxa"/>
          <w:bottom w:w="28" w:type="dxa"/>
          <w:right w:w="28" w:type="dxa"/>
        </w:tblCellMar>
      </w:tblPr>
      <w:tblGrid>
        <w:gridCol w:w="3364"/>
        <w:gridCol w:w="371"/>
        <w:gridCol w:w="1299"/>
        <w:gridCol w:w="390"/>
        <w:gridCol w:w="355"/>
        <w:gridCol w:w="1239"/>
        <w:gridCol w:w="166"/>
        <w:gridCol w:w="314"/>
        <w:gridCol w:w="1006"/>
        <w:gridCol w:w="446"/>
      </w:tblGrid>
      <w:tr>
        <w:trPr/>
        <w:tc>
          <w:tcPr>
            <w:tcW w:w="336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3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4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2 - August 1, 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br/>
              <w:t>Income (Loss)</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Asset Impair </w:t>
              <w:br/>
              <w:t>&amp; Other Adj</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 Operating</w:t>
              <w:br/>
              <w:t>Income (Loss)</w:t>
            </w:r>
          </w:p>
        </w:tc>
        <w:tc>
          <w:tcPr>
            <w:tcW w:w="4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3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Journeys Group</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(714</w:t>
            </w:r>
          </w:p>
        </w:tc>
        <w:tc>
          <w:tcPr>
            <w:tcW w:w="4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Schuh Group</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w:t>
            </w:r>
          </w:p>
        </w:tc>
        <w:tc>
          <w:tcPr>
            <w:tcW w:w="4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Johnston &amp; Murphy Group</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12,946</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(13,245</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w:t>
            </w:r>
          </w:p>
        </w:tc>
        <w:tc>
          <w:tcPr>
            <w:tcW w:w="4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Genesco Brands Group</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8,611</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(8,560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w:t>
            </w:r>
          </w:p>
        </w:tc>
        <w:tc>
          <w:tcPr>
            <w:tcW w:w="4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3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(16,856</w:t>
            </w:r>
          </w:p>
        </w:tc>
        <w:tc>
          <w:tcPr>
            <w:tcW w:w="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9,690</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(7,166</w:t>
            </w:r>
          </w:p>
        </w:tc>
        <w:tc>
          <w:tcPr>
            <w:tcW w:w="4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Income (Loss)</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3,617</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(11,962</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(8,345</w:t>
            </w:r>
          </w:p>
        </w:tc>
        <w:tc>
          <w:tcPr>
            <w:tcW w:w="4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33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of sales</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w:t>
            </w:r>
          </w:p>
        </w:tc>
        <w:tc>
          <w:tcPr>
            <w:tcW w:w="44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33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3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13,183</w:t>
            </w:r>
          </w:p>
        </w:tc>
        <w:tc>
          <w:tcPr>
            <w:tcW w:w="4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7018" w:type="dxa"/>
            <w:gridSpan w:val="6"/>
            <w:tcBorders>
              <w:bottom w:val="single" w:sz="4" w:space="0" w:color="000000"/>
            </w:tcBorders>
            <w:shd w:fill="CFF0FC"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Adjusted earnings before interest, taxes, depreciation and amortization ("EBITDA")</w:t>
            </w:r>
            <w:r>
              <w:rPr>
                <w:rFonts w:ascii="Times New Roman" w:hAnsi="Times New Roman"/>
                <w:color w:val="000000"/>
                <w:sz w:val="13"/>
              </w:rPr>
              <w:t>(1)</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4,838</w:t>
            </w:r>
          </w:p>
        </w:tc>
        <w:tc>
          <w:tcPr>
            <w:tcW w:w="4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0" w:right="0" w:firstLine="100"/>
              <w:jc w:val="left"/>
              <w:rPr/>
            </w:pPr>
            <w:r>
              <w:rPr/>
              <w:t> </w:t>
            </w:r>
          </w:p>
        </w:tc>
      </w:tr>
      <w:tr>
        <w:trPr/>
        <w:tc>
          <w:tcPr>
            <w:tcW w:w="336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of sales</w:t>
            </w:r>
          </w:p>
        </w:tc>
        <w:tc>
          <w:tcPr>
            <w:tcW w:w="1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w:t>
            </w:r>
          </w:p>
        </w:tc>
        <w:tc>
          <w:tcPr>
            <w:tcW w:w="4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8464" w:type="dxa"/>
        <w:jc w:val="left"/>
        <w:tblInd w:w="0" w:type="dxa"/>
        <w:tblLayout w:type="fixed"/>
        <w:tblCellMar>
          <w:top w:w="28" w:type="dxa"/>
          <w:left w:w="28" w:type="dxa"/>
          <w:bottom w:w="28" w:type="dxa"/>
          <w:right w:w="28" w:type="dxa"/>
        </w:tblCellMar>
      </w:tblPr>
      <w:tblGrid>
        <w:gridCol w:w="3275"/>
        <w:gridCol w:w="349"/>
        <w:gridCol w:w="1221"/>
        <w:gridCol w:w="341"/>
        <w:gridCol w:w="484"/>
        <w:gridCol w:w="972"/>
        <w:gridCol w:w="146"/>
        <w:gridCol w:w="280"/>
        <w:gridCol w:w="980"/>
        <w:gridCol w:w="416"/>
      </w:tblGrid>
      <w:tr>
        <w:trPr/>
        <w:tc>
          <w:tcPr>
            <w:tcW w:w="327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7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Quarter 2 - August 2, 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Operating</w:t>
              <w:br/>
              <w:t>Income (Loss)</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Asset Impair </w:t>
              <w:br/>
              <w:t>&amp; Other Adj</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Adj Operating</w:t>
              <w:br/>
              <w:t>Income (Loss)</w:t>
            </w:r>
          </w:p>
        </w:tc>
        <w:tc>
          <w:tcPr>
            <w:tcW w:w="4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3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Journeys Group</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(4,999</w:t>
            </w:r>
          </w:p>
        </w:tc>
        <w:tc>
          <w:tcPr>
            <w:tcW w:w="41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Schuh Group</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Johnston &amp; Murphy Group</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41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Genesco Brands Group</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4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3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(8,301</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(8,177</w:t>
            </w:r>
          </w:p>
        </w:tc>
        <w:tc>
          <w:tcPr>
            <w:tcW w:w="4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Loss</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(14,440</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(14,316</w:t>
            </w:r>
          </w:p>
        </w:tc>
        <w:tc>
          <w:tcPr>
            <w:tcW w:w="4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of sales</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1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7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3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w:t>
            </w:r>
          </w:p>
        </w:tc>
        <w:tc>
          <w:tcPr>
            <w:tcW w:w="4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6642" w:type="dxa"/>
            <w:gridSpan w:val="6"/>
            <w:tcBorders>
              <w:bottom w:val="single" w:sz="4" w:space="0" w:color="000000"/>
            </w:tcBorders>
            <w:shd w:fill="CFF0FC"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Adjusted loss before interest, taxes, depreciation and amortization ("EBITDA")</w:t>
            </w:r>
            <w:r>
              <w:rPr>
                <w:rFonts w:ascii="Times New Roman" w:hAnsi="Times New Roman"/>
                <w:color w:val="000000"/>
                <w:sz w:val="13"/>
              </w:rPr>
              <w:t>(1)</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4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of sales</w:t>
            </w:r>
          </w:p>
        </w:tc>
        <w:tc>
          <w:tcPr>
            <w:tcW w:w="1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lineRule="auto" w:line="360"/>
        <w:jc w:val="left"/>
        <w:rPr>
          <w:rFonts w:ascii="Times New Roman" w:hAnsi="Times New Roman"/>
          <w:sz w:val="13"/>
        </w:rPr>
      </w:pPr>
      <w:r>
        <w:rPr>
          <w:rFonts w:ascii="Times New Roman" w:hAnsi="Times New Roman"/>
          <w:color w:val="000000"/>
          <w:sz w:val="13"/>
        </w:rPr>
        <w:t xml:space="preserve">(1) </w:t>
      </w:r>
      <w:r>
        <w:rPr>
          <w:rFonts w:ascii="Times New Roman" w:hAnsi="Times New Roman"/>
          <w:color w:val="000000"/>
          <w:sz w:val="20"/>
        </w:rPr>
        <w:t>Excludes "Other components of net periodic benefit cost" line item on the Consolidated Statements of Operations.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Schedule B</w:t>
      </w:r>
    </w:p>
    <w:p>
      <w:pPr>
        <w:pStyle w:val="TextBody"/>
        <w:bidi w:val="0"/>
        <w:jc w:val="center"/>
        <w:rPr>
          <w:rFonts w:ascii="Times New Roman" w:hAnsi="Times New Roman"/>
          <w:color w:val="000000"/>
          <w:sz w:val="20"/>
        </w:rPr>
      </w:pPr>
      <w:r>
        <w:rPr>
          <w:rFonts w:ascii="Times New Roman" w:hAnsi="Times New Roman"/>
          <w:color w:val="000000"/>
          <w:sz w:val="20"/>
        </w:rPr>
        <w:t>Genesco Inc.</w:t>
      </w:r>
    </w:p>
    <w:p>
      <w:pPr>
        <w:pStyle w:val="TextBody"/>
        <w:bidi w:val="0"/>
        <w:jc w:val="center"/>
        <w:rPr>
          <w:rFonts w:ascii="Times New Roman" w:hAnsi="Times New Roman"/>
          <w:color w:val="000000"/>
          <w:sz w:val="20"/>
        </w:rPr>
      </w:pPr>
      <w:r>
        <w:rPr>
          <w:rFonts w:ascii="Times New Roman" w:hAnsi="Times New Roman"/>
          <w:color w:val="000000"/>
          <w:sz w:val="20"/>
        </w:rPr>
        <w:t>Adjustments to Reported Gross Margin, Selling and Administrative Expenses and Interest, net</w:t>
      </w:r>
    </w:p>
    <w:p>
      <w:pPr>
        <w:pStyle w:val="TextBody"/>
        <w:bidi w:val="0"/>
        <w:jc w:val="center"/>
        <w:rPr>
          <w:rFonts w:ascii="Times New Roman" w:hAnsi="Times New Roman"/>
          <w:color w:val="000000"/>
          <w:sz w:val="20"/>
        </w:rPr>
      </w:pPr>
      <w:r>
        <w:rPr>
          <w:rFonts w:ascii="Times New Roman" w:hAnsi="Times New Roman"/>
          <w:color w:val="000000"/>
          <w:sz w:val="20"/>
        </w:rPr>
        <w:t xml:space="preserve">Three Months Ended August 1, 2026 and August 2, 2025 </w:t>
      </w:r>
    </w:p>
    <w:p>
      <w:pPr>
        <w:pStyle w:val="TextBody"/>
        <w:bidi w:val="0"/>
        <w:jc w:val="left"/>
        <w:rPr/>
      </w:pPr>
      <w:r>
        <w:rPr/>
        <w:t> </w:t>
      </w:r>
    </w:p>
    <w:p>
      <w:pPr>
        <w:pStyle w:val="TextBody"/>
        <w:bidi w:val="0"/>
        <w:jc w:val="left"/>
        <w:rPr/>
      </w:pPr>
      <w:r>
        <w:rPr/>
        <w:t> </w:t>
      </w:r>
    </w:p>
    <w:tbl>
      <w:tblPr>
        <w:tblW w:w="8423" w:type="dxa"/>
        <w:jc w:val="left"/>
        <w:tblInd w:w="0" w:type="dxa"/>
        <w:tblLayout w:type="fixed"/>
        <w:tblCellMar>
          <w:top w:w="28" w:type="dxa"/>
          <w:left w:w="28" w:type="dxa"/>
          <w:bottom w:w="28" w:type="dxa"/>
          <w:right w:w="28" w:type="dxa"/>
        </w:tblCellMar>
      </w:tblPr>
      <w:tblGrid>
        <w:gridCol w:w="5006"/>
        <w:gridCol w:w="287"/>
        <w:gridCol w:w="1063"/>
        <w:gridCol w:w="301"/>
        <w:gridCol w:w="287"/>
        <w:gridCol w:w="1063"/>
        <w:gridCol w:w="416"/>
      </w:tblGrid>
      <w:tr>
        <w:trPr/>
        <w:tc>
          <w:tcPr>
            <w:tcW w:w="500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5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 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as reported</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272,117</w:t>
            </w:r>
          </w:p>
        </w:tc>
        <w:tc>
          <w:tcPr>
            <w:tcW w:w="30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249,949</w:t>
            </w:r>
          </w:p>
        </w:tc>
        <w:tc>
          <w:tcPr>
            <w:tcW w:w="41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51.4</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41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Tariff refunds</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(21,780</w:t>
            </w:r>
          </w:p>
        </w:tc>
        <w:tc>
          <w:tcPr>
            <w:tcW w:w="30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50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Reversal of inventory write-down related to exit of licenses</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gross margin adjustment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(21,805</w:t>
            </w:r>
          </w:p>
        </w:tc>
        <w:tc>
          <w:tcPr>
            <w:tcW w:w="3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5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margin</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250,312</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249,949</w:t>
            </w:r>
          </w:p>
        </w:tc>
        <w:tc>
          <w:tcPr>
            <w:tcW w:w="4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w:t>
            </w:r>
          </w:p>
        </w:tc>
        <w:tc>
          <w:tcPr>
            <w:tcW w:w="3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4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pPr>
      <w:r>
        <w:rPr/>
        <w:t> </w:t>
      </w:r>
    </w:p>
    <w:tbl>
      <w:tblPr>
        <w:tblW w:w="8508" w:type="dxa"/>
        <w:jc w:val="left"/>
        <w:tblInd w:w="0" w:type="dxa"/>
        <w:tblLayout w:type="fixed"/>
        <w:tblCellMar>
          <w:top w:w="28" w:type="dxa"/>
          <w:left w:w="28" w:type="dxa"/>
          <w:bottom w:w="28" w:type="dxa"/>
          <w:right w:w="28" w:type="dxa"/>
        </w:tblCellMar>
      </w:tblPr>
      <w:tblGrid>
        <w:gridCol w:w="5191"/>
        <w:gridCol w:w="287"/>
        <w:gridCol w:w="1063"/>
        <w:gridCol w:w="301"/>
        <w:gridCol w:w="287"/>
        <w:gridCol w:w="1063"/>
        <w:gridCol w:w="316"/>
      </w:tblGrid>
      <w:tr>
        <w:trPr/>
        <w:tc>
          <w:tcPr>
            <w:tcW w:w="519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expenses, as reported</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259,557</w:t>
            </w:r>
          </w:p>
        </w:tc>
        <w:tc>
          <w:tcPr>
            <w:tcW w:w="30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264,265</w:t>
            </w:r>
          </w:p>
        </w:tc>
        <w:tc>
          <w:tcPr>
            <w:tcW w:w="31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3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Costs associated with information technology transformation</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(900</w:t>
            </w:r>
          </w:p>
        </w:tc>
        <w:tc>
          <w:tcPr>
            <w:tcW w:w="3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5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adjustments</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(900</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selling and administrative expenses</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258,657</w:t>
            </w:r>
          </w:p>
        </w:tc>
        <w:tc>
          <w:tcPr>
            <w:tcW w:w="3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264,265</w:t>
            </w:r>
          </w:p>
        </w:tc>
        <w:tc>
          <w:tcPr>
            <w:tcW w:w="3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5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48.8</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center"/>
        <w:rPr/>
      </w:pPr>
      <w:r>
        <w:rPr/>
        <w:t> </w:t>
      </w:r>
    </w:p>
    <w:tbl>
      <w:tblPr>
        <w:tblW w:w="6018" w:type="dxa"/>
        <w:jc w:val="left"/>
        <w:tblInd w:w="0" w:type="dxa"/>
        <w:tblLayout w:type="fixed"/>
        <w:tblCellMar>
          <w:top w:w="28" w:type="dxa"/>
          <w:left w:w="28" w:type="dxa"/>
          <w:bottom w:w="28" w:type="dxa"/>
          <w:right w:w="28" w:type="dxa"/>
        </w:tblCellMar>
      </w:tblPr>
      <w:tblGrid>
        <w:gridCol w:w="2701"/>
        <w:gridCol w:w="449"/>
        <w:gridCol w:w="901"/>
        <w:gridCol w:w="301"/>
        <w:gridCol w:w="364"/>
        <w:gridCol w:w="986"/>
        <w:gridCol w:w="316"/>
      </w:tblGrid>
      <w:tr>
        <w:trPr/>
        <w:tc>
          <w:tcPr>
            <w:tcW w:w="270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 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net, as reported</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w:t>
            </w:r>
          </w:p>
        </w:tc>
        <w:tc>
          <w:tcPr>
            <w:tcW w:w="30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31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on tariff refunds</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738</w:t>
            </w:r>
          </w:p>
        </w:tc>
        <w:tc>
          <w:tcPr>
            <w:tcW w:w="3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adjustments</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738</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2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interest, net</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710</w:t>
            </w:r>
          </w:p>
        </w:tc>
        <w:tc>
          <w:tcPr>
            <w:tcW w:w="3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w:t>
            </w:r>
          </w:p>
        </w:tc>
        <w:tc>
          <w:tcPr>
            <w:tcW w:w="3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Schedule B</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Genesco Inc.</w:t>
      </w:r>
    </w:p>
    <w:p>
      <w:pPr>
        <w:pStyle w:val="TextBody"/>
        <w:bidi w:val="0"/>
        <w:jc w:val="center"/>
        <w:rPr>
          <w:rFonts w:ascii="Times New Roman" w:hAnsi="Times New Roman"/>
          <w:color w:val="000000"/>
          <w:sz w:val="20"/>
        </w:rPr>
      </w:pPr>
      <w:r>
        <w:rPr>
          <w:rFonts w:ascii="Times New Roman" w:hAnsi="Times New Roman"/>
          <w:color w:val="000000"/>
          <w:sz w:val="20"/>
        </w:rPr>
        <w:t>Adjustments to Reported Loss from Continuing Operations</w:t>
      </w:r>
    </w:p>
    <w:p>
      <w:pPr>
        <w:pStyle w:val="TextBody"/>
        <w:bidi w:val="0"/>
        <w:jc w:val="center"/>
        <w:rPr>
          <w:rFonts w:ascii="Times New Roman" w:hAnsi="Times New Roman"/>
          <w:color w:val="000000"/>
          <w:sz w:val="20"/>
        </w:rPr>
      </w:pPr>
      <w:r>
        <w:rPr>
          <w:rFonts w:ascii="Times New Roman" w:hAnsi="Times New Roman"/>
          <w:color w:val="000000"/>
          <w:sz w:val="20"/>
        </w:rPr>
        <w:t xml:space="preserve">Six Months Ended August 1, 2026 and August 2,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believes that disclosure of earnings (loss) and earnings (loss) per share from continuing operations and operating income (loss) adjusted for the items not reflected in the previously announced expectations will be meaningful to investors, especially in light of the impact of such items on the results.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86"/>
        <w:gridCol w:w="196"/>
        <w:gridCol w:w="661"/>
        <w:gridCol w:w="166"/>
        <w:gridCol w:w="201"/>
        <w:gridCol w:w="681"/>
        <w:gridCol w:w="166"/>
        <w:gridCol w:w="236"/>
        <w:gridCol w:w="583"/>
        <w:gridCol w:w="166"/>
        <w:gridCol w:w="146"/>
        <w:gridCol w:w="196"/>
        <w:gridCol w:w="376"/>
        <w:gridCol w:w="146"/>
        <w:gridCol w:w="196"/>
        <w:gridCol w:w="661"/>
        <w:gridCol w:w="166"/>
        <w:gridCol w:w="220"/>
        <w:gridCol w:w="542"/>
        <w:gridCol w:w="314"/>
      </w:tblGrid>
      <w:tr>
        <w:trPr/>
        <w:tc>
          <w:tcPr>
            <w:tcW w:w="4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Six Months Ended</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0"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August 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August 2, 2025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 (except per share amounts)</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br/>
              <w:t>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Pretax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Per Share</w:t>
              <w:br/>
              <w:t>Amounts</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continuing operations, as reported</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(11,324</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(1.08</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(39,668</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w:t>
            </w:r>
          </w:p>
        </w:tc>
        <w:tc>
          <w:tcPr>
            <w:tcW w:w="314"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 adjustment:</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Tariff refunds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(21,780</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(20,308</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(1.94</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4"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Reversal of inventory write-down related to exit of licenses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(109</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(101</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(0.01</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41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gross margin adjustment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(21,889</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(20,409</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(1.95</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and administrative expense adjustment:</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41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Costs associated with information technology transformation</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2,598</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2,423</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0.23</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 impairments and other adjustments:</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Asset impairment charges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0.00</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4"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Severance and other restructuring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549</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511</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0.05</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31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Costs associated with information technology transformation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638</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595</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0.06</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4"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Gain related to payment card interchange fee litigation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(13,425</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(12,518</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(1.19</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Store restructuring charges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3,085</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2,885</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0.28</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4"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Costs related to proxy contest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6,950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6,480</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0.62</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1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legal matters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1,040</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970</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0.09</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0" w:right="0" w:firstLine="100"/>
              <w:jc w:val="left"/>
              <w:rPr/>
            </w:pPr>
            <w:r>
              <w:rPr/>
              <w:t> </w:t>
            </w:r>
          </w:p>
        </w:tc>
      </w:tr>
      <w:tr>
        <w:trPr/>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asset impairments and other adjustments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(1,163</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(1,077</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(0.09</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3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net adjustment related to interest income on tariffs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(738</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(688</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(0.07</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0.00</w:t>
            </w:r>
          </w:p>
        </w:tc>
        <w:tc>
          <w:tcPr>
            <w:tcW w:w="31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 adjustments:</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One big beautiful bill impact</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0.00</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6,849</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0.66</w:t>
            </w:r>
          </w:p>
        </w:tc>
        <w:tc>
          <w:tcPr>
            <w:tcW w:w="314"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41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tax items</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(390</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(0.04</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(0.07</w:t>
            </w:r>
          </w:p>
        </w:tc>
        <w:tc>
          <w:tcPr>
            <w:tcW w:w="3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41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income tax expense adjustments</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(390</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(0.04</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6,133</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0.59</w:t>
            </w:r>
          </w:p>
        </w:tc>
        <w:tc>
          <w:tcPr>
            <w:tcW w:w="314"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4186" w:type="dxa"/>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16"/>
              </w:rPr>
            </w:pPr>
            <w:r>
              <w:rPr>
                <w:rFonts w:ascii="Times New Roman" w:hAnsi="Times New Roman"/>
                <w:color w:val="000000"/>
                <w:sz w:val="16"/>
              </w:rPr>
              <w:t xml:space="preserve">Adjusted loss from continuing operations </w:t>
            </w:r>
            <w:r>
              <w:rPr>
                <w:rFonts w:ascii="Times New Roman" w:hAnsi="Times New Roman"/>
                <w:color w:val="000000"/>
                <w:sz w:val="11"/>
              </w:rPr>
              <w:t>(1) and (2)</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(31,465</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(3.00</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(33,238</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w:t>
            </w:r>
          </w:p>
        </w:tc>
        <w:tc>
          <w:tcPr>
            <w:tcW w:w="314"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pPr>
      <w:r>
        <w:rPr/>
        <w:t> </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adjusted tax rate for the first six months of Fiscal 2027 and 2026 is 6.6% and 26.6%, respectively.</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EPS reflects a 10.5 million and 10.4 million share count for the first six months of Fiscal 2027 and 2026, respectively, which excludes common stock equivalents in both periods due to the loss from continuing operations.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Schedule B</w:t>
      </w:r>
    </w:p>
    <w:p>
      <w:pPr>
        <w:pStyle w:val="TextBody"/>
        <w:bidi w:val="0"/>
        <w:jc w:val="center"/>
        <w:rPr>
          <w:rFonts w:ascii="Times New Roman" w:hAnsi="Times New Roman"/>
          <w:color w:val="000000"/>
          <w:sz w:val="20"/>
        </w:rPr>
      </w:pPr>
      <w:r>
        <w:rPr>
          <w:rFonts w:ascii="Times New Roman" w:hAnsi="Times New Roman"/>
          <w:color w:val="000000"/>
          <w:sz w:val="20"/>
        </w:rPr>
        <w:t>Genesco Inc.</w:t>
      </w:r>
    </w:p>
    <w:p>
      <w:pPr>
        <w:pStyle w:val="TextBody"/>
        <w:bidi w:val="0"/>
        <w:jc w:val="center"/>
        <w:rPr>
          <w:rFonts w:ascii="Times New Roman" w:hAnsi="Times New Roman"/>
          <w:color w:val="000000"/>
          <w:sz w:val="20"/>
        </w:rPr>
      </w:pPr>
      <w:r>
        <w:rPr>
          <w:rFonts w:ascii="Times New Roman" w:hAnsi="Times New Roman"/>
          <w:color w:val="000000"/>
          <w:sz w:val="20"/>
        </w:rPr>
        <w:t>Adjustments to Reported Operating Income (Loss)</w:t>
      </w:r>
    </w:p>
    <w:p>
      <w:pPr>
        <w:pStyle w:val="TextBody"/>
        <w:bidi w:val="0"/>
        <w:jc w:val="center"/>
        <w:rPr>
          <w:rFonts w:ascii="Times New Roman" w:hAnsi="Times New Roman"/>
          <w:color w:val="000000"/>
          <w:sz w:val="20"/>
        </w:rPr>
      </w:pPr>
      <w:r>
        <w:rPr>
          <w:rFonts w:ascii="Times New Roman" w:hAnsi="Times New Roman"/>
          <w:color w:val="000000"/>
          <w:sz w:val="20"/>
        </w:rPr>
        <w:t xml:space="preserve">Six Months Ended August 1, 2026 and August 2, 2025 </w:t>
      </w:r>
    </w:p>
    <w:p>
      <w:pPr>
        <w:pStyle w:val="TextBody"/>
        <w:bidi w:val="0"/>
        <w:jc w:val="center"/>
        <w:rPr/>
      </w:pPr>
      <w:r>
        <w:rPr/>
        <w:t> </w:t>
      </w:r>
    </w:p>
    <w:tbl>
      <w:tblPr>
        <w:tblW w:w="8475" w:type="dxa"/>
        <w:jc w:val="left"/>
        <w:tblInd w:w="0" w:type="dxa"/>
        <w:tblLayout w:type="fixed"/>
        <w:tblCellMar>
          <w:top w:w="28" w:type="dxa"/>
          <w:left w:w="28" w:type="dxa"/>
          <w:bottom w:w="28" w:type="dxa"/>
          <w:right w:w="28" w:type="dxa"/>
        </w:tblCellMar>
      </w:tblPr>
      <w:tblGrid>
        <w:gridCol w:w="3184"/>
        <w:gridCol w:w="352"/>
        <w:gridCol w:w="1230"/>
        <w:gridCol w:w="369"/>
        <w:gridCol w:w="336"/>
        <w:gridCol w:w="1172"/>
        <w:gridCol w:w="166"/>
        <w:gridCol w:w="293"/>
        <w:gridCol w:w="1027"/>
        <w:gridCol w:w="346"/>
      </w:tblGrid>
      <w:tr>
        <w:trPr/>
        <w:tc>
          <w:tcPr>
            <w:tcW w:w="318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45"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August 1,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br/>
              <w:t>Income (Loss)</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Asset Impair </w:t>
              <w:br/>
              <w:t>&amp; Other Adj</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Adj Operating</w:t>
              <w:br/>
              <w:t>Income (Loss)</w:t>
            </w:r>
          </w:p>
        </w:tc>
        <w:tc>
          <w:tcPr>
            <w:tcW w:w="3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3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Journeys Group</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(12,269</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(12,269</w:t>
            </w:r>
          </w:p>
        </w:tc>
        <w:tc>
          <w:tcPr>
            <w:tcW w:w="3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Schuh Group</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(7,357</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(6,915</w:t>
            </w:r>
          </w:p>
        </w:tc>
        <w:tc>
          <w:tcPr>
            <w:tcW w:w="3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Johnston &amp; Murphy Group</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14,453</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(13,245</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1,208</w:t>
            </w:r>
          </w:p>
        </w:tc>
        <w:tc>
          <w:tcPr>
            <w:tcW w:w="3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r>
      <w:tr>
        <w:trPr/>
        <w:tc>
          <w:tcPr>
            <w:tcW w:w="3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Genesco Brands Group</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9,773</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(8,644</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1,129</w:t>
            </w:r>
          </w:p>
        </w:tc>
        <w:tc>
          <w:tcPr>
            <w:tcW w:w="3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3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(16,360</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992</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(15,368</w:t>
            </w:r>
          </w:p>
        </w:tc>
        <w:tc>
          <w:tcPr>
            <w:tcW w:w="3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Loss</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(11,760</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(20,455</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(32,215</w:t>
            </w:r>
          </w:p>
        </w:tc>
        <w:tc>
          <w:tcPr>
            <w:tcW w:w="3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318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of sales</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0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w:t>
            </w:r>
          </w:p>
        </w:tc>
        <w:tc>
          <w:tcPr>
            <w:tcW w:w="3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26,430</w:t>
            </w:r>
          </w:p>
        </w:tc>
        <w:tc>
          <w:tcPr>
            <w:tcW w:w="3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6643" w:type="dxa"/>
            <w:gridSpan w:val="6"/>
            <w:tcBorders>
              <w:bottom w:val="single" w:sz="4" w:space="0" w:color="000000"/>
            </w:tcBorders>
            <w:shd w:fill="CFF0FC"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Adjusted loss before interest, taxes, depreciation and amortization ("EBITDA")</w:t>
            </w:r>
            <w:r>
              <w:rPr>
                <w:rFonts w:ascii="Times New Roman" w:hAnsi="Times New Roman"/>
                <w:color w:val="000000"/>
                <w:sz w:val="13"/>
              </w:rPr>
              <w:t>(1)</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(5,785</w:t>
            </w:r>
          </w:p>
        </w:tc>
        <w:tc>
          <w:tcPr>
            <w:tcW w:w="3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318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of sales</w:t>
            </w:r>
          </w:p>
        </w:tc>
        <w:tc>
          <w:tcPr>
            <w:tcW w:w="1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-0.6</w:t>
            </w:r>
          </w:p>
        </w:tc>
        <w:tc>
          <w:tcPr>
            <w:tcW w:w="3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pPr>
      <w:r>
        <w:rPr/>
        <w:t> </w:t>
      </w:r>
    </w:p>
    <w:tbl>
      <w:tblPr>
        <w:tblW w:w="8364" w:type="dxa"/>
        <w:jc w:val="left"/>
        <w:tblInd w:w="0" w:type="dxa"/>
        <w:tblLayout w:type="fixed"/>
        <w:tblCellMar>
          <w:top w:w="28" w:type="dxa"/>
          <w:left w:w="28" w:type="dxa"/>
          <w:bottom w:w="28" w:type="dxa"/>
          <w:right w:w="28" w:type="dxa"/>
        </w:tblCellMar>
      </w:tblPr>
      <w:tblGrid>
        <w:gridCol w:w="3275"/>
        <w:gridCol w:w="349"/>
        <w:gridCol w:w="1221"/>
        <w:gridCol w:w="341"/>
        <w:gridCol w:w="484"/>
        <w:gridCol w:w="972"/>
        <w:gridCol w:w="146"/>
        <w:gridCol w:w="280"/>
        <w:gridCol w:w="980"/>
        <w:gridCol w:w="316"/>
      </w:tblGrid>
      <w:tr>
        <w:trPr/>
        <w:tc>
          <w:tcPr>
            <w:tcW w:w="327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7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Six Months Ended August 2,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Operating</w:t>
              <w:br/>
              <w:t>Income (Loss)</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Asset Impair </w:t>
              <w:br/>
              <w:t>&amp; Other Adj</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Adj Operating</w:t>
              <w:br/>
              <w:t>Income (Loss)</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3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Journeys Group</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(20,282</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(20,282</w:t>
            </w:r>
          </w:p>
        </w:tc>
        <w:tc>
          <w:tcPr>
            <w:tcW w:w="31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Schuh Group</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(6,142</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(6,142</w:t>
            </w:r>
          </w:p>
        </w:tc>
        <w:tc>
          <w:tcPr>
            <w:tcW w:w="3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Johnston &amp; Murphy Group</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31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Genesco Brands Group</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w:t>
            </w:r>
          </w:p>
        </w:tc>
        <w:tc>
          <w:tcPr>
            <w:tcW w:w="3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3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(16,230</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(15,815</w:t>
            </w:r>
          </w:p>
        </w:tc>
        <w:tc>
          <w:tcPr>
            <w:tcW w:w="3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Loss</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(42,585</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(42,170</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of sales</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26,867</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6642" w:type="dxa"/>
            <w:gridSpan w:val="6"/>
            <w:tcBorders>
              <w:bottom w:val="single" w:sz="4" w:space="0" w:color="000000"/>
            </w:tcBorders>
            <w:shd w:fill="CFF0FC" w:val="clear"/>
            <w:tcMar>
              <w:top w:w="0" w:type="dxa"/>
              <w:left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Adjusted loss before interest, taxes, depreciation and amortization ("EBITDA")</w:t>
            </w:r>
            <w:r>
              <w:rPr>
                <w:rFonts w:ascii="Times New Roman" w:hAnsi="Times New Roman"/>
                <w:color w:val="000000"/>
                <w:sz w:val="13"/>
              </w:rPr>
              <w:t>(1)</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(15,303</w:t>
            </w:r>
          </w:p>
        </w:tc>
        <w:tc>
          <w:tcPr>
            <w:tcW w:w="3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of sales</w:t>
            </w:r>
          </w:p>
        </w:tc>
        <w:tc>
          <w:tcPr>
            <w:tcW w:w="1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lineRule="auto" w:line="360"/>
        <w:jc w:val="left"/>
        <w:rPr>
          <w:rFonts w:ascii="Times New Roman" w:hAnsi="Times New Roman"/>
          <w:sz w:val="13"/>
        </w:rPr>
      </w:pPr>
      <w:r>
        <w:rPr>
          <w:rFonts w:ascii="Times New Roman" w:hAnsi="Times New Roman"/>
          <w:color w:val="000000"/>
          <w:sz w:val="13"/>
        </w:rPr>
        <w:t xml:space="preserve">(1) </w:t>
      </w:r>
      <w:r>
        <w:rPr>
          <w:rFonts w:ascii="Times New Roman" w:hAnsi="Times New Roman"/>
          <w:color w:val="000000"/>
          <w:sz w:val="20"/>
        </w:rPr>
        <w:t>Excludes "Other components of net periodic benefit cost" line item on the Consolidated Statements of Operations.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Schedule B</w:t>
      </w:r>
    </w:p>
    <w:p>
      <w:pPr>
        <w:pStyle w:val="TextBody"/>
        <w:bidi w:val="0"/>
        <w:jc w:val="center"/>
        <w:rPr>
          <w:rFonts w:ascii="Times New Roman" w:hAnsi="Times New Roman"/>
          <w:color w:val="000000"/>
          <w:sz w:val="20"/>
        </w:rPr>
      </w:pPr>
      <w:r>
        <w:rPr>
          <w:rFonts w:ascii="Times New Roman" w:hAnsi="Times New Roman"/>
          <w:color w:val="000000"/>
          <w:sz w:val="20"/>
        </w:rPr>
        <w:t>Genesco Inc.</w:t>
      </w:r>
    </w:p>
    <w:p>
      <w:pPr>
        <w:pStyle w:val="TextBody"/>
        <w:bidi w:val="0"/>
        <w:jc w:val="center"/>
        <w:rPr>
          <w:rFonts w:ascii="Times New Roman" w:hAnsi="Times New Roman"/>
          <w:color w:val="000000"/>
          <w:sz w:val="20"/>
        </w:rPr>
      </w:pPr>
      <w:r>
        <w:rPr>
          <w:rFonts w:ascii="Times New Roman" w:hAnsi="Times New Roman"/>
          <w:color w:val="000000"/>
          <w:sz w:val="20"/>
        </w:rPr>
        <w:t>Adjustments to Reported Gross Margin, Selling and Administrative Expenses and Interest, net</w:t>
      </w:r>
    </w:p>
    <w:p>
      <w:pPr>
        <w:pStyle w:val="TextBody"/>
        <w:bidi w:val="0"/>
        <w:jc w:val="center"/>
        <w:rPr>
          <w:rFonts w:ascii="Times New Roman" w:hAnsi="Times New Roman"/>
          <w:color w:val="000000"/>
          <w:sz w:val="20"/>
        </w:rPr>
      </w:pPr>
      <w:r>
        <w:rPr>
          <w:rFonts w:ascii="Times New Roman" w:hAnsi="Times New Roman"/>
          <w:color w:val="000000"/>
          <w:sz w:val="20"/>
        </w:rPr>
        <w:t xml:space="preserve">Six Months Ended August 1, 2026 and August 2, 2025 </w:t>
      </w:r>
    </w:p>
    <w:p>
      <w:pPr>
        <w:pStyle w:val="TextBody"/>
        <w:bidi w:val="0"/>
        <w:jc w:val="center"/>
        <w:rPr/>
      </w:pPr>
      <w:r>
        <w:rPr/>
        <w:t> </w:t>
      </w:r>
    </w:p>
    <w:tbl>
      <w:tblPr>
        <w:tblW w:w="8423" w:type="dxa"/>
        <w:jc w:val="left"/>
        <w:tblInd w:w="0" w:type="dxa"/>
        <w:tblLayout w:type="fixed"/>
        <w:tblCellMar>
          <w:top w:w="28" w:type="dxa"/>
          <w:left w:w="28" w:type="dxa"/>
          <w:bottom w:w="28" w:type="dxa"/>
          <w:right w:w="28" w:type="dxa"/>
        </w:tblCellMar>
      </w:tblPr>
      <w:tblGrid>
        <w:gridCol w:w="5006"/>
        <w:gridCol w:w="287"/>
        <w:gridCol w:w="1063"/>
        <w:gridCol w:w="301"/>
        <w:gridCol w:w="287"/>
        <w:gridCol w:w="1063"/>
        <w:gridCol w:w="416"/>
      </w:tblGrid>
      <w:tr>
        <w:trPr/>
        <w:tc>
          <w:tcPr>
            <w:tcW w:w="500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5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 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as reported</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501,036</w:t>
            </w:r>
          </w:p>
        </w:tc>
        <w:tc>
          <w:tcPr>
            <w:tcW w:w="30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471,130</w:t>
            </w:r>
          </w:p>
        </w:tc>
        <w:tc>
          <w:tcPr>
            <w:tcW w:w="41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49.3</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416" w:type="dxa"/>
            <w:tcBorders>
              <w:right w:val="single" w:sz="4" w:space="0" w:color="000000"/>
            </w:tcBorders>
            <w:shd w:fill="FFFFFF" w:val="clear"/>
            <w:tcMar>
              <w:top w:w="0" w:type="dxa"/>
              <w:left w:w="0" w:type="dxa"/>
              <w:bottom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Tariff refunds</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(21,780</w:t>
            </w:r>
          </w:p>
        </w:tc>
        <w:tc>
          <w:tcPr>
            <w:tcW w:w="30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right w:val="single" w:sz="4" w:space="0" w:color="000000"/>
            </w:tcBorders>
            <w:shd w:fill="CFF0FC" w:val="clear"/>
            <w:tcMar>
              <w:top w:w="0" w:type="dxa"/>
              <w:left w:w="0" w:type="dxa"/>
              <w:bottom w:w="0" w:type="dxa"/>
            </w:tcMar>
            <w:vAlign w:val="center"/>
          </w:tcPr>
          <w:p>
            <w:pPr>
              <w:pStyle w:val="TableContents"/>
              <w:bidi w:val="0"/>
              <w:spacing w:before="0" w:after="283"/>
              <w:ind w:left="0" w:right="0" w:firstLine="100"/>
              <w:jc w:val="left"/>
              <w:rPr/>
            </w:pPr>
            <w:r>
              <w:rPr/>
              <w:t> </w:t>
            </w:r>
          </w:p>
        </w:tc>
      </w:tr>
      <w:tr>
        <w:trPr/>
        <w:tc>
          <w:tcPr>
            <w:tcW w:w="500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Reversal of inventory write-down related to exit of licenses</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gross margin adjustment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(21,889</w:t>
            </w:r>
          </w:p>
        </w:tc>
        <w:tc>
          <w:tcPr>
            <w:tcW w:w="3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5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margin</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479,147</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471,130</w:t>
            </w:r>
          </w:p>
        </w:tc>
        <w:tc>
          <w:tcPr>
            <w:tcW w:w="4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47.1</w:t>
            </w:r>
          </w:p>
        </w:tc>
        <w:tc>
          <w:tcPr>
            <w:tcW w:w="3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4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8508" w:type="dxa"/>
        <w:jc w:val="left"/>
        <w:tblInd w:w="0" w:type="dxa"/>
        <w:tblLayout w:type="fixed"/>
        <w:tblCellMar>
          <w:top w:w="28" w:type="dxa"/>
          <w:left w:w="28" w:type="dxa"/>
          <w:bottom w:w="28" w:type="dxa"/>
          <w:right w:w="28" w:type="dxa"/>
        </w:tblCellMar>
      </w:tblPr>
      <w:tblGrid>
        <w:gridCol w:w="5191"/>
        <w:gridCol w:w="287"/>
        <w:gridCol w:w="1063"/>
        <w:gridCol w:w="301"/>
        <w:gridCol w:w="287"/>
        <w:gridCol w:w="1063"/>
        <w:gridCol w:w="316"/>
      </w:tblGrid>
      <w:tr>
        <w:trPr/>
        <w:tc>
          <w:tcPr>
            <w:tcW w:w="519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administrative expenses, as reported</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513,960</w:t>
            </w:r>
          </w:p>
        </w:tc>
        <w:tc>
          <w:tcPr>
            <w:tcW w:w="30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513,300</w:t>
            </w:r>
          </w:p>
        </w:tc>
        <w:tc>
          <w:tcPr>
            <w:tcW w:w="31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50.5</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3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Costs associated with information technology transformation</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(2,598</w:t>
            </w:r>
          </w:p>
        </w:tc>
        <w:tc>
          <w:tcPr>
            <w:tcW w:w="3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5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adjustments</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(2,598</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selling and administrative expenses</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511,362</w:t>
            </w:r>
          </w:p>
        </w:tc>
        <w:tc>
          <w:tcPr>
            <w:tcW w:w="3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513,300</w:t>
            </w:r>
          </w:p>
        </w:tc>
        <w:tc>
          <w:tcPr>
            <w:tcW w:w="3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5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6018" w:type="dxa"/>
        <w:jc w:val="left"/>
        <w:tblInd w:w="0" w:type="dxa"/>
        <w:tblLayout w:type="fixed"/>
        <w:tblCellMar>
          <w:top w:w="28" w:type="dxa"/>
          <w:left w:w="28" w:type="dxa"/>
          <w:bottom w:w="28" w:type="dxa"/>
          <w:right w:w="28" w:type="dxa"/>
        </w:tblCellMar>
      </w:tblPr>
      <w:tblGrid>
        <w:gridCol w:w="2701"/>
        <w:gridCol w:w="449"/>
        <w:gridCol w:w="901"/>
        <w:gridCol w:w="301"/>
        <w:gridCol w:w="364"/>
        <w:gridCol w:w="986"/>
        <w:gridCol w:w="316"/>
      </w:tblGrid>
      <w:tr>
        <w:trPr/>
        <w:tc>
          <w:tcPr>
            <w:tcW w:w="270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August 1,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2,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net, as reported</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w:t>
            </w:r>
          </w:p>
        </w:tc>
        <w:tc>
          <w:tcPr>
            <w:tcW w:w="301"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31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on tariff refunds</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738</w:t>
            </w:r>
          </w:p>
        </w:tc>
        <w:tc>
          <w:tcPr>
            <w:tcW w:w="3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adjustments</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738</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2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interest, net</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975</w:t>
            </w:r>
          </w:p>
        </w:tc>
        <w:tc>
          <w:tcPr>
            <w:tcW w:w="301"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31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of sales</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Schedule B</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Genesco Inc.</w:t>
      </w:r>
    </w:p>
    <w:p>
      <w:pPr>
        <w:pStyle w:val="TextBody"/>
        <w:bidi w:val="0"/>
        <w:jc w:val="center"/>
        <w:rPr>
          <w:rFonts w:ascii="Times New Roman" w:hAnsi="Times New Roman"/>
          <w:color w:val="000000"/>
          <w:sz w:val="20"/>
        </w:rPr>
      </w:pPr>
      <w:r>
        <w:rPr>
          <w:rFonts w:ascii="Times New Roman" w:hAnsi="Times New Roman"/>
          <w:color w:val="000000"/>
          <w:sz w:val="20"/>
        </w:rPr>
        <w:t>Adjustments to Forecasted Earnings from Continuing Operations</w:t>
      </w:r>
    </w:p>
    <w:p>
      <w:pPr>
        <w:pStyle w:val="TextBody"/>
        <w:bidi w:val="0"/>
        <w:jc w:val="center"/>
        <w:rPr>
          <w:rFonts w:ascii="Times New Roman" w:hAnsi="Times New Roman"/>
          <w:color w:val="000000"/>
          <w:sz w:val="20"/>
        </w:rPr>
      </w:pPr>
      <w:r>
        <w:rPr>
          <w:rFonts w:ascii="Times New Roman" w:hAnsi="Times New Roman"/>
          <w:color w:val="000000"/>
          <w:sz w:val="20"/>
        </w:rPr>
        <w:t>Fiscal Year Ending January 30, 2027</w:t>
      </w:r>
    </w:p>
    <w:p>
      <w:pPr>
        <w:pStyle w:val="TextBody"/>
        <w:bidi w:val="0"/>
        <w:jc w:val="left"/>
        <w:rPr/>
      </w:pPr>
      <w:r>
        <w:rPr/>
        <w:t> </w:t>
      </w:r>
    </w:p>
    <w:p>
      <w:pPr>
        <w:pStyle w:val="TextBody"/>
        <w:bidi w:val="0"/>
        <w:jc w:val="left"/>
        <w:rPr/>
      </w:pPr>
      <w:r>
        <w:rPr/>
        <w:t> </w:t>
      </w:r>
    </w:p>
    <w:tbl>
      <w:tblPr>
        <w:tblW w:w="9859" w:type="dxa"/>
        <w:jc w:val="left"/>
        <w:tblInd w:w="0" w:type="dxa"/>
        <w:tblLayout w:type="fixed"/>
        <w:tblCellMar>
          <w:top w:w="28" w:type="dxa"/>
          <w:left w:w="28" w:type="dxa"/>
          <w:bottom w:w="28" w:type="dxa"/>
          <w:right w:w="28" w:type="dxa"/>
        </w:tblCellMar>
      </w:tblPr>
      <w:tblGrid>
        <w:gridCol w:w="4936"/>
        <w:gridCol w:w="146"/>
        <w:gridCol w:w="275"/>
        <w:gridCol w:w="685"/>
        <w:gridCol w:w="166"/>
        <w:gridCol w:w="146"/>
        <w:gridCol w:w="245"/>
        <w:gridCol w:w="610"/>
        <w:gridCol w:w="166"/>
        <w:gridCol w:w="146"/>
        <w:gridCol w:w="275"/>
        <w:gridCol w:w="685"/>
        <w:gridCol w:w="166"/>
        <w:gridCol w:w="146"/>
        <w:gridCol w:w="245"/>
        <w:gridCol w:w="610"/>
        <w:gridCol w:w="211"/>
      </w:tblGrid>
      <w:tr>
        <w:trPr/>
        <w:tc>
          <w:tcPr>
            <w:tcW w:w="4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millions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High Guidance </w:t>
              <w:br/>
              <w:t>Fiscal 2027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Low Guidance </w:t>
              <w:br/>
              <w:t>Fiscal 2027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 Share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 of 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 Share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Forecasted earnings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impairments and 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impairments and other matters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related to tariff refunds including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related to payment card interchange fee litigation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(0.87</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Total asset impairments and other adjustments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Adjusted forecasted earnings from continuing operations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adjustments are net of tax where applicable. The forecasted tax rate for Fiscal 2027 is approximately 30%. Due to the valuation allowance, the adjusted tax rate for the first quarter was 6.9% and the second quarter was 5.7%. The adjusted tax rate for the third quarter will be in the range of approximately 7% to 8% and the fourth quarter will be a true up so the total year will be approximately 30%.</w:t>
      </w:r>
    </w:p>
    <w:p>
      <w:pPr>
        <w:pStyle w:val="TextBody"/>
        <w:bidi w:val="0"/>
        <w:spacing w:lineRule="auto" w:line="360"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EPS reflects 10.8 million share count for Fiscal 2027 which includes common stock equivalents.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reconciliation reflects estimates and current expectations of future results. Actual results may vary materially from these expectations and estimates, for reasons including those included in the discussion of forward-looking statements elsewhere in this release. The Company disclaims any obligation to update such expectations and estimates.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gco-ex99_2.htm"/>
      <w:bookmarkStart w:id="5" w:name="ksgcoex99_2"/>
      <w:bookmarkEnd w:id="4"/>
      <w:bookmarkEnd w:id="5"/>
      <w:r>
        <w:rPr/>
        <w:drawing>
          <wp:inline distT="0" distB="0" distL="0" distR="0">
            <wp:extent cx="9144000" cy="21431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21431250"/>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FY27 Q2 GENESCO Summary Results September 3,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This presentation contains forward-looking statements, including those regarding future sales, earnings, operating income, gross margins, expenses, tariff refunds, capital expenditures, depreciation and amortization, tax rates, store openings and closures, cost reductions, share repurchases and all other statements not addressing solely historical facts or present conditions. Forward-looking statements are usually identified by or are associated with such words as “intend,” “expect,” “feel,” “should,” “believe,” “anticipate,” “optimistic,” “confident” and similar terminology. Actual results could vary materially from the expectations reflected in these statements. A number of factors could cause differences. These include adjustments to projections reflected in forward-looking statements, including those resulting from weakness in store, e-commerce and shopping mall traffic, the imposition of tariffs (including the timing and amount thereof) on products imported by the Company or its vendors as well as the ability and costs to move production of products in response to tariffs; our ability to pass on price increases to our customers; restrictions on operations imposed by government entities and/or landlords, and limitations on the Company’s ability to adequately staff and operate stores. Differences from expectations could also result from store closures and effects on the business as a result of the level of consumer spending on our merchandise and interest in our brands and in general; the level and timing of promotional activity necessary to maintain inventories at appropriate levels; the Company’s ability to obtain from suppliers products that are in-demand on a timely basis and effectively manage disruptions in product supply or distribution, including disruptions as a result of pandemics or geopolitical events, including shipping disruptions near crucial trade routes; unfavorable trends in fuel costs, foreign exchange rates, foreign labor and material costs, and other factors affecting the cost of products; a disruption in shipping or increase in cost of our imported products, and other factors affecting the cost of products; our dependence on third-party vendors and licensors for the products we sell; store closures and effects on the business as a result of civil disturbances; our ability to renew our license agreements; impacts of the ongoing geopolitical conflicts around the world including, without limitation, the conflict with Iran; and other sources of market weakness in the locations in which we operate; the effectiveness of the Company's omnichannel initiatives; costs associated with proxy contest; costs associated with changes in minimum wage and overtime requirements; wage pressures; labor shortages; the effects of inflation; the evolving regulatory landscape related to our use of social media; weakness in the consumer economy and retail industry; competition and fashion trends in the Company's markets, including trends with respect to the popularity of casual and dress footwear; any failure to increase sales at our existing stores, given our high fixed expense cost structure, and in our e-commerce businesses; risks related to the potential for terrorist events; changes in buying patterns by significant wholesale customers; changes in consumer preferences; our ability to continue to complete and integrate acquisitions; our ability to expand our business and diversify our product base; impairment of goodwill in connection with acquisitions; payment related risks that could increase our operating cost, expose us to fraud or theft, subject us to potential liability and disrupt our business; and changes in the timing of holidays or in the onset of seasonal weather affecting period-to-period sales comparisons. Additional factors that could cause differences from expectations include the ability to secure allocations to refine product assortments to address consumer demand; the ability to renew leases in existing stores and control or lower occupancy costs, to open or close stores in the number and on the planned schedule, and to conduct required remodeling or refurbishment on schedule and at expected expense levels; the Company’s ability to realize anticipated cost savings, including rent savings and savings in connection with the restructuring of the Company’s information technology functions; the amount and timing of share repurchases; our ability to make our occupancy costs more variable; the Company’s ability to achieve expected digital gains and gain market share; deterioration in the performance of individual businesses or of the Company's market value relative to its book value, resulting in impairments of fixed assets, operating lease right of use assets or intangible assets or other adverse financial consequences and the timing and amount of such impairments or other consequences; unexpected changes to the market for the Company's shares or for the retail sector in general; costs and reputational harm as a result of disruptions in the Company’s business or information technology systems either by security breaches and incidents or by potential problems associated with the implementation of new or upgraded systems or as the result of the restructuring of the Company’s information technology functions; risks that our efforts to integrate AI into our business operations may not be successful and could result in reputational harm and /or liability; changes in tax laws and tax rates and the Company’s ability to realize any anticipated tax benefits in both the amount and timeframe anticipated; and the cost and outcome of litigation, investigations, environmental matters and other disputes involving the Company. Additional factors are cited in the "Risk Factors," "Legal Proceedings" and "Management's Discussion and Analysis of Financial Condition and Results of Operations" sections of, and elsewhere in, the Company’s SEC filings, copies of which may be obtained from the SEC website, www.sec.gov, or by contacting the investor relations department of Genesco via the Company’s website, www.genesco.com. Many of the factors that will determine the outcome of the subject matter of this release are beyond Genesco's ability to control or predict. Genesco undertakes no obligation to release publicly the results of any revisions to these forward-looking statements that may be made to reflect events or circumstances after the date hereof or to reflect the occurrence of unanticipated events. Forward-looking statements reflect the expectations of the Company at the time they are made. The Company disclaims any obligation to update such statements. Safe Harbor Statement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 report consolidated financial results in accordance with generally accepted accounting principles (“GAAP”). However, to supplement these consolidated financial results our presentation includes certain non-GAAP financial measures such as earnings (loss) and earnings (loss) per share and operating income (loss). This supplemental information should not be considered in isolation as a substitute for related GAAP measures. We believe that disclosure of earnings (loss) and earnings (loss) per share from continuing operations and operating income (loss) adjusted for the items not reflected in the previously announced expectations will be meaningful to investors, especially in light of the impact of such items on the results. Reconciliations of the non-GAAP supplemental information to the comparable GAAP measures can be found in the Appendix. Non-GAAP  Financial Measures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SALES $530M Down 3% vs Q2 FY2026 with ?e-commerce 22% of retail sales GAAP SG&amp;A 49.0% and 60 bps deleverage vs Q2 FY2026 Non-GAAP SG&amp;A 48.8% and 40 bps deleverage vs Q2 FY2026 COMPS -1% Stores Johnston &amp; Murphy Journeys +1% +4% +2% GAAP OI $3.6M $18 million improvement vs Q2 FY2026 Non-GAAP OI ($8.3M) $6 million improvement vs Q2 FY2026 Q2 FY27 Financial Snapshot (1) GAAP GROSS MARGIN 51.4% Up 560 bps vs Q2 FY2026 Non-GAAP GROSS MARGIN 47.2% Up 140 bps vs Q2 FY2026 GAAP EPS $0.32 Non-GAAP EPS ($0.83) (1) GAAP results include $22.5 million of tariff refunds, including interest income.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second quarter exceeded our expectations with increased gross margins and improvement in both operating income and earnings per share compared to last year Adjusted operating margin improved 100 basis points compared to last year Adjusted loss per share improved 27% over last year Stores continued positive growth with comps up 1% on top of 5% last year Journeys delivered 2% comp growth on top of a 9% increase last year, marking the eighth consecutive quarter of positive comps Johnston &amp; Murphy delivered 4% comps, marking their third consecutive quarter of positive comps Adjusted gross margin improved 140 basis points over last year reflecting more full-price selling Adjusted selling and administrative expenses decreased $6 million over last year reflecting disciplined expense management; Journeys delivered 180 basis points of expense leverage Raising our adjusted EPS guidance to the high end of our previous guidance of $2.00 to $2.40 vs. the midpoint last quarter Q2 FY27 Highlights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 unite footwear-led brands that inspire consumers with elevated, on-trend style Footwear First Strategy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Footwear is what we know, ?and our brands are where we win. ??By combining winning assortments, distinctive brands, and exceptional customer experiences, we attract more customers and create loyalty.??Our people are our advantage. We have the teams, the skills, and the drive for success. What We Do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Curate &amp; Create Winning Product We focus on having the right footwear, in the right styles, all the time. Elevate Distinct Brands We activate brands with unique stories, product, and experiences to be top of mind for our customers. Create Exceptional Experiences We offer compelling physical and digital environments that drive customers to choose us. Build Amazing Teams We have the capabilities to perform, improve, and deliver results that move us forward. Growth Drivers Powered by Performance 2 3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What is Journeys’ Strategic Growth Plan? Multi-Brand, multi-category offering to inspire the journey from one you to the next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Unique Consumer Positioning There is white space in the market for Journeys to expand its reach amongst teens with a sharp focus on females STYLE-LED FOOTWEAR DESTINATION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three consumer segments reach a wider teen audience with a more intentional focus Target Consumer Segments @STYLECHASER What’s cool &amp; fashionable More mainstream Later trend adopters @ANTI-HERO Independent Heritage Journeys consumer Self-expression @DYNAMICEXPLORER Many different styles What’s new &amp; next Seeks latest trend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STRATEGIES DIVERSIFY OUR FOOTWEAR LEADERSHIP BUILD OUR BRAND RE-IMAGINE OUR STORE FLEET DRIVE DIGITAL EVOLUTION UNLOCK THE POWER OF OUR PEOPLE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DIVERSIFY OUR FOOTWEAR LEADERSHIP STRATEGIES Lead with Her Elevate &amp; Diversify the Assortment Extend Key Franchise Leadership Drive Newness and Trend Leadership ASP Increases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BUILD OUR BRAND STRATEGIES Life on Loud and New Creative Concept for BTS and Holiday Invest in Journeys Brand Presence for Greater Awareness Elevate Editorial Content and Trend Positioning Expand Brand Activation Launch Community Platform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STRATEGIES Double 4.0 Store Count Pursue Targeted Expansions &amp; Relocations Strengthen Key Markets Test Journeys Kidz 4.0 Concept RE-IMAGINE OUR STORE FLEET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STRATEGIES Improve Online Discoverability within Agentic Search Elevate the Site Experience Increase Customer Acquisition &amp; Retention Including All-Access DRIVE DIGITAL EVOLUTION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FY27 Key Earnings Highlights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6mos FY27 Key Earnings Highlights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TOTAL LIQUIDITY ~$394M Liquidity is comprised of ?cash and borrowing available ?under bank facilities INVENTORY $540M +8% vs Q2 FY2026 CAPITAL EXPENDITURES $17M ~95% allocated to stores ~5% to other STORE COUNT 1,186 3 25 Opened Closed SHARE REPURCHASES None in quarter; Repurchased 317,503 shares as of 8-31-2026 in the third quarter of Fiscal 2027 $19M remaining under current authorization JOURNEYS 4.0 25 remodels (includes 1 Journeys Kidz 4.0) 130 total remodels to date Q2 FY27 Capital Allocation Snapshot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FY27 Net Sales $529.9 Million Journeys Schuh Johnston &amp; Murphy Group Genesco Brands Group Q2 FY27 Sales by Segment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&amp; Proj 12 mos FY27  Retail Store Summary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FY27 Outlook(1) Additional color on anticipated sales growth by business which includes a reduction in sales of approximately $30 million due to net store closures: Journeys: Low-single digit percentage increase schuh: Low-double digit percentage decrease with promotional reset (vs previous mid-single digit decrease) Johnston &amp; Murphy: Mid-single digit percentage increase Genesco Brands Group: A reduction in sales of approx. $30 million net due to exit of licenses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FY27  Adjusted Operating Income (Loss) Statement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6mos FY27  Adjusted Operating Income (Loss) Statement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FY27 Non-GAAP Reconciliation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6mos Non-GAAP Reconciliation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FY27 Adjusted Gross Margin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6mos FY27 Adjusted Gross Margin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FY27 Adjusted Selling &amp; Administrative Expenses and Adjusted Interest, net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6mos FY27 Adjusted Selling &amp; Administrative Expenses and Adjusted Interest, net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21431250"/>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FY27 Q2 GENESCO Summary Results September 3,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9480</Words>
  <Characters>50014</Characters>
  <CharactersWithSpaces>60126</CharactersWithSpaces>
  <Paragraphs>4452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