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Collins Jonathan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GENESCO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MARRIOTT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GENESCO INC</w:t>
              </w:r>
            </w:hyperlink>
            <w:r>
              <w:rPr/>
              <w:t xml:space="preserve"> [ </w:t>
            </w:r>
            <w:r>
              <w:rPr>
                <w:rFonts w:ascii="Times;serif" w:hAnsi="Times;serif"/>
                <w:color w:val="0000FF"/>
                <w:sz w:val="24"/>
                <w:shd w:fill="FFFFFF" w:val="clear"/>
              </w:rPr>
              <w:t>GCO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11,424</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11,424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under the Fourth Amended and Restated 2020 Equity Incentive Plan. The first one-third tranche of the award will vest on August 3, 2027. The second and third tranches of the restricted stock award will vest on April 4, 2028 and April 4, 2029,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E. Becker,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626" TargetMode="External"/><Relationship Id="rId5" Type="http://schemas.openxmlformats.org/officeDocument/2006/relationships/hyperlink" Target="http://www.sec.gov/cgi-bin/browse-edgar?action=getcompany&amp;CIK=00000184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3309</Characters>
  <CharactersWithSpaces>3855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