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857d8k.htm"/>
      <w:bookmarkStart w:id="1" w:name="ksd16585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Genesco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2825"/>
        <w:gridCol w:w="60"/>
        <w:gridCol w:w="980"/>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Tennessee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1-3083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62-0211340</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535 Marriott Drive</w:t>
            </w:r>
          </w:p>
          <w:p>
            <w:pPr>
              <w:pStyle w:val="TableContents"/>
              <w:bidi w:val="0"/>
              <w:spacing w:before="0" w:after="20"/>
              <w:jc w:val="center"/>
              <w:rPr>
                <w:rFonts w:ascii="Times New Roman" w:hAnsi="Times New Roman"/>
                <w:b/>
                <w:sz w:val="20"/>
              </w:rPr>
            </w:pPr>
            <w:r>
              <w:rPr>
                <w:rFonts w:ascii="Times New Roman" w:hAnsi="Times New Roman"/>
                <w:b/>
                <w:sz w:val="20"/>
              </w:rPr>
              <w:t>Nashville,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37214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615 367-7000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GCO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Genesco Inc. (the “Company”) held its Annual Meeting of Shareholders on July 21, 2026 (the “Annual Meeting”). There were 11,106,973 shares of common stock and 28,495 shares of Employees’ Subordinated Convertible Preferred Stock outstanding and entitled to vote as of June 11, 2026, the record date for the Annual Meeting, with each such share being entitled to one vote for each matter considered at the Annual Meeting. There were 9,535,836 votes represented at the Annual Meeting by valid proxies or voted at the Annual Meeting (consisting of 9,534,652 shares of common stock and 1,184 shares of Employees’ Subordinated Convertible Preferred Stock), which was approximately 85.63% of the combined total of shares of common stock and Employees’ Subordinated Convertible Preferred Stock outstanding and entitled to vote at the Annual Meeting, which constituted a quorum.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are the matters voted upon at the Annual Meeting, which are more fully described in the Company’s definitive proxy statement on Schedule 14A filed with the U.S. Securities and Exchange Commission on June 15, 2026 in connection with the Annual Meeting, and the final voting results tabulated by the Company’s independent Inspector of Election, First Coast Results, Inc. </w:t>
      </w:r>
    </w:p>
    <w:p>
      <w:pPr>
        <w:pStyle w:val="TextBody"/>
        <w:bidi w:val="0"/>
        <w:spacing w:before="360" w:after="0"/>
        <w:jc w:val="left"/>
        <w:rPr>
          <w:rFonts w:ascii="Times New Roman" w:hAnsi="Times New Roman"/>
          <w:b/>
          <w:sz w:val="20"/>
        </w:rPr>
      </w:pPr>
      <w:r>
        <w:rPr>
          <w:rFonts w:ascii="Times New Roman" w:hAnsi="Times New Roman"/>
          <w:b/>
          <w:sz w:val="20"/>
        </w:rPr>
        <w:t xml:space="preserve">1. Election of nine directors to hold office until the 2027 Annual Meeting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voted to elect nine directors, each to hold office until the 2027 Annual Meeting of Shareholders and until such director’s successor has been elected and qualified or until their earlier resignation or removal. As a result of the vote, nine were elected to the Board of Directors, by the following votes: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690"/>
        <w:gridCol w:w="60"/>
        <w:gridCol w:w="980"/>
        <w:gridCol w:w="60"/>
        <w:gridCol w:w="995"/>
      </w:tblGrid>
      <w:tr>
        <w:trPr/>
        <w:tc>
          <w:tcPr>
            <w:tcW w:w="2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Withhold</w:t>
            </w:r>
          </w:p>
        </w:tc>
      </w:tr>
      <w:tr>
        <w:trPr/>
        <w:tc>
          <w:tcPr>
            <w:tcW w:w="2690" w:type="dxa"/>
            <w:tcBorders/>
            <w:vAlign w:val="center"/>
          </w:tcPr>
          <w:p>
            <w:pPr>
              <w:pStyle w:val="TableContents"/>
              <w:bidi w:val="0"/>
              <w:spacing w:before="0" w:after="283"/>
              <w:jc w:val="center"/>
              <w:rPr/>
            </w:pPr>
            <w:r>
              <w:rPr/>
              <w:t>Company’s Nominees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Joanna Barsh</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8,355,108</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1,092,535</w:t>
            </w:r>
          </w:p>
        </w:tc>
      </w:tr>
      <w:tr>
        <w:trPr/>
        <w:tc>
          <w:tcPr>
            <w:tcW w:w="2690" w:type="dxa"/>
            <w:tcBorders/>
            <w:vAlign w:val="center"/>
          </w:tcPr>
          <w:p>
            <w:pPr>
              <w:pStyle w:val="TableContents"/>
              <w:bidi w:val="0"/>
              <w:spacing w:before="0" w:after="283"/>
              <w:jc w:val="left"/>
              <w:rPr/>
            </w:pPr>
            <w:r>
              <w:rPr/>
              <w:t>Matthew M. Bilunas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8,447,722</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994,055</w:t>
            </w:r>
          </w:p>
        </w:tc>
      </w:tr>
      <w:tr>
        <w:trPr/>
        <w:tc>
          <w:tcPr>
            <w:tcW w:w="2690" w:type="dxa"/>
            <w:tcBorders/>
            <w:vAlign w:val="center"/>
          </w:tcPr>
          <w:p>
            <w:pPr>
              <w:pStyle w:val="TableContents"/>
              <w:bidi w:val="0"/>
              <w:spacing w:before="0" w:after="283"/>
              <w:jc w:val="left"/>
              <w:rPr/>
            </w:pPr>
            <w:r>
              <w:rPr/>
              <w:t>Carolyn Bojanowski</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8,481,171</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960,636</w:t>
            </w:r>
          </w:p>
        </w:tc>
      </w:tr>
      <w:tr>
        <w:trPr/>
        <w:tc>
          <w:tcPr>
            <w:tcW w:w="2690" w:type="dxa"/>
            <w:tcBorders/>
            <w:vAlign w:val="center"/>
          </w:tcPr>
          <w:p>
            <w:pPr>
              <w:pStyle w:val="TableContents"/>
              <w:bidi w:val="0"/>
              <w:spacing w:before="0" w:after="283"/>
              <w:jc w:val="left"/>
              <w:rPr/>
            </w:pPr>
            <w:r>
              <w:rPr/>
              <w:t>John F. Lambros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8,447,734</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994,073</w:t>
            </w:r>
          </w:p>
        </w:tc>
      </w:tr>
      <w:tr>
        <w:trPr/>
        <w:tc>
          <w:tcPr>
            <w:tcW w:w="2690" w:type="dxa"/>
            <w:tcBorders/>
            <w:vAlign w:val="center"/>
          </w:tcPr>
          <w:p>
            <w:pPr>
              <w:pStyle w:val="TableContents"/>
              <w:bidi w:val="0"/>
              <w:spacing w:before="0" w:after="283"/>
              <w:jc w:val="left"/>
              <w:rPr/>
            </w:pPr>
            <w:r>
              <w:rPr/>
              <w:t>Thurgood Marshall, Jr.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8,398,000</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1,049,626</w:t>
            </w:r>
          </w:p>
        </w:tc>
      </w:tr>
      <w:tr>
        <w:trPr/>
        <w:tc>
          <w:tcPr>
            <w:tcW w:w="2690" w:type="dxa"/>
            <w:tcBorders/>
            <w:vAlign w:val="center"/>
          </w:tcPr>
          <w:p>
            <w:pPr>
              <w:pStyle w:val="TableContents"/>
              <w:bidi w:val="0"/>
              <w:spacing w:before="0" w:after="283"/>
              <w:jc w:val="left"/>
              <w:rPr/>
            </w:pPr>
            <w:r>
              <w:rPr/>
              <w:t>Angel R. Martinez</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8,480,265</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961,132</w:t>
            </w:r>
          </w:p>
        </w:tc>
      </w:tr>
      <w:tr>
        <w:trPr/>
        <w:tc>
          <w:tcPr>
            <w:tcW w:w="2690" w:type="dxa"/>
            <w:tcBorders/>
            <w:vAlign w:val="center"/>
          </w:tcPr>
          <w:p>
            <w:pPr>
              <w:pStyle w:val="TableContents"/>
              <w:bidi w:val="0"/>
              <w:spacing w:before="0" w:after="283"/>
              <w:jc w:val="left"/>
              <w:rPr/>
            </w:pPr>
            <w:r>
              <w:rPr/>
              <w:t>Mary E. Meixelsperger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8,446,119</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995,300</w:t>
            </w:r>
          </w:p>
        </w:tc>
      </w:tr>
      <w:tr>
        <w:trPr/>
        <w:tc>
          <w:tcPr>
            <w:tcW w:w="2690" w:type="dxa"/>
            <w:tcBorders/>
            <w:vAlign w:val="center"/>
          </w:tcPr>
          <w:p>
            <w:pPr>
              <w:pStyle w:val="TableContents"/>
              <w:bidi w:val="0"/>
              <w:spacing w:before="0" w:after="283"/>
              <w:jc w:val="left"/>
              <w:rPr/>
            </w:pPr>
            <w:r>
              <w:rPr/>
              <w:t>Gregory A. Sandfort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8,447,402</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994,390</w:t>
            </w:r>
          </w:p>
        </w:tc>
      </w:tr>
      <w:tr>
        <w:trPr/>
        <w:tc>
          <w:tcPr>
            <w:tcW w:w="2690" w:type="dxa"/>
            <w:tcBorders/>
            <w:vAlign w:val="center"/>
          </w:tcPr>
          <w:p>
            <w:pPr>
              <w:pStyle w:val="TableContents"/>
              <w:bidi w:val="0"/>
              <w:spacing w:before="0" w:after="283"/>
              <w:jc w:val="left"/>
              <w:rPr/>
            </w:pPr>
            <w:r>
              <w:rPr/>
              <w:t>Mimi E. Vaughn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8,420,678</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1,026,966</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center"/>
              <w:rPr/>
            </w:pPr>
            <w:r>
              <w:rPr/>
              <w:t>Bradley Radoff’s Nominees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Westervelt T. Ballard, Jr.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1,034,186</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8,318,340</w:t>
            </w:r>
          </w:p>
        </w:tc>
      </w:tr>
      <w:tr>
        <w:trPr/>
        <w:tc>
          <w:tcPr>
            <w:tcW w:w="2690" w:type="dxa"/>
            <w:tcBorders/>
            <w:vAlign w:val="center"/>
          </w:tcPr>
          <w:p>
            <w:pPr>
              <w:pStyle w:val="TableContents"/>
              <w:bidi w:val="0"/>
              <w:spacing w:before="0" w:after="283"/>
              <w:jc w:val="left"/>
              <w:rPr/>
            </w:pPr>
            <w:r>
              <w:rPr/>
              <w:t>Paula J. Poskon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1,032,892</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8,319,579</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 Proposal to approve, on an advisory basis, named executive officer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approved, on an advisory basis, the compensation of the Company’s named executive officers, by the following votes: </w:t>
      </w:r>
    </w:p>
    <w:p>
      <w:pPr>
        <w:pStyle w:val="TextBody"/>
        <w:bidi w:val="0"/>
        <w:spacing w:before="0" w:after="0"/>
        <w:jc w:val="left"/>
        <w:rPr/>
      </w:pPr>
      <w:r>
        <w:rPr/>
        <w:t> </w:t>
      </w:r>
    </w:p>
    <w:tbl>
      <w:tblPr>
        <w:tblW w:w="5075" w:type="dxa"/>
        <w:jc w:val="left"/>
        <w:tblInd w:w="0" w:type="dxa"/>
        <w:tblLayout w:type="fixed"/>
        <w:tblCellMar>
          <w:top w:w="0" w:type="dxa"/>
          <w:left w:w="0" w:type="dxa"/>
          <w:bottom w:w="0" w:type="dxa"/>
          <w:right w:w="0" w:type="dxa"/>
        </w:tblCellMar>
      </w:tblPr>
      <w:tblGrid>
        <w:gridCol w:w="1085"/>
        <w:gridCol w:w="60"/>
        <w:gridCol w:w="1475"/>
        <w:gridCol w:w="60"/>
        <w:gridCol w:w="1220"/>
        <w:gridCol w:w="60"/>
        <w:gridCol w:w="111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8" w:space="0" w:color="000000"/>
            </w:tcBorders>
            <w:tcMar>
              <w:bottom w:w="28" w:type="dxa"/>
            </w:tcMar>
            <w:vAlign w:val="center"/>
          </w:tcPr>
          <w:p>
            <w:pPr>
              <w:pStyle w:val="TableContents"/>
              <w:bidi w:val="0"/>
              <w:spacing w:before="0" w:after="283"/>
              <w:jc w:val="center"/>
              <w:rPr>
                <w:b/>
              </w:rPr>
            </w:pPr>
            <w:r>
              <w:rPr>
                <w:b/>
              </w:rPr>
              <w:t>Voted For</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b/>
              </w:rPr>
            </w:pPr>
            <w:r>
              <w:rPr>
                <w:b/>
              </w:rPr>
              <w:t>Voted Against</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Broker</w:t>
              <w:br/>
              <w:t>Non-Votes</w:t>
            </w:r>
          </w:p>
        </w:tc>
      </w:tr>
      <w:tr>
        <w:trPr/>
        <w:tc>
          <w:tcPr>
            <w:tcW w:w="1085" w:type="dxa"/>
            <w:tcBorders/>
            <w:vAlign w:val="center"/>
          </w:tcPr>
          <w:p>
            <w:pPr>
              <w:pStyle w:val="TableContents"/>
              <w:bidi w:val="0"/>
              <w:spacing w:before="0" w:after="283"/>
              <w:jc w:val="center"/>
              <w:rPr/>
            </w:pPr>
            <w:r>
              <w:rPr/>
              <w:t>8,188,814</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1,062,500</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198,514</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86,008</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3. Proposal to approve the Genesco Inc. Fourth Amended and Restated 2020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approved the Genesco Inc. Fourth Amended and Restated 2020 Equity Incentive Plan, by the following votes: </w:t>
      </w:r>
    </w:p>
    <w:p>
      <w:pPr>
        <w:pStyle w:val="TextBody"/>
        <w:bidi w:val="0"/>
        <w:spacing w:before="0" w:after="0"/>
        <w:jc w:val="left"/>
        <w:rPr/>
      </w:pPr>
      <w:r>
        <w:rPr/>
        <w:t> </w:t>
      </w:r>
      <w:r>
        <w:br w:type="page"/>
      </w:r>
    </w:p>
    <w:p>
      <w:pPr>
        <w:pStyle w:val="HorizontalLine"/>
        <w:bidi w:val="0"/>
        <w:jc w:val="left"/>
        <w:rPr/>
      </w:pPr>
      <w:r>
        <w:rPr/>
      </w:r>
    </w:p>
    <w:tbl>
      <w:tblPr>
        <w:tblW w:w="5075" w:type="dxa"/>
        <w:jc w:val="left"/>
        <w:tblInd w:w="0" w:type="dxa"/>
        <w:tblLayout w:type="fixed"/>
        <w:tblCellMar>
          <w:top w:w="0" w:type="dxa"/>
          <w:left w:w="0" w:type="dxa"/>
          <w:bottom w:w="0" w:type="dxa"/>
          <w:right w:w="0" w:type="dxa"/>
        </w:tblCellMar>
      </w:tblPr>
      <w:tblGrid>
        <w:gridCol w:w="1085"/>
        <w:gridCol w:w="60"/>
        <w:gridCol w:w="1475"/>
        <w:gridCol w:w="60"/>
        <w:gridCol w:w="1220"/>
        <w:gridCol w:w="60"/>
        <w:gridCol w:w="111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8" w:space="0" w:color="000000"/>
            </w:tcBorders>
            <w:tcMar>
              <w:bottom w:w="28" w:type="dxa"/>
            </w:tcMar>
            <w:vAlign w:val="center"/>
          </w:tcPr>
          <w:p>
            <w:pPr>
              <w:pStyle w:val="TableContents"/>
              <w:bidi w:val="0"/>
              <w:spacing w:before="0" w:after="283"/>
              <w:jc w:val="center"/>
              <w:rPr>
                <w:b/>
              </w:rPr>
            </w:pPr>
            <w:r>
              <w:rPr>
                <w:b/>
              </w:rPr>
              <w:t>Voted For</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b/>
              </w:rPr>
            </w:pPr>
            <w:r>
              <w:rPr>
                <w:b/>
              </w:rPr>
              <w:t>Voted Against</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Broker</w:t>
              <w:br/>
              <w:t>Non-Votes</w:t>
            </w:r>
          </w:p>
        </w:tc>
      </w:tr>
      <w:tr>
        <w:trPr/>
        <w:tc>
          <w:tcPr>
            <w:tcW w:w="1085" w:type="dxa"/>
            <w:tcBorders/>
            <w:vAlign w:val="center"/>
          </w:tcPr>
          <w:p>
            <w:pPr>
              <w:pStyle w:val="TableContents"/>
              <w:bidi w:val="0"/>
              <w:spacing w:before="0" w:after="283"/>
              <w:jc w:val="center"/>
              <w:rPr/>
            </w:pPr>
            <w:r>
              <w:rPr/>
              <w:t>5,142,232</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4,300,596</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7,000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86,008</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b/>
              </w:rPr>
            </w:pPr>
            <w:r>
              <w:rPr>
                <w:b/>
              </w:rPr>
              <w:t>4.</w:t>
            </w:r>
          </w:p>
        </w:tc>
        <w:tc>
          <w:tcPr>
            <w:tcW w:w="100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Proposal to ratify the appointment of Deloitte &amp; Touche LLP as the Company’s independent registered public accounting firm for the fiscal year ending January 30, 2027.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shareholders approved the ratification of the appointment of Deloitte &amp; Touche LLP as the Company’s independent registered public accounting firm for the fiscal year ending January 30, 2027, by the following votes: </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085"/>
        <w:gridCol w:w="60"/>
        <w:gridCol w:w="1475"/>
        <w:gridCol w:w="60"/>
        <w:gridCol w:w="123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8" w:space="0" w:color="000000"/>
            </w:tcBorders>
            <w:tcMar>
              <w:bottom w:w="28" w:type="dxa"/>
            </w:tcMar>
            <w:vAlign w:val="center"/>
          </w:tcPr>
          <w:p>
            <w:pPr>
              <w:pStyle w:val="TableContents"/>
              <w:bidi w:val="0"/>
              <w:spacing w:before="0" w:after="283"/>
              <w:jc w:val="center"/>
              <w:rPr>
                <w:b/>
              </w:rPr>
            </w:pPr>
            <w:r>
              <w:rPr>
                <w:b/>
              </w:rPr>
              <w:t>Voted For</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b/>
              </w:rPr>
            </w:pPr>
            <w:r>
              <w:rPr>
                <w:b/>
              </w:rPr>
              <w:t>Voted Against</w:t>
            </w:r>
          </w:p>
        </w:tc>
        <w:tc>
          <w:tcPr>
            <w:tcW w:w="60" w:type="dxa"/>
            <w:tcBorders/>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r>
      <w:tr>
        <w:trPr/>
        <w:tc>
          <w:tcPr>
            <w:tcW w:w="1085" w:type="dxa"/>
            <w:tcBorders/>
            <w:vAlign w:val="center"/>
          </w:tcPr>
          <w:p>
            <w:pPr>
              <w:pStyle w:val="TableContents"/>
              <w:bidi w:val="0"/>
              <w:spacing w:before="0" w:after="283"/>
              <w:jc w:val="center"/>
              <w:rPr/>
            </w:pPr>
            <w:r>
              <w:rPr/>
              <w:t>8,435,800</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1,094,033</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6,003</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738" w:type="dxa"/>
        <w:jc w:val="left"/>
        <w:tblInd w:w="0" w:type="dxa"/>
        <w:tblLayout w:type="fixed"/>
        <w:tblCellMar>
          <w:top w:w="0" w:type="dxa"/>
          <w:left w:w="0" w:type="dxa"/>
          <w:bottom w:w="0" w:type="dxa"/>
          <w:right w:w="0" w:type="dxa"/>
        </w:tblCellMar>
      </w:tblPr>
      <w:tblGrid>
        <w:gridCol w:w="1730"/>
        <w:gridCol w:w="60"/>
        <w:gridCol w:w="23"/>
        <w:gridCol w:w="60"/>
        <w:gridCol w:w="650"/>
        <w:gridCol w:w="60"/>
        <w:gridCol w:w="6155"/>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5"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b/>
              </w:rPr>
            </w:pPr>
            <w:r>
              <w:rPr>
                <w:b/>
              </w:rPr>
              <w:t>Genesco Inc.</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215" w:type="dxa"/>
            <w:gridSpan w:val="2"/>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July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E. Becker</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Scott E. Becker</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841</Words>
  <Characters>4707</Characters>
  <CharactersWithSpaces>5533</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