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UNITED STATES</w:t>
      </w:r>
    </w:p>
    <w:p>
      <w:pPr>
        <w:spacing w:after="0" w:line="2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SECURITIES AND EXCHANGE COMMISSION</w:t>
      </w:r>
    </w:p>
    <w:p>
      <w:pPr>
        <w:spacing w:after="0" w:line="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13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SCHEDULE 14A</w:t>
      </w:r>
    </w:p>
    <w:p>
      <w:pPr>
        <w:spacing w:after="0" w:line="2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color w:val="auto"/>
        </w:rPr>
        <w:t>(Rule 14a-101)</w:t>
      </w:r>
    </w:p>
    <w:p>
      <w:pPr>
        <w:spacing w:after="0" w:line="15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color w:val="auto"/>
        </w:rPr>
        <w:t>INFORMATION REQUIRED IN PROXY STATEMENT</w:t>
      </w:r>
    </w:p>
    <w:p>
      <w:pPr>
        <w:spacing w:after="0" w:line="15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color w:val="auto"/>
        </w:rPr>
        <w:t>SCHEDULE 14A INFORMATION</w:t>
      </w:r>
    </w:p>
    <w:p>
      <w:pPr>
        <w:spacing w:after="0" w:line="15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1"/>
          <w:szCs w:val="11"/>
          <w:color w:val="auto"/>
        </w:rPr>
        <w:t>Proxy Statement Pursuant to Section 14(a) of the Securities Exchange Act of 1934</w:t>
      </w:r>
    </w:p>
    <w:p>
      <w:pPr>
        <w:spacing w:after="0" w:line="162" w:lineRule="exact"/>
        <w:rPr>
          <w:sz w:val="24"/>
          <w:szCs w:val="24"/>
          <w:color w:val="auto"/>
        </w:rPr>
      </w:pPr>
    </w:p>
    <w:p>
      <w:pPr>
        <w:ind w:left="5180"/>
        <w:spacing w:after="0"/>
        <w:rPr>
          <w:sz w:val="20"/>
          <w:szCs w:val="20"/>
          <w:color w:val="auto"/>
        </w:rPr>
      </w:pPr>
      <w:r>
        <w:rPr>
          <w:rFonts w:ascii="Times New Roman" w:cs="Times New Roman" w:eastAsia="Times New Roman" w:hAnsi="Times New Roman"/>
          <w:sz w:val="12"/>
          <w:szCs w:val="12"/>
          <w:color w:val="auto"/>
        </w:rPr>
        <w:t>(Amendment No. )</w:t>
      </w:r>
    </w:p>
    <w:p>
      <w:pPr>
        <w:spacing w:after="0" w:line="122" w:lineRule="exact"/>
        <w:rPr>
          <w:sz w:val="24"/>
          <w:szCs w:val="24"/>
          <w:color w:val="auto"/>
        </w:rPr>
      </w:pPr>
    </w:p>
    <w:p>
      <w:pPr>
        <w:spacing w:after="0" w:line="138" w:lineRule="exact"/>
        <w:rPr>
          <w:sz w:val="20"/>
          <w:szCs w:val="20"/>
          <w:color w:val="auto"/>
        </w:rPr>
      </w:pPr>
      <w:r>
        <w:rPr>
          <w:rFonts w:ascii="Times New Roman" w:cs="Times New Roman" w:eastAsia="Times New Roman" w:hAnsi="Times New Roman"/>
          <w:sz w:val="12"/>
          <w:szCs w:val="12"/>
          <w:color w:val="auto"/>
        </w:rPr>
        <w:t xml:space="preserve">Filed by the Registrant </w:t>
      </w:r>
      <w:r>
        <w:rPr>
          <w:rFonts w:ascii="MS PGothic" w:cs="MS PGothic" w:eastAsia="MS PGothic" w:hAnsi="MS PGothic"/>
          <w:sz w:val="12"/>
          <w:szCs w:val="12"/>
          <w:color w:val="auto"/>
        </w:rPr>
        <w:t>☐</w:t>
      </w:r>
    </w:p>
    <w:p>
      <w:pPr>
        <w:spacing w:after="0" w:line="150" w:lineRule="exact"/>
        <w:rPr>
          <w:sz w:val="24"/>
          <w:szCs w:val="24"/>
          <w:color w:val="auto"/>
        </w:rPr>
      </w:pPr>
    </w:p>
    <w:p>
      <w:pPr>
        <w:spacing w:after="0" w:line="138" w:lineRule="exact"/>
        <w:rPr>
          <w:sz w:val="20"/>
          <w:szCs w:val="20"/>
          <w:color w:val="auto"/>
        </w:rPr>
      </w:pPr>
      <w:r>
        <w:rPr>
          <w:rFonts w:ascii="Times New Roman" w:cs="Times New Roman" w:eastAsia="Times New Roman" w:hAnsi="Times New Roman"/>
          <w:sz w:val="12"/>
          <w:szCs w:val="12"/>
          <w:color w:val="auto"/>
        </w:rPr>
        <w:t xml:space="preserve">Filed by a Party other than the Registrant </w:t>
      </w:r>
      <w:r>
        <w:rPr>
          <w:rFonts w:ascii="MS PGothic" w:cs="MS PGothic" w:eastAsia="MS PGothic" w:hAnsi="MS PGothic"/>
          <w:sz w:val="12"/>
          <w:szCs w:val="12"/>
          <w:color w:val="auto"/>
        </w:rPr>
        <w:t>☒</w:t>
      </w:r>
    </w:p>
    <w:p>
      <w:pPr>
        <w:spacing w:after="0" w:line="178"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Check the appropriate box:</w:t>
      </w:r>
    </w:p>
    <w:p>
      <w:pPr>
        <w:spacing w:after="0" w:line="150" w:lineRule="exact"/>
        <w:rPr>
          <w:sz w:val="24"/>
          <w:szCs w:val="24"/>
          <w:color w:val="auto"/>
        </w:rPr>
      </w:pPr>
    </w:p>
    <w:p>
      <w:pPr>
        <w:ind w:left="860" w:hanging="436"/>
        <w:spacing w:after="0"/>
        <w:tabs>
          <w:tab w:leader="none" w:pos="86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Preliminary Proxy Statement</w:t>
      </w:r>
    </w:p>
    <w:p>
      <w:pPr>
        <w:spacing w:after="0" w:line="150" w:lineRule="exact"/>
        <w:rPr>
          <w:rFonts w:ascii="MS PGothic" w:cs="MS PGothic" w:eastAsia="MS PGothic" w:hAnsi="MS PGothic"/>
          <w:sz w:val="12"/>
          <w:szCs w:val="12"/>
          <w:color w:val="auto"/>
        </w:rPr>
      </w:pPr>
    </w:p>
    <w:p>
      <w:pPr>
        <w:ind w:left="860" w:hanging="436"/>
        <w:spacing w:after="0"/>
        <w:tabs>
          <w:tab w:leader="none" w:pos="86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Confidential, for Use of the Commission Only (as permitted by Rule 14a-6(e)(2))</w:t>
      </w:r>
    </w:p>
    <w:p>
      <w:pPr>
        <w:spacing w:after="0" w:line="150" w:lineRule="exact"/>
        <w:rPr>
          <w:rFonts w:ascii="MS PGothic" w:cs="MS PGothic" w:eastAsia="MS PGothic" w:hAnsi="MS PGothic"/>
          <w:sz w:val="12"/>
          <w:szCs w:val="12"/>
          <w:color w:val="auto"/>
        </w:rPr>
      </w:pPr>
    </w:p>
    <w:p>
      <w:pPr>
        <w:ind w:left="860" w:hanging="436"/>
        <w:spacing w:after="0"/>
        <w:tabs>
          <w:tab w:leader="none" w:pos="86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Definitive Proxy Statement</w:t>
      </w:r>
    </w:p>
    <w:p>
      <w:pPr>
        <w:spacing w:after="0" w:line="150" w:lineRule="exact"/>
        <w:rPr>
          <w:sz w:val="24"/>
          <w:szCs w:val="24"/>
          <w:color w:val="auto"/>
        </w:rPr>
      </w:pPr>
    </w:p>
    <w:p>
      <w:pPr>
        <w:ind w:left="860" w:hanging="436"/>
        <w:spacing w:after="0"/>
        <w:tabs>
          <w:tab w:leader="none" w:pos="860" w:val="left"/>
        </w:tabs>
        <w:numPr>
          <w:ilvl w:val="0"/>
          <w:numId w:val="2"/>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Definitive Additional Materials</w:t>
      </w:r>
    </w:p>
    <w:p>
      <w:pPr>
        <w:spacing w:after="0" w:line="168" w:lineRule="exact"/>
        <w:rPr>
          <w:sz w:val="24"/>
          <w:szCs w:val="24"/>
          <w:color w:val="auto"/>
        </w:rPr>
      </w:pPr>
    </w:p>
    <w:p>
      <w:pPr>
        <w:ind w:left="860" w:hanging="436"/>
        <w:spacing w:after="0"/>
        <w:tabs>
          <w:tab w:leader="none" w:pos="860" w:val="left"/>
        </w:tabs>
        <w:numPr>
          <w:ilvl w:val="0"/>
          <w:numId w:val="3"/>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Under § 240.14a-12</w:t>
      </w:r>
    </w:p>
    <w:p>
      <w:pPr>
        <w:spacing w:after="0" w:line="16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color w:val="auto"/>
        </w:rPr>
        <w:t>GENESCO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jc w:val="center"/>
        <w:ind w:right="-1120"/>
        <w:spacing w:after="0"/>
        <w:rPr>
          <w:sz w:val="20"/>
          <w:szCs w:val="20"/>
          <w:color w:val="auto"/>
        </w:rPr>
      </w:pPr>
      <w:r>
        <w:rPr>
          <w:rFonts w:ascii="Times New Roman" w:cs="Times New Roman" w:eastAsia="Times New Roman" w:hAnsi="Times New Roman"/>
          <w:sz w:val="12"/>
          <w:szCs w:val="12"/>
          <w:color w:val="auto"/>
        </w:rPr>
        <w:t>(Name of Registrant as Specified In Its Charter)</w:t>
      </w:r>
    </w:p>
    <w:p>
      <w:pPr>
        <w:spacing w:after="0" w:line="1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color w:val="auto"/>
        </w:rPr>
        <w:t>BRADLEY L. RADOFF</w:t>
      </w:r>
    </w:p>
    <w:p>
      <w:pPr>
        <w:jc w:val="center"/>
        <w:ind w:right="-1120"/>
        <w:spacing w:after="0" w:line="234" w:lineRule="auto"/>
        <w:rPr>
          <w:sz w:val="20"/>
          <w:szCs w:val="20"/>
          <w:color w:val="auto"/>
        </w:rPr>
      </w:pPr>
      <w:r>
        <w:rPr>
          <w:rFonts w:ascii="Times New Roman" w:cs="Times New Roman" w:eastAsia="Times New Roman" w:hAnsi="Times New Roman"/>
          <w:sz w:val="12"/>
          <w:szCs w:val="12"/>
          <w:color w:val="auto"/>
        </w:rPr>
        <w:t>JUMANA CAPITAL INVESTMENTS LLC</w:t>
      </w:r>
    </w:p>
    <w:p>
      <w:pPr>
        <w:jc w:val="center"/>
        <w:ind w:right="-1120"/>
        <w:spacing w:after="0" w:line="219" w:lineRule="auto"/>
        <w:rPr>
          <w:sz w:val="20"/>
          <w:szCs w:val="20"/>
          <w:color w:val="auto"/>
        </w:rPr>
      </w:pPr>
      <w:r>
        <w:rPr>
          <w:rFonts w:ascii="Times New Roman" w:cs="Times New Roman" w:eastAsia="Times New Roman" w:hAnsi="Times New Roman"/>
          <w:sz w:val="12"/>
          <w:szCs w:val="12"/>
          <w:color w:val="auto"/>
        </w:rPr>
        <w:t>CHRISTOPHER R. MARTIN</w:t>
      </w:r>
    </w:p>
    <w:p>
      <w:pPr>
        <w:jc w:val="center"/>
        <w:ind w:right="-1120"/>
        <w:spacing w:after="0" w:line="235" w:lineRule="auto"/>
        <w:rPr>
          <w:sz w:val="20"/>
          <w:szCs w:val="20"/>
          <w:color w:val="auto"/>
        </w:rPr>
      </w:pPr>
      <w:r>
        <w:rPr>
          <w:rFonts w:ascii="Times New Roman" w:cs="Times New Roman" w:eastAsia="Times New Roman" w:hAnsi="Times New Roman"/>
          <w:sz w:val="12"/>
          <w:szCs w:val="12"/>
          <w:color w:val="auto"/>
        </w:rPr>
        <w:t>WESTERVELT T. BALLARD, JR.</w:t>
      </w:r>
    </w:p>
    <w:p>
      <w:pPr>
        <w:jc w:val="center"/>
        <w:ind w:right="-1120"/>
        <w:spacing w:after="0"/>
        <w:rPr>
          <w:sz w:val="20"/>
          <w:szCs w:val="20"/>
          <w:color w:val="auto"/>
        </w:rPr>
      </w:pPr>
      <w:r>
        <w:rPr>
          <w:rFonts w:ascii="Times New Roman" w:cs="Times New Roman" w:eastAsia="Times New Roman" w:hAnsi="Times New Roman"/>
          <w:sz w:val="12"/>
          <w:szCs w:val="12"/>
          <w:color w:val="auto"/>
        </w:rPr>
        <w:t>PAULA J. POSKON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3175</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jc w:val="center"/>
        <w:ind w:right="-1120"/>
        <w:spacing w:after="0"/>
        <w:rPr>
          <w:sz w:val="20"/>
          <w:szCs w:val="20"/>
          <w:color w:val="auto"/>
        </w:rPr>
      </w:pPr>
      <w:r>
        <w:rPr>
          <w:rFonts w:ascii="Times New Roman" w:cs="Times New Roman" w:eastAsia="Times New Roman" w:hAnsi="Times New Roman"/>
          <w:sz w:val="12"/>
          <w:szCs w:val="12"/>
          <w:color w:val="auto"/>
        </w:rPr>
        <w:t>(Name of Persons(s) Filing Proxy Statement, if other than the Registrant)</w:t>
      </w:r>
    </w:p>
    <w:p>
      <w:pPr>
        <w:spacing w:after="0" w:line="166"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Payment of Filing Fee (Check all boxes that apply):</w:t>
      </w:r>
    </w:p>
    <w:p>
      <w:pPr>
        <w:spacing w:after="0" w:line="150" w:lineRule="exact"/>
        <w:rPr>
          <w:sz w:val="24"/>
          <w:szCs w:val="24"/>
          <w:color w:val="auto"/>
        </w:rPr>
      </w:pPr>
    </w:p>
    <w:p>
      <w:pPr>
        <w:ind w:left="860" w:hanging="436"/>
        <w:spacing w:after="0"/>
        <w:tabs>
          <w:tab w:leader="none" w:pos="860" w:val="left"/>
        </w:tabs>
        <w:numPr>
          <w:ilvl w:val="0"/>
          <w:numId w:val="4"/>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No fee required</w:t>
      </w:r>
    </w:p>
    <w:p>
      <w:pPr>
        <w:spacing w:after="0" w:line="168" w:lineRule="exact"/>
        <w:rPr>
          <w:sz w:val="24"/>
          <w:szCs w:val="24"/>
          <w:color w:val="auto"/>
        </w:rPr>
      </w:pPr>
    </w:p>
    <w:p>
      <w:pPr>
        <w:ind w:left="860" w:hanging="436"/>
        <w:spacing w:after="0"/>
        <w:tabs>
          <w:tab w:leader="none" w:pos="860" w:val="left"/>
        </w:tabs>
        <w:numPr>
          <w:ilvl w:val="0"/>
          <w:numId w:val="5"/>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Fee paid previously with preliminary materials</w:t>
      </w:r>
    </w:p>
    <w:p>
      <w:pPr>
        <w:spacing w:after="0" w:line="168" w:lineRule="exact"/>
        <w:rPr>
          <w:rFonts w:ascii="MS PGothic" w:cs="MS PGothic" w:eastAsia="MS PGothic" w:hAnsi="MS PGothic"/>
          <w:sz w:val="12"/>
          <w:szCs w:val="12"/>
          <w:color w:val="auto"/>
        </w:rPr>
      </w:pPr>
    </w:p>
    <w:p>
      <w:pPr>
        <w:ind w:left="860" w:hanging="436"/>
        <w:spacing w:after="0"/>
        <w:tabs>
          <w:tab w:leader="none" w:pos="860" w:val="left"/>
        </w:tabs>
        <w:numPr>
          <w:ilvl w:val="0"/>
          <w:numId w:val="5"/>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262255</wp:posOffset>
            </wp:positionV>
            <wp:extent cx="717804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159"/>
          </w:cols>
          <w:pgMar w:left="300" w:top="197" w:right="1440" w:bottom="1440" w:gutter="0" w:footer="0" w:header="0"/>
        </w:sectPr>
      </w:pPr>
    </w:p>
    <w:bookmarkStart w:id="1" w:name="page2"/>
    <w:bookmarkEnd w:id="1"/>
    <w:p>
      <w:pPr>
        <w:jc w:val="both"/>
        <w:ind w:left="8" w:right="20" w:firstLine="432"/>
        <w:spacing w:after="0" w:line="268" w:lineRule="auto"/>
        <w:rPr>
          <w:sz w:val="20"/>
          <w:szCs w:val="20"/>
          <w:color w:val="auto"/>
        </w:rPr>
      </w:pPr>
      <w:r>
        <w:rPr>
          <w:rFonts w:ascii="Times New Roman" w:cs="Times New Roman" w:eastAsia="Times New Roman" w:hAnsi="Times New Roman"/>
          <w:sz w:val="12"/>
          <w:szCs w:val="12"/>
          <w:color w:val="auto"/>
        </w:rPr>
        <w:t xml:space="preserve">Bradley L. Radoff, Jumana Capital Investments LLC, Christopher R. Martin and the other participants named herein (collectively, the “Radoff-Jumana Group”) have filed a definitive proxy statement and accompanying </w:t>
      </w:r>
      <w:r>
        <w:rPr>
          <w:rFonts w:ascii="Times New Roman" w:cs="Times New Roman" w:eastAsia="Times New Roman" w:hAnsi="Times New Roman"/>
          <w:sz w:val="12"/>
          <w:szCs w:val="12"/>
          <w:b w:val="1"/>
          <w:bCs w:val="1"/>
          <w:color w:val="auto"/>
        </w:rPr>
        <w:t>GOLD</w:t>
      </w:r>
      <w:r>
        <w:rPr>
          <w:rFonts w:ascii="Times New Roman" w:cs="Times New Roman" w:eastAsia="Times New Roman" w:hAnsi="Times New Roman"/>
          <w:sz w:val="12"/>
          <w:szCs w:val="12"/>
          <w:color w:val="auto"/>
        </w:rPr>
        <w:t xml:space="preserve"> universal proxy card with the Securities and Exchange Commission to be used to solicit votes for the election of its slate of highly qualified director nominees at the 2026 annual meeting of shareholders of Genesco Inc., a Tennessee corporation (the “Company”).</w:t>
      </w:r>
    </w:p>
    <w:p>
      <w:pPr>
        <w:spacing w:after="0" w:line="118"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Item 1: On June 29, 2026, the Radoff-Jumana Group issued the following press release:</w:t>
      </w:r>
    </w:p>
    <w:p>
      <w:pPr>
        <w:spacing w:after="0" w:line="14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The Radoff-Jumana Group Releases Presentation Detailing How the Genesco Inc. Board of Directors Appears to Be Beholden to Chair, President, CEO and Interim CFO Mimi Vaughn</w:t>
      </w:r>
    </w:p>
    <w:p>
      <w:pPr>
        <w:spacing w:after="0" w:line="15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i w:val="1"/>
          <w:iCs w:val="1"/>
          <w:color w:val="auto"/>
        </w:rPr>
        <w:t>Highlights That Legacy Directors Thurgood Marshall, Jr. and Joanna Barsh Have Served for 13 and 14 Years, Respectively, During Which Time They’ve Overseen -50% TSR and Faced Three Activist Campaigns</w:t>
      </w:r>
    </w:p>
    <w:p>
      <w:pPr>
        <w:spacing w:after="0" w:line="15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i w:val="1"/>
          <w:iCs w:val="1"/>
          <w:color w:val="auto"/>
        </w:rPr>
        <w:t>Criticizes the Board’s Decision to Hire a Permanent CFO from a Financially Distressed Microcap Company That Has Seen its Share Price Decline by More Than 95%</w:t>
      </w:r>
    </w:p>
    <w:p>
      <w:pPr>
        <w:spacing w:after="0" w:line="15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i w:val="1"/>
          <w:iCs w:val="1"/>
          <w:color w:val="auto"/>
        </w:rPr>
        <w:t>Urges Shareholders to Elect Westervelt T. Ballard, Jr., a Former Public Company CEO, and Paula J. Poskon, an Experienced Public Company Director, to Genesco’s Board to Introduce Accountability</w:t>
      </w:r>
    </w:p>
    <w:p>
      <w:pPr>
        <w:spacing w:after="0" w:line="152" w:lineRule="exact"/>
        <w:rPr>
          <w:sz w:val="20"/>
          <w:szCs w:val="20"/>
          <w:color w:val="auto"/>
        </w:rPr>
      </w:pPr>
    </w:p>
    <w:p>
      <w:pPr>
        <w:jc w:val="both"/>
        <w:ind w:left="8"/>
        <w:spacing w:after="0" w:line="265" w:lineRule="auto"/>
        <w:rPr>
          <w:sz w:val="20"/>
          <w:szCs w:val="20"/>
          <w:color w:val="auto"/>
        </w:rPr>
      </w:pPr>
      <w:r>
        <w:rPr>
          <w:rFonts w:ascii="Times New Roman" w:cs="Times New Roman" w:eastAsia="Times New Roman" w:hAnsi="Times New Roman"/>
          <w:sz w:val="12"/>
          <w:szCs w:val="12"/>
          <w:color w:val="auto"/>
        </w:rPr>
        <w:t xml:space="preserve">HOUSTON--(BUSINESS WIRE)--Bradley L. Radoff, Jumana Capital Investments LLC and Christopher R. Martin (collectively, the “Radoff-Jumana Group” or “we”), who collectively own approximately 8.7% of the outstanding shares of Genesco Inc. (NYSE: GCO) (“Genesco” or the “Company”), today released </w:t>
      </w:r>
      <w:r>
        <w:rPr>
          <w:rFonts w:ascii="Times New Roman" w:cs="Times New Roman" w:eastAsia="Times New Roman" w:hAnsi="Times New Roman"/>
          <w:sz w:val="12"/>
          <w:szCs w:val="12"/>
          <w:b w:val="1"/>
          <w:bCs w:val="1"/>
          <w:color w:val="auto"/>
        </w:rPr>
        <w:t>a presentation</w:t>
      </w:r>
      <w:r>
        <w:rPr>
          <w:rFonts w:ascii="Times New Roman" w:cs="Times New Roman" w:eastAsia="Times New Roman" w:hAnsi="Times New Roman"/>
          <w:sz w:val="12"/>
          <w:szCs w:val="12"/>
          <w:color w:val="auto"/>
        </w:rPr>
        <w:t xml:space="preserve"> detailing why it believes that shareholders should remove legacy over-tenured directors Thurgood Marshall, Jr. and Joanna Barsh from the Company’s Board of Directors (the “Board”).</w:t>
      </w:r>
    </w:p>
    <w:p>
      <w:pPr>
        <w:spacing w:after="0" w:line="11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Key points from the presentation include:</w:t>
      </w:r>
    </w:p>
    <w:p>
      <w:pPr>
        <w:spacing w:after="0" w:line="152" w:lineRule="exact"/>
        <w:rPr>
          <w:sz w:val="20"/>
          <w:szCs w:val="20"/>
          <w:color w:val="auto"/>
        </w:rPr>
      </w:pPr>
    </w:p>
    <w:p>
      <w:pPr>
        <w:ind w:left="428" w:right="20" w:hanging="212"/>
        <w:spacing w:after="0" w:line="238" w:lineRule="auto"/>
        <w:tabs>
          <w:tab w:leader="none" w:pos="428" w:val="left"/>
        </w:tabs>
        <w:numPr>
          <w:ilvl w:val="0"/>
          <w:numId w:val="6"/>
        </w:numPr>
        <w:rPr>
          <w:rFonts w:ascii="Arial" w:cs="Arial" w:eastAsia="Arial" w:hAnsi="Arial"/>
          <w:sz w:val="12"/>
          <w:szCs w:val="12"/>
          <w:b w:val="1"/>
          <w:bCs w:val="1"/>
          <w:color w:val="auto"/>
        </w:rPr>
      </w:pPr>
      <w:r>
        <w:rPr>
          <w:rFonts w:ascii="Times New Roman" w:cs="Times New Roman" w:eastAsia="Times New Roman" w:hAnsi="Times New Roman"/>
          <w:sz w:val="12"/>
          <w:szCs w:val="12"/>
          <w:b w:val="1"/>
          <w:bCs w:val="1"/>
          <w:color w:val="auto"/>
        </w:rPr>
        <w:t xml:space="preserve">Mr. Marshall has served on Genesco’s Board since 2012 and overseen a -53.4% total shareholder return </w:t>
      </w:r>
      <w:r>
        <w:rPr>
          <w:rFonts w:ascii="Times New Roman" w:cs="Times New Roman" w:eastAsia="Times New Roman" w:hAnsi="Times New Roman"/>
          <w:sz w:val="12"/>
          <w:szCs w:val="12"/>
          <w:color w:val="auto"/>
        </w:rPr>
        <w:t>while receiving nearly $2.5 million in compensation.</w:t>
      </w:r>
      <w:r>
        <w:rPr>
          <w:rFonts w:ascii="Times New Roman" w:cs="Times New Roman" w:eastAsia="Times New Roman" w:hAnsi="Times New Roman"/>
          <w:sz w:val="19"/>
          <w:szCs w:val="19"/>
          <w:color w:val="auto"/>
          <w:vertAlign w:val="superscript"/>
        </w:rPr>
        <w:t>1</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He has only ever purchased 3,600 shares of Genesco</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common stock on a single day in July 2012,</w:t>
      </w:r>
      <w:r>
        <w:rPr>
          <w:rFonts w:ascii="Times New Roman" w:cs="Times New Roman" w:eastAsia="Times New Roman" w:hAnsi="Times New Roman"/>
          <w:sz w:val="19"/>
          <w:szCs w:val="19"/>
          <w:color w:val="auto"/>
          <w:vertAlign w:val="superscript"/>
        </w:rPr>
        <w:t>2</w:t>
      </w:r>
      <w:r>
        <w:rPr>
          <w:rFonts w:ascii="Times New Roman" w:cs="Times New Roman" w:eastAsia="Times New Roman" w:hAnsi="Times New Roman"/>
          <w:sz w:val="12"/>
          <w:szCs w:val="12"/>
          <w:color w:val="auto"/>
        </w:rPr>
        <w:t xml:space="preserve"> lacks retail or consumer experience and spent his career as a </w:t>
      </w:r>
      <w:r>
        <w:rPr>
          <w:rFonts w:ascii="Times New Roman" w:cs="Times New Roman" w:eastAsia="Times New Roman" w:hAnsi="Times New Roman"/>
          <w:sz w:val="12"/>
          <w:szCs w:val="12"/>
          <w:b w:val="1"/>
          <w:bCs w:val="1"/>
          <w:color w:val="auto"/>
        </w:rPr>
        <w:t>lawyer and lobbyist</w:t>
      </w:r>
      <w:r>
        <w:rPr>
          <w:rFonts w:ascii="Times New Roman" w:cs="Times New Roman" w:eastAsia="Times New Roman" w:hAnsi="Times New Roman"/>
          <w:sz w:val="12"/>
          <w:szCs w:val="12"/>
          <w:color w:val="auto"/>
        </w:rPr>
        <w:t xml:space="preserve"> at Morgan, Lewis &amp; Bockius LLP, </w:t>
      </w:r>
      <w:r>
        <w:rPr>
          <w:rFonts w:ascii="Times New Roman" w:cs="Times New Roman" w:eastAsia="Times New Roman" w:hAnsi="Times New Roman"/>
          <w:sz w:val="12"/>
          <w:szCs w:val="12"/>
          <w:b w:val="1"/>
          <w:bCs w:val="1"/>
          <w:color w:val="auto"/>
        </w:rPr>
        <w:t>a firm Genesco paid for services</w:t>
      </w:r>
      <w:r>
        <w:rPr>
          <w:rFonts w:ascii="Times New Roman" w:cs="Times New Roman" w:eastAsia="Times New Roman" w:hAnsi="Times New Roman"/>
          <w:sz w:val="12"/>
          <w:szCs w:val="12"/>
          <w:color w:val="auto"/>
        </w:rPr>
        <w:t xml:space="preserve"> for many years.</w:t>
      </w:r>
      <w:r>
        <w:rPr>
          <w:rFonts w:ascii="Times New Roman" w:cs="Times New Roman" w:eastAsia="Times New Roman" w:hAnsi="Times New Roman"/>
          <w:sz w:val="19"/>
          <w:szCs w:val="19"/>
          <w:color w:val="auto"/>
          <w:vertAlign w:val="superscript"/>
        </w:rPr>
        <w:t>3</w:t>
      </w:r>
    </w:p>
    <w:p>
      <w:pPr>
        <w:spacing w:after="0" w:line="52" w:lineRule="exact"/>
        <w:rPr>
          <w:rFonts w:ascii="Arial" w:cs="Arial" w:eastAsia="Arial" w:hAnsi="Arial"/>
          <w:sz w:val="12"/>
          <w:szCs w:val="12"/>
          <w:b w:val="1"/>
          <w:bCs w:val="1"/>
          <w:color w:val="auto"/>
        </w:rPr>
      </w:pPr>
    </w:p>
    <w:p>
      <w:pPr>
        <w:jc w:val="both"/>
        <w:ind w:left="428" w:hanging="212"/>
        <w:spacing w:after="0" w:line="227" w:lineRule="auto"/>
        <w:tabs>
          <w:tab w:leader="none" w:pos="428" w:val="left"/>
        </w:tabs>
        <w:numPr>
          <w:ilvl w:val="0"/>
          <w:numId w:val="6"/>
        </w:numPr>
        <w:rPr>
          <w:rFonts w:ascii="Arial" w:cs="Arial" w:eastAsia="Arial" w:hAnsi="Arial"/>
          <w:sz w:val="12"/>
          <w:szCs w:val="12"/>
          <w:b w:val="1"/>
          <w:bCs w:val="1"/>
          <w:color w:val="auto"/>
        </w:rPr>
      </w:pPr>
      <w:r>
        <w:rPr>
          <w:rFonts w:ascii="Times New Roman" w:cs="Times New Roman" w:eastAsia="Times New Roman" w:hAnsi="Times New Roman"/>
          <w:sz w:val="12"/>
          <w:szCs w:val="12"/>
          <w:b w:val="1"/>
          <w:bCs w:val="1"/>
          <w:color w:val="auto"/>
        </w:rPr>
        <w:t>Ms. Barsh is an ex-McKinsey consultant who has served on Genesco’s Board since 2013 and presided over a -50.2% total shareholder return</w:t>
      </w:r>
      <w:r>
        <w:rPr>
          <w:rFonts w:ascii="Times New Roman" w:cs="Times New Roman" w:eastAsia="Times New Roman" w:hAnsi="Times New Roman"/>
          <w:sz w:val="12"/>
          <w:szCs w:val="12"/>
          <w:color w:val="auto"/>
        </w:rPr>
        <w:t>.</w:t>
      </w:r>
      <w:r>
        <w:rPr>
          <w:rFonts w:ascii="Times New Roman" w:cs="Times New Roman" w:eastAsia="Times New Roman" w:hAnsi="Times New Roman"/>
          <w:sz w:val="19"/>
          <w:szCs w:val="19"/>
          <w:color w:val="auto"/>
          <w:vertAlign w:val="superscript"/>
        </w:rPr>
        <w:t>4</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She has</w:t>
      </w:r>
      <w:r>
        <w:rPr>
          <w:rFonts w:ascii="Times New Roman" w:cs="Times New Roman" w:eastAsia="Times New Roman" w:hAnsi="Times New Roman"/>
          <w:sz w:val="12"/>
          <w:szCs w:val="12"/>
          <w:b w:val="1"/>
          <w:bCs w:val="1"/>
          <w:color w:val="auto"/>
        </w:rPr>
        <w:t xml:space="preserve"> never purchased a single share </w:t>
      </w:r>
      <w:r>
        <w:rPr>
          <w:rFonts w:ascii="Times New Roman" w:cs="Times New Roman" w:eastAsia="Times New Roman" w:hAnsi="Times New Roman"/>
          <w:sz w:val="12"/>
          <w:szCs w:val="12"/>
          <w:color w:val="auto"/>
        </w:rPr>
        <w:t>of Genesco common stock,</w:t>
      </w:r>
      <w:r>
        <w:rPr>
          <w:rFonts w:ascii="Times New Roman" w:cs="Times New Roman" w:eastAsia="Times New Roman" w:hAnsi="Times New Roman"/>
          <w:sz w:val="19"/>
          <w:szCs w:val="19"/>
          <w:color w:val="auto"/>
          <w:vertAlign w:val="superscript"/>
        </w:rPr>
        <w:t>5</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and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as Chair of the Nominating and Governance Committee, we believe she is responsible for failing to recruit value-additive directors and for rejecting our nominees merely one day after conducting what appeared to be pretextual interviews with them.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158750</wp:posOffset>
            </wp:positionV>
            <wp:extent cx="481330" cy="311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81330" cy="31115"/>
                    </a:xfrm>
                    <a:prstGeom prst="rect">
                      <a:avLst/>
                    </a:prstGeom>
                    <a:noFill/>
                  </pic:spPr>
                </pic:pic>
              </a:graphicData>
            </a:graphic>
          </wp:anchor>
        </w:drawing>
      </w:r>
    </w:p>
    <w:p>
      <w:pPr>
        <w:spacing w:after="0" w:line="272" w:lineRule="exact"/>
        <w:rPr>
          <w:sz w:val="20"/>
          <w:szCs w:val="20"/>
          <w:color w:val="auto"/>
        </w:rPr>
      </w:pPr>
    </w:p>
    <w:p>
      <w:pPr>
        <w:ind w:left="88" w:hanging="88"/>
        <w:spacing w:after="0"/>
        <w:tabs>
          <w:tab w:leader="none" w:pos="88" w:val="left"/>
        </w:tabs>
        <w:numPr>
          <w:ilvl w:val="0"/>
          <w:numId w:val="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2"/>
          <w:szCs w:val="12"/>
          <w:color w:val="auto"/>
        </w:rPr>
        <w:t>Company proxy statements. FactSet; total shareholder return calculated as of market close on April 14, 2026, the trading day immediately prior to the Radoff-Jumana Group’s public Schedule 13D filing with respect to the Company.</w:t>
      </w:r>
    </w:p>
    <w:p>
      <w:pPr>
        <w:spacing w:after="0" w:line="28" w:lineRule="exact"/>
        <w:rPr>
          <w:rFonts w:ascii="Times New Roman" w:cs="Times New Roman" w:eastAsia="Times New Roman" w:hAnsi="Times New Roman"/>
          <w:sz w:val="20"/>
          <w:szCs w:val="20"/>
          <w:color w:val="auto"/>
          <w:vertAlign w:val="superscript"/>
        </w:rPr>
      </w:pPr>
    </w:p>
    <w:p>
      <w:pPr>
        <w:ind w:left="8"/>
        <w:spacing w:after="0" w:line="187" w:lineRule="auto"/>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9"/>
          <w:szCs w:val="19"/>
          <w:color w:val="auto"/>
          <w:vertAlign w:val="superscript"/>
        </w:rPr>
        <w:t>2</w:t>
      </w:r>
      <w:r>
        <w:rPr>
          <w:rFonts w:ascii="Times New Roman" w:cs="Times New Roman" w:eastAsia="Times New Roman" w:hAnsi="Times New Roman"/>
          <w:sz w:val="12"/>
          <w:szCs w:val="12"/>
          <w:color w:val="auto"/>
        </w:rPr>
        <w:t xml:space="preserve"> Mr. Marshall’s Form 4 filings.</w:t>
      </w:r>
    </w:p>
    <w:p>
      <w:pPr>
        <w:ind w:left="8"/>
        <w:spacing w:after="0" w:line="187" w:lineRule="auto"/>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9"/>
          <w:szCs w:val="19"/>
          <w:color w:val="auto"/>
          <w:vertAlign w:val="superscript"/>
        </w:rPr>
        <w:t>3</w:t>
      </w:r>
      <w:r>
        <w:rPr>
          <w:rFonts w:ascii="Times New Roman" w:cs="Times New Roman" w:eastAsia="Times New Roman" w:hAnsi="Times New Roman"/>
          <w:sz w:val="12"/>
          <w:szCs w:val="12"/>
          <w:color w:val="auto"/>
        </w:rPr>
        <w:t xml:space="preserve"> Company filings.</w:t>
      </w:r>
    </w:p>
    <w:p>
      <w:pPr>
        <w:ind w:left="8" w:right="100"/>
        <w:spacing w:after="0" w:line="217" w:lineRule="auto"/>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9"/>
          <w:szCs w:val="19"/>
          <w:color w:val="auto"/>
          <w:vertAlign w:val="superscript"/>
        </w:rPr>
        <w:t>4</w:t>
      </w:r>
      <w:r>
        <w:rPr>
          <w:rFonts w:ascii="Times New Roman" w:cs="Times New Roman" w:eastAsia="Times New Roman" w:hAnsi="Times New Roman"/>
          <w:sz w:val="12"/>
          <w:szCs w:val="12"/>
          <w:color w:val="auto"/>
        </w:rPr>
        <w:t xml:space="preserve"> Company proxy statements. FactSet; total shareholder return calculated as of market close on April 14, 2026, the trading day immediately prior to the Radoff-Jumana Group’s public Schedule 13D filing with respect to the Company. </w:t>
      </w:r>
      <w:r>
        <w:rPr>
          <w:rFonts w:ascii="Times New Roman" w:cs="Times New Roman" w:eastAsia="Times New Roman" w:hAnsi="Times New Roman"/>
          <w:sz w:val="19"/>
          <w:szCs w:val="19"/>
          <w:color w:val="auto"/>
          <w:vertAlign w:val="superscript"/>
        </w:rPr>
        <w:t>5</w:t>
      </w:r>
      <w:r>
        <w:rPr>
          <w:rFonts w:ascii="Times New Roman" w:cs="Times New Roman" w:eastAsia="Times New Roman" w:hAnsi="Times New Roman"/>
          <w:sz w:val="12"/>
          <w:szCs w:val="12"/>
          <w:color w:val="auto"/>
        </w:rPr>
        <w:t xml:space="preserve"> Ms. Barsh’s Form 4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102870</wp:posOffset>
            </wp:positionV>
            <wp:extent cx="717804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431" w:right="299" w:bottom="1440" w:gutter="0" w:footer="0" w:header="0"/>
        </w:sectPr>
      </w:pPr>
    </w:p>
    <w:bookmarkStart w:id="2" w:name="page3"/>
    <w:bookmarkEnd w:id="2"/>
    <w:p>
      <w:pPr>
        <w:jc w:val="both"/>
        <w:ind w:left="428" w:hanging="212"/>
        <w:spacing w:after="0" w:line="268" w:lineRule="auto"/>
        <w:tabs>
          <w:tab w:leader="none" w:pos="428" w:val="left"/>
        </w:tabs>
        <w:numPr>
          <w:ilvl w:val="0"/>
          <w:numId w:val="8"/>
        </w:numPr>
        <w:rPr>
          <w:rFonts w:ascii="Arial" w:cs="Arial" w:eastAsia="Arial" w:hAnsi="Arial"/>
          <w:sz w:val="12"/>
          <w:szCs w:val="12"/>
          <w:b w:val="1"/>
          <w:bCs w:val="1"/>
          <w:color w:val="auto"/>
        </w:rPr>
      </w:pPr>
      <w:r>
        <w:rPr>
          <w:rFonts w:ascii="Times New Roman" w:cs="Times New Roman" w:eastAsia="Times New Roman" w:hAnsi="Times New Roman"/>
          <w:sz w:val="12"/>
          <w:szCs w:val="12"/>
          <w:color w:val="auto"/>
        </w:rPr>
        <w:t xml:space="preserve">Mr. Marshall and Ms. Barsh have </w:t>
      </w:r>
      <w:r>
        <w:rPr>
          <w:rFonts w:ascii="Times New Roman" w:cs="Times New Roman" w:eastAsia="Times New Roman" w:hAnsi="Times New Roman"/>
          <w:sz w:val="12"/>
          <w:szCs w:val="12"/>
          <w:b w:val="1"/>
          <w:bCs w:val="1"/>
          <w:color w:val="auto"/>
        </w:rPr>
        <w:t>allowed Ms. Vaughn to simultaneously serve as Board Chair, President, CEO and Interim CFO, leading to significant underperformance and zero accountability</w:t>
      </w:r>
      <w:r>
        <w:rPr>
          <w:rFonts w:ascii="Times New Roman" w:cs="Times New Roman" w:eastAsia="Times New Roman" w:hAnsi="Times New Roman"/>
          <w:sz w:val="12"/>
          <w:szCs w:val="12"/>
          <w:color w:val="auto"/>
        </w:rPr>
        <w:t>. The over-tenured directors were completely dismissive of our attempts to avoid a proxy contest and did not appear to meaningfully consider any of our suggestions to improve shareholder value, including refreshing the Board, separating the Chair and CEO roles, increasing share repurchases, exploring a sale lease-back and evaluating divestitures of certain non-core businesses.</w:t>
      </w:r>
    </w:p>
    <w:p>
      <w:pPr>
        <w:spacing w:after="0" w:line="216" w:lineRule="exact"/>
        <w:rPr>
          <w:sz w:val="20"/>
          <w:szCs w:val="20"/>
          <w:color w:val="auto"/>
        </w:rPr>
      </w:pPr>
    </w:p>
    <w:p>
      <w:pPr>
        <w:ind w:left="868" w:hanging="220"/>
        <w:spacing w:after="0" w:line="262" w:lineRule="auto"/>
        <w:tabs>
          <w:tab w:leader="none" w:pos="868" w:val="left"/>
        </w:tabs>
        <w:numPr>
          <w:ilvl w:val="1"/>
          <w:numId w:val="9"/>
        </w:numPr>
        <w:rPr>
          <w:rFonts w:ascii="Courier New" w:cs="Courier New" w:eastAsia="Courier New" w:hAnsi="Courier New"/>
          <w:sz w:val="12"/>
          <w:szCs w:val="12"/>
          <w:color w:val="auto"/>
        </w:rPr>
      </w:pPr>
      <w:r>
        <w:rPr>
          <w:rFonts w:ascii="Times New Roman" w:cs="Times New Roman" w:eastAsia="Times New Roman" w:hAnsi="Times New Roman"/>
          <w:sz w:val="12"/>
          <w:szCs w:val="12"/>
          <w:color w:val="auto"/>
        </w:rPr>
        <w:t>We would have expected that a Company that has been the recipient of an activist challenge three times in eight years would view that fact as a clear negative reflection of its performance and governance, and would want to take steps to remedy its issues.</w:t>
      </w:r>
    </w:p>
    <w:p>
      <w:pPr>
        <w:spacing w:after="0" w:line="119" w:lineRule="exact"/>
        <w:rPr>
          <w:rFonts w:ascii="Courier New" w:cs="Courier New" w:eastAsia="Courier New" w:hAnsi="Courier New"/>
          <w:sz w:val="12"/>
          <w:szCs w:val="12"/>
          <w:color w:val="auto"/>
        </w:rPr>
      </w:pPr>
    </w:p>
    <w:p>
      <w:pPr>
        <w:ind w:left="868" w:right="20" w:hanging="220"/>
        <w:spacing w:after="0" w:line="286" w:lineRule="auto"/>
        <w:tabs>
          <w:tab w:leader="none" w:pos="868" w:val="left"/>
        </w:tabs>
        <w:numPr>
          <w:ilvl w:val="1"/>
          <w:numId w:val="9"/>
        </w:numPr>
        <w:rPr>
          <w:rFonts w:ascii="Courier New" w:cs="Courier New" w:eastAsia="Courier New" w:hAnsi="Courier New"/>
          <w:sz w:val="12"/>
          <w:szCs w:val="12"/>
          <w:color w:val="auto"/>
        </w:rPr>
      </w:pPr>
      <w:r>
        <w:rPr>
          <w:rFonts w:ascii="Times New Roman" w:cs="Times New Roman" w:eastAsia="Times New Roman" w:hAnsi="Times New Roman"/>
          <w:sz w:val="12"/>
          <w:szCs w:val="12"/>
          <w:color w:val="auto"/>
        </w:rPr>
        <w:t>We believe that Genesco’s recent decision to hire a CFO from America’s Car-Mart, Inc., a microcap company that is under serious financial stress and has seen its share price decline by 95.07% during his tenure, is the latest example of a Board not acting in its shareholders’ best interests.</w:t>
      </w:r>
      <w:r>
        <w:rPr>
          <w:rFonts w:ascii="Times New Roman" w:cs="Times New Roman" w:eastAsia="Times New Roman" w:hAnsi="Times New Roman"/>
          <w:sz w:val="19"/>
          <w:szCs w:val="19"/>
          <w:color w:val="auto"/>
          <w:vertAlign w:val="superscript"/>
        </w:rPr>
        <w:t>6</w:t>
      </w:r>
    </w:p>
    <w:p>
      <w:pPr>
        <w:spacing w:after="0" w:line="22" w:lineRule="exact"/>
        <w:rPr>
          <w:rFonts w:ascii="Courier New" w:cs="Courier New" w:eastAsia="Courier New" w:hAnsi="Courier New"/>
          <w:sz w:val="12"/>
          <w:szCs w:val="12"/>
          <w:color w:val="auto"/>
        </w:rPr>
      </w:pPr>
    </w:p>
    <w:p>
      <w:pPr>
        <w:ind w:left="428" w:hanging="212"/>
        <w:spacing w:after="0" w:line="278" w:lineRule="auto"/>
        <w:tabs>
          <w:tab w:leader="none" w:pos="428" w:val="left"/>
        </w:tabs>
        <w:numPr>
          <w:ilvl w:val="0"/>
          <w:numId w:val="9"/>
        </w:numPr>
        <w:rPr>
          <w:rFonts w:ascii="Arial" w:cs="Arial" w:eastAsia="Arial" w:hAnsi="Arial"/>
          <w:sz w:val="12"/>
          <w:szCs w:val="12"/>
          <w:b w:val="1"/>
          <w:bCs w:val="1"/>
          <w:color w:val="auto"/>
        </w:rPr>
      </w:pPr>
      <w:r>
        <w:rPr>
          <w:rFonts w:ascii="Times New Roman" w:cs="Times New Roman" w:eastAsia="Times New Roman" w:hAnsi="Times New Roman"/>
          <w:sz w:val="12"/>
          <w:szCs w:val="12"/>
          <w:color w:val="auto"/>
        </w:rPr>
        <w:t>Our nominees – Westervelt T. Ballard, Jr. and Paula J. Poskon – are independent, experienced public company executives and directors who would bring the requisite operating, corporate governance, capital allocation and real estate expertise that we believe is required to unlock value at Genesco.</w:t>
      </w:r>
    </w:p>
    <w:p>
      <w:pPr>
        <w:spacing w:after="0" w:line="107" w:lineRule="exact"/>
        <w:rPr>
          <w:rFonts w:ascii="Arial" w:cs="Arial" w:eastAsia="Arial" w:hAnsi="Arial"/>
          <w:sz w:val="12"/>
          <w:szCs w:val="12"/>
          <w:b w:val="1"/>
          <w:bCs w:val="1"/>
          <w:color w:val="auto"/>
        </w:rPr>
      </w:pPr>
    </w:p>
    <w:p>
      <w:pPr>
        <w:ind w:left="868" w:right="20" w:hanging="220"/>
        <w:spacing w:after="0" w:line="269" w:lineRule="auto"/>
        <w:tabs>
          <w:tab w:leader="none" w:pos="868" w:val="left"/>
        </w:tabs>
        <w:numPr>
          <w:ilvl w:val="1"/>
          <w:numId w:val="9"/>
        </w:numPr>
        <w:rPr>
          <w:rFonts w:ascii="Courier New" w:cs="Courier New" w:eastAsia="Courier New" w:hAnsi="Courier New"/>
          <w:sz w:val="12"/>
          <w:szCs w:val="12"/>
          <w:color w:val="auto"/>
        </w:rPr>
      </w:pPr>
      <w:r>
        <w:rPr>
          <w:rFonts w:ascii="Times New Roman" w:cs="Times New Roman" w:eastAsia="Times New Roman" w:hAnsi="Times New Roman"/>
          <w:sz w:val="12"/>
          <w:szCs w:val="12"/>
          <w:color w:val="auto"/>
        </w:rPr>
        <w:t xml:space="preserve">Mr. Ballard is an </w:t>
      </w:r>
      <w:r>
        <w:rPr>
          <w:rFonts w:ascii="Times New Roman" w:cs="Times New Roman" w:eastAsia="Times New Roman" w:hAnsi="Times New Roman"/>
          <w:sz w:val="12"/>
          <w:szCs w:val="12"/>
          <w:b w:val="1"/>
          <w:bCs w:val="1"/>
          <w:color w:val="auto"/>
        </w:rPr>
        <w:t>investor</w:t>
      </w:r>
      <w:r>
        <w:rPr>
          <w:rFonts w:ascii="Times New Roman" w:cs="Times New Roman" w:eastAsia="Times New Roman" w:hAnsi="Times New Roman"/>
          <w:sz w:val="12"/>
          <w:szCs w:val="12"/>
          <w:color w:val="auto"/>
        </w:rPr>
        <w:t xml:space="preserve"> in the public and private markets and the </w:t>
      </w:r>
      <w:r>
        <w:rPr>
          <w:rFonts w:ascii="Times New Roman" w:cs="Times New Roman" w:eastAsia="Times New Roman" w:hAnsi="Times New Roman"/>
          <w:sz w:val="12"/>
          <w:szCs w:val="12"/>
          <w:b w:val="1"/>
          <w:bCs w:val="1"/>
          <w:color w:val="auto"/>
        </w:rPr>
        <w:t>former President, CEO and member of the board of directors of Stabilis Solutions, Inc. (NASDAQ: SLNG)</w:t>
      </w:r>
      <w:r>
        <w:rPr>
          <w:rFonts w:ascii="Times New Roman" w:cs="Times New Roman" w:eastAsia="Times New Roman" w:hAnsi="Times New Roman"/>
          <w:sz w:val="12"/>
          <w:szCs w:val="12"/>
          <w:color w:val="auto"/>
        </w:rPr>
        <w:t>, equipping him with extensive leadership experience in global operations, capital allocation, strategic development and finance.</w:t>
      </w:r>
    </w:p>
    <w:p>
      <w:pPr>
        <w:spacing w:after="0" w:line="111" w:lineRule="exact"/>
        <w:rPr>
          <w:rFonts w:ascii="Courier New" w:cs="Courier New" w:eastAsia="Courier New" w:hAnsi="Courier New"/>
          <w:sz w:val="12"/>
          <w:szCs w:val="12"/>
          <w:color w:val="auto"/>
        </w:rPr>
      </w:pPr>
    </w:p>
    <w:p>
      <w:pPr>
        <w:ind w:left="868" w:right="20" w:hanging="220"/>
        <w:spacing w:after="0" w:line="269" w:lineRule="auto"/>
        <w:tabs>
          <w:tab w:leader="none" w:pos="868" w:val="left"/>
        </w:tabs>
        <w:numPr>
          <w:ilvl w:val="1"/>
          <w:numId w:val="9"/>
        </w:numPr>
        <w:rPr>
          <w:rFonts w:ascii="Courier New" w:cs="Courier New" w:eastAsia="Courier New" w:hAnsi="Courier New"/>
          <w:sz w:val="12"/>
          <w:szCs w:val="12"/>
          <w:color w:val="auto"/>
        </w:rPr>
      </w:pPr>
      <w:r>
        <w:rPr>
          <w:rFonts w:ascii="Times New Roman" w:cs="Times New Roman" w:eastAsia="Times New Roman" w:hAnsi="Times New Roman"/>
          <w:sz w:val="12"/>
          <w:szCs w:val="12"/>
          <w:color w:val="auto"/>
        </w:rPr>
        <w:t xml:space="preserve">Ms. Poskon brings nearly </w:t>
      </w:r>
      <w:r>
        <w:rPr>
          <w:rFonts w:ascii="Times New Roman" w:cs="Times New Roman" w:eastAsia="Times New Roman" w:hAnsi="Times New Roman"/>
          <w:sz w:val="12"/>
          <w:szCs w:val="12"/>
          <w:b w:val="1"/>
          <w:bCs w:val="1"/>
          <w:color w:val="auto"/>
        </w:rPr>
        <w:t>25 years of capital markets experience in equity research and investment banking</w:t>
      </w:r>
      <w:r>
        <w:rPr>
          <w:rFonts w:ascii="Times New Roman" w:cs="Times New Roman" w:eastAsia="Times New Roman" w:hAnsi="Times New Roman"/>
          <w:sz w:val="12"/>
          <w:szCs w:val="12"/>
          <w:color w:val="auto"/>
        </w:rPr>
        <w:t xml:space="preserve"> from her time at </w:t>
      </w:r>
      <w:r>
        <w:rPr>
          <w:rFonts w:ascii="Times New Roman" w:cs="Times New Roman" w:eastAsia="Times New Roman" w:hAnsi="Times New Roman"/>
          <w:sz w:val="12"/>
          <w:szCs w:val="12"/>
          <w:b w:val="1"/>
          <w:bCs w:val="1"/>
          <w:color w:val="auto"/>
        </w:rPr>
        <w:t>D.A. Davidson &amp; Co., Inc.</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Robert W. Baird &amp; Co., Inc.</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b w:val="1"/>
          <w:bCs w:val="1"/>
          <w:color w:val="auto"/>
        </w:rPr>
        <w:t>Lehman Brothers</w:t>
      </w:r>
      <w:r>
        <w:rPr>
          <w:rFonts w:ascii="Times New Roman" w:cs="Times New Roman" w:eastAsia="Times New Roman" w:hAnsi="Times New Roman"/>
          <w:sz w:val="12"/>
          <w:szCs w:val="12"/>
          <w:color w:val="auto"/>
        </w:rPr>
        <w:t xml:space="preserve">, as well as significant experience on the </w:t>
      </w:r>
      <w:r>
        <w:rPr>
          <w:rFonts w:ascii="Times New Roman" w:cs="Times New Roman" w:eastAsia="Times New Roman" w:hAnsi="Times New Roman"/>
          <w:sz w:val="12"/>
          <w:szCs w:val="12"/>
          <w:b w:val="1"/>
          <w:bCs w:val="1"/>
          <w:color w:val="auto"/>
        </w:rPr>
        <w:t>boards of directors of companies like Cedar Realty Trust, Inc. (NYSE: CDRpB and CDRpC)</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b w:val="1"/>
          <w:bCs w:val="1"/>
          <w:color w:val="auto"/>
        </w:rPr>
        <w:t>Power REIT (NYSE: PW)</w:t>
      </w:r>
      <w:r>
        <w:rPr>
          <w:rFonts w:ascii="Times New Roman" w:cs="Times New Roman" w:eastAsia="Times New Roman" w:hAnsi="Times New Roman"/>
          <w:sz w:val="12"/>
          <w:szCs w:val="12"/>
          <w:color w:val="auto"/>
        </w:rPr>
        <w:t>.</w:t>
      </w:r>
    </w:p>
    <w:p>
      <w:pPr>
        <w:spacing w:after="0" w:line="11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 xml:space="preserve">Vote </w:t>
      </w:r>
      <w:r>
        <w:rPr>
          <w:rFonts w:ascii="Times New Roman" w:cs="Times New Roman" w:eastAsia="Times New Roman" w:hAnsi="Times New Roman"/>
          <w:sz w:val="12"/>
          <w:szCs w:val="12"/>
          <w:b w:val="1"/>
          <w:bCs w:val="1"/>
          <w:u w:val="single" w:color="auto"/>
          <w:color w:val="auto"/>
        </w:rPr>
        <w:t>FOR</w:t>
      </w:r>
      <w:r>
        <w:rPr>
          <w:rFonts w:ascii="Times New Roman" w:cs="Times New Roman" w:eastAsia="Times New Roman" w:hAnsi="Times New Roman"/>
          <w:sz w:val="12"/>
          <w:szCs w:val="12"/>
          <w:b w:val="1"/>
          <w:bCs w:val="1"/>
          <w:color w:val="auto"/>
        </w:rPr>
        <w:t xml:space="preserve"> the Radoff-Jumana Group’s Nominees – Westervelt T. Ballard, Jr. and Paula J. Poskon – Today to Hold the Legacy Board Accountable for Years of Value Destruction and Send a Clear Signal for Change</w:t>
      </w:r>
    </w:p>
    <w:p>
      <w:pPr>
        <w:spacing w:after="0" w:line="15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 xml:space="preserve">Do </w:t>
      </w:r>
      <w:r>
        <w:rPr>
          <w:rFonts w:ascii="Times New Roman" w:cs="Times New Roman" w:eastAsia="Times New Roman" w:hAnsi="Times New Roman"/>
          <w:sz w:val="12"/>
          <w:szCs w:val="12"/>
          <w:b w:val="1"/>
          <w:bCs w:val="1"/>
          <w:u w:val="single" w:color="auto"/>
          <w:color w:val="auto"/>
        </w:rPr>
        <w:t>NOT</w:t>
      </w:r>
      <w:r>
        <w:rPr>
          <w:rFonts w:ascii="Times New Roman" w:cs="Times New Roman" w:eastAsia="Times New Roman" w:hAnsi="Times New Roman"/>
          <w:sz w:val="12"/>
          <w:szCs w:val="12"/>
          <w:b w:val="1"/>
          <w:bCs w:val="1"/>
          <w:color w:val="auto"/>
        </w:rPr>
        <w:t xml:space="preserve"> Vote for Thurgood Marshall, Jr. or Joanna Barsh</w:t>
      </w:r>
    </w:p>
    <w:p>
      <w:pPr>
        <w:spacing w:after="0" w:line="15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Questions about how to vote? Contact (888) 368-0379 or info@saratogaproxy.com</w:t>
      </w:r>
    </w:p>
    <w:p>
      <w:pPr>
        <w:spacing w:after="0" w:line="15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Visit www.saratogaproxy.com/Genesco to learn more</w:t>
      </w:r>
    </w:p>
    <w:p>
      <w:pPr>
        <w:spacing w:after="0" w:line="14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Contacts</w:t>
      </w:r>
    </w:p>
    <w:p>
      <w:pPr>
        <w:spacing w:after="0" w:line="2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Greg Lempel</w:t>
      </w:r>
    </w:p>
    <w:p>
      <w:pPr>
        <w:spacing w:after="0" w:line="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greg@fondrenlp.com</w:t>
      </w:r>
    </w:p>
    <w:p>
      <w:pPr>
        <w:spacing w:after="0" w:line="13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or</w:t>
      </w:r>
    </w:p>
    <w:p>
      <w:pPr>
        <w:spacing w:after="0" w:line="15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Saratoga Proxy Consulting LLC</w:t>
      </w:r>
    </w:p>
    <w:p>
      <w:pPr>
        <w:spacing w:after="0" w:line="1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John Ferguson / Joseph Mills, 212-257-1311</w:t>
      </w:r>
    </w:p>
    <w:p>
      <w:pPr>
        <w:spacing w:after="0" w:line="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info@saratogaproxy.com</w:t>
      </w:r>
    </w:p>
    <w:p>
      <w:pPr>
        <w:spacing w:after="0" w:line="139"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Item 2: Also on June 29, 2026, the Radoff-Jumana Group issued the following Investor Presentation titled “The Case for Change at Genesco,” a copy of which is attached hereto as Exhibit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89535</wp:posOffset>
            </wp:positionV>
            <wp:extent cx="481330" cy="311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81330" cy="31115"/>
                    </a:xfrm>
                    <a:prstGeom prst="rect">
                      <a:avLst/>
                    </a:prstGeom>
                    <a:noFill/>
                  </pic:spPr>
                </pic:pic>
              </a:graphicData>
            </a:graphic>
          </wp:anchor>
        </w:drawing>
      </w:r>
    </w:p>
    <w:p>
      <w:pPr>
        <w:spacing w:after="0" w:line="163" w:lineRule="exact"/>
        <w:rPr>
          <w:sz w:val="20"/>
          <w:szCs w:val="20"/>
          <w:color w:val="auto"/>
        </w:rPr>
      </w:pPr>
    </w:p>
    <w:p>
      <w:pPr>
        <w:ind w:left="88" w:hanging="88"/>
        <w:spacing w:after="0"/>
        <w:tabs>
          <w:tab w:leader="none" w:pos="88" w:val="left"/>
        </w:tabs>
        <w:numPr>
          <w:ilvl w:val="0"/>
          <w:numId w:val="10"/>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2"/>
          <w:szCs w:val="12"/>
          <w:color w:val="auto"/>
        </w:rPr>
        <w:t>Company press release dated June 29, 2026. FactSet; share price decline calculated as of June 26,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148590</wp:posOffset>
            </wp:positionV>
            <wp:extent cx="717804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431" w:right="299" w:bottom="1440"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283210</wp:posOffset>
            </wp:positionV>
            <wp:extent cx="7218680" cy="41148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218680" cy="41148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218680" cy="41148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218680" cy="41148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218680" cy="41148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218680" cy="41148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218680" cy="41148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218680" cy="41148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218680" cy="41148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218680" cy="41148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218680" cy="41148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218680" cy="41148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218680" cy="41148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218680" cy="41148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218680" cy="41148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218680" cy="41148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218680" cy="41148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218680" cy="41148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218680" cy="41148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218680" cy="41148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218680" cy="41148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1"/>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
      <w:numFmt w:val="bullet"/>
      <w:start w:val="1"/>
    </w:lvl>
    <w:lvl w:ilvl="1">
      <w:lvlJc w:val="left"/>
      <w:lvlText w:val="o"/>
      <w:numFmt w:val="bullet"/>
      <w:start w:val="1"/>
    </w:lvl>
  </w:abstractNum>
  <w:abstractNum w:abstractNumId="9">
    <w:nsid w:val="4DB127F8"/>
    <w:multiLevelType w:val="hybridMultilevel"/>
    <w:lvl w:ilvl="0">
      <w:lvlJc w:val="left"/>
      <w:lvlText w:val="6"/>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2026-06-29T17:06:24Z</dcterms:created>
  <dcterms:modified xsi:type="dcterms:W3CDTF">2026-06-29T17:06:24Z</dcterms:modified>
</cp:coreProperties>
</file>