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90170</wp:posOffset>
            </wp:positionV>
            <wp:extent cx="2371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4" w:lineRule="exact"/>
        <w:rPr>
          <w:sz w:val="24"/>
          <w:szCs w:val="24"/>
          <w:color w:val="auto"/>
        </w:rPr>
      </w:pPr>
    </w:p>
    <w:p>
      <w:pPr>
        <w:ind w:left="740" w:hanging="678"/>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98" w:lineRule="exact"/>
        <w:rPr>
          <w:sz w:val="24"/>
          <w:szCs w:val="24"/>
          <w:color w:val="auto"/>
        </w:rPr>
      </w:pPr>
    </w:p>
    <w:p>
      <w:pPr>
        <w:ind w:left="740" w:hanging="678"/>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436" w:right="339" w:bottom="1440" w:gutter="0" w:footer="0" w:header="0"/>
        </w:sectPr>
      </w:pPr>
    </w:p>
    <w:p>
      <w:pPr>
        <w:spacing w:after="0" w:line="20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6" w:lineRule="exact"/>
        <w:rPr>
          <w:sz w:val="24"/>
          <w:szCs w:val="24"/>
          <w:color w:val="auto"/>
        </w:rPr>
      </w:pPr>
    </w:p>
    <w:p>
      <w:pPr>
        <w:sectPr>
          <w:pgSz w:w="11900" w:h="16838" w:orient="portrait"/>
          <w:cols w:equalWidth="0" w:num="2">
            <w:col w:w="2800" w:space="520"/>
            <w:col w:w="7920"/>
          </w:cols>
          <w:pgMar w:left="320" w:top="43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No. 1-3083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107315</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Genesco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w w:val="98"/>
              </w:rPr>
              <w:t>Tennessee</w:t>
            </w:r>
          </w:p>
        </w:tc>
        <w:tc>
          <w:tcPr>
            <w:tcW w:w="3820" w:type="dxa"/>
            <w:vAlign w:val="bottom"/>
          </w:tcPr>
          <w:p>
            <w:pPr>
              <w:spacing w:after="0"/>
              <w:rPr>
                <w:sz w:val="16"/>
                <w:szCs w:val="16"/>
                <w:color w:val="auto"/>
              </w:rPr>
            </w:pPr>
          </w:p>
        </w:tc>
        <w:tc>
          <w:tcPr>
            <w:tcW w:w="24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62-0211340</w:t>
            </w:r>
          </w:p>
        </w:tc>
        <w:tc>
          <w:tcPr>
            <w:tcW w:w="0" w:type="dxa"/>
            <w:vAlign w:val="bottom"/>
          </w:tcPr>
          <w:p>
            <w:pPr>
              <w:spacing w:after="0"/>
              <w:rPr>
                <w:sz w:val="1"/>
                <w:szCs w:val="1"/>
                <w:color w:val="auto"/>
              </w:rPr>
            </w:pPr>
          </w:p>
        </w:tc>
      </w:tr>
      <w:tr>
        <w:trPr>
          <w:trHeight w:val="203"/>
        </w:trPr>
        <w:tc>
          <w:tcPr>
            <w:tcW w:w="352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20" w:type="dxa"/>
            <w:vAlign w:val="bottom"/>
          </w:tcPr>
          <w:p>
            <w:pPr>
              <w:spacing w:after="0"/>
              <w:rPr>
                <w:sz w:val="17"/>
                <w:szCs w:val="17"/>
                <w:color w:val="auto"/>
              </w:rPr>
            </w:pPr>
          </w:p>
        </w:tc>
        <w:tc>
          <w:tcPr>
            <w:tcW w:w="24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352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20" w:type="dxa"/>
            <w:vAlign w:val="bottom"/>
          </w:tcPr>
          <w:p>
            <w:pPr>
              <w:spacing w:after="0"/>
              <w:rPr>
                <w:sz w:val="16"/>
                <w:szCs w:val="16"/>
                <w:color w:val="auto"/>
              </w:rPr>
            </w:pPr>
          </w:p>
        </w:tc>
        <w:tc>
          <w:tcPr>
            <w:tcW w:w="24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1"/>
        </w:trPr>
        <w:tc>
          <w:tcPr>
            <w:tcW w:w="3520" w:type="dxa"/>
            <w:vAlign w:val="bottom"/>
          </w:tcPr>
          <w:p>
            <w:pPr>
              <w:spacing w:after="0"/>
              <w:rPr>
                <w:sz w:val="24"/>
                <w:szCs w:val="24"/>
                <w:color w:val="auto"/>
              </w:rPr>
            </w:pPr>
          </w:p>
        </w:tc>
        <w:tc>
          <w:tcPr>
            <w:tcW w:w="382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535 Marriott Drive</w:t>
            </w:r>
          </w:p>
        </w:tc>
        <w:tc>
          <w:tcPr>
            <w:tcW w:w="24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37214</w:t>
            </w:r>
          </w:p>
        </w:tc>
        <w:tc>
          <w:tcPr>
            <w:tcW w:w="0" w:type="dxa"/>
            <w:vAlign w:val="bottom"/>
          </w:tcPr>
          <w:p>
            <w:pPr>
              <w:spacing w:after="0"/>
              <w:rPr>
                <w:sz w:val="1"/>
                <w:szCs w:val="1"/>
                <w:color w:val="auto"/>
              </w:rPr>
            </w:pPr>
          </w:p>
        </w:tc>
      </w:tr>
      <w:tr>
        <w:trPr>
          <w:trHeight w:val="243"/>
        </w:trPr>
        <w:tc>
          <w:tcPr>
            <w:tcW w:w="35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Nashville,</w:t>
            </w:r>
          </w:p>
        </w:tc>
        <w:tc>
          <w:tcPr>
            <w:tcW w:w="382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w w:val="98"/>
              </w:rPr>
              <w:t>Tennessee</w:t>
            </w:r>
          </w:p>
        </w:tc>
        <w:tc>
          <w:tcPr>
            <w:tcW w:w="24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3"/>
        </w:trPr>
        <w:tc>
          <w:tcPr>
            <w:tcW w:w="734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6260" w:type="dxa"/>
            <w:vAlign w:val="bottom"/>
            <w:gridSpan w:val="2"/>
          </w:tcPr>
          <w:p>
            <w:pPr>
              <w:jc w:val="center"/>
              <w:ind w:right="19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(615) 367-7000</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2"/>
                <w:szCs w:val="22"/>
                <w:color w:val="auto"/>
              </w:rPr>
            </w:pPr>
          </w:p>
        </w:tc>
        <w:tc>
          <w:tcPr>
            <w:tcW w:w="6260" w:type="dxa"/>
            <w:vAlign w:val="bottom"/>
            <w:gridSpan w:val="2"/>
          </w:tcPr>
          <w:p>
            <w:pPr>
              <w:jc w:val="center"/>
              <w:ind w:right="198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43"/>
        </w:trPr>
        <w:tc>
          <w:tcPr>
            <w:tcW w:w="352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44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8"/>
        </w:trPr>
        <w:tc>
          <w:tcPr>
            <w:tcW w:w="3520" w:type="dxa"/>
            <w:vAlign w:val="bottom"/>
            <w:vMerge w:val="continue"/>
          </w:tcPr>
          <w:p>
            <w:pPr>
              <w:spacing w:after="0"/>
              <w:rPr>
                <w:sz w:val="16"/>
                <w:szCs w:val="16"/>
                <w:color w:val="auto"/>
              </w:rPr>
            </w:pPr>
          </w:p>
        </w:tc>
        <w:tc>
          <w:tcPr>
            <w:tcW w:w="3820" w:type="dxa"/>
            <w:vAlign w:val="bottom"/>
            <w:vMerge w:val="continue"/>
          </w:tcPr>
          <w:p>
            <w:pPr>
              <w:spacing w:after="0"/>
              <w:rPr>
                <w:sz w:val="16"/>
                <w:szCs w:val="16"/>
                <w:color w:val="auto"/>
              </w:rPr>
            </w:pPr>
          </w:p>
        </w:tc>
        <w:tc>
          <w:tcPr>
            <w:tcW w:w="244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43"/>
        </w:trPr>
        <w:tc>
          <w:tcPr>
            <w:tcW w:w="3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38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GCO</w:t>
            </w:r>
          </w:p>
        </w:tc>
        <w:tc>
          <w:tcPr>
            <w:tcW w:w="244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6260" w:type="dxa"/>
            <w:vAlign w:val="bottom"/>
            <w:gridSpan w:val="2"/>
          </w:tcPr>
          <w:p>
            <w:pPr>
              <w:jc w:val="center"/>
              <w:ind w:right="198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38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Employees’ Subordinated Convertible Preferred Stock</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34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p>
        </w:tc>
        <w:tc>
          <w:tcPr>
            <w:tcW w:w="24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p>
        </w:tc>
        <w:tc>
          <w:tcPr>
            <w:tcW w:w="2440" w:type="dxa"/>
            <w:vAlign w:val="bottom"/>
          </w:tcPr>
          <w:p>
            <w:pPr>
              <w:ind w:left="14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60" w:type="dxa"/>
        <w:tblCellMar>
          <w:top w:w="0" w:type="dxa"/>
          <w:left w:w="0" w:type="dxa"/>
          <w:bottom w:w="0" w:type="dxa"/>
          <w:right w:w="0" w:type="dxa"/>
        </w:tblCellMar>
      </w:tblP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9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62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9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62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70"/>
        </w:trPr>
        <w:tc>
          <w:tcPr>
            <w:tcW w:w="22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62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135"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jc w:val="both"/>
        <w:ind w:right="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140"/>
        <w:spacing w:after="0" w:line="174"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000000"/>
        </w:rPr>
        <w:t>☐</w:t>
      </w:r>
    </w:p>
    <w:p>
      <w:pPr>
        <w:spacing w:after="0" w:line="14" w:lineRule="exact"/>
        <w:rPr>
          <w:sz w:val="24"/>
          <w:szCs w:val="24"/>
          <w:color w:val="auto"/>
        </w:rPr>
      </w:pPr>
    </w:p>
    <w:p>
      <w:pPr>
        <w:ind w:right="300"/>
        <w:spacing w:after="0" w:line="182" w:lineRule="exact"/>
        <w:rPr>
          <w:sz w:val="20"/>
          <w:szCs w:val="20"/>
          <w:color w:val="auto"/>
        </w:rPr>
      </w:pPr>
      <w:r>
        <w:rPr>
          <w:rFonts w:ascii="Times New Roman" w:cs="Times New Roman" w:eastAsia="Times New Roman" w:hAnsi="Times New Roman"/>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Times New Roman" w:cs="Times New Roman" w:eastAsia="Times New Roman" w:hAnsi="Times New Roman"/>
          <w:sz w:val="14"/>
          <w:szCs w:val="14"/>
          <w:color w:val="231F20"/>
        </w:rPr>
        <w:t xml:space="preserve">cers during the relevant recovery period pursuant to §240.10D-1(b). </w:t>
      </w:r>
      <w:r>
        <w:rPr>
          <w:rFonts w:ascii="Arial Unicode MS" w:cs="Arial Unicode MS" w:eastAsia="Arial Unicode MS" w:hAnsi="Arial Unicode MS"/>
          <w:sz w:val="14"/>
          <w:szCs w:val="14"/>
          <w:color w:val="000000"/>
        </w:rPr>
        <w:t>☐</w:t>
      </w:r>
    </w:p>
    <w:p>
      <w:pPr>
        <w:spacing w:after="0" w:line="5" w:lineRule="exact"/>
        <w:rPr>
          <w:sz w:val="24"/>
          <w:szCs w:val="24"/>
          <w:color w:val="auto"/>
        </w:rPr>
      </w:pPr>
    </w:p>
    <w:p>
      <w:pPr>
        <w:spacing w:after="0" w:line="188" w:lineRule="exact"/>
        <w:tabs>
          <w:tab w:leader="none" w:pos="65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51"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 $733,000,000. The market value calculation was determined using a per share price of $56.05, the price at which the common stock was last sold on the New York Stock Exchange on July 30, 2022, the last business day of the registrant’s most recently completed second fiscal quarter. For purposes of this calculation, shares of common stock held by nonaffiliates excludes only those shares beneficially owned by officers, directors, and shareholders owning 10% or more of the outstanding common stock (and, in each case, their immediate family members and affiliates).</w:t>
      </w:r>
    </w:p>
    <w:p>
      <w:pPr>
        <w:spacing w:after="0" w:line="1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 As of March 10, 2023, 12,599,115 shares of the registrant’s common stock were outstanding.</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Certain portions of registrant’s Definitive Proxy Statement for its 2023 Annual Meeting of Shareholders (which is expected to be filed with the Securities and Exchange Commission within 120 days after the end of the registrant’s fiscal year ended January 28,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80" w:type="dxa"/>
            <w:vAlign w:val="bottom"/>
            <w:gridSpan w:val="14"/>
          </w:tcPr>
          <w:p>
            <w:pPr>
              <w:jc w:val="center"/>
              <w:ind w:right="348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8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gridSpan w:val="12"/>
          </w:tcPr>
          <w:p>
            <w:pPr>
              <w:jc w:val="center"/>
              <w:ind w:right="4800"/>
              <w:spacing w:after="0" w:line="182"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980" w:type="dxa"/>
            <w:vAlign w:val="bottom"/>
          </w:tcPr>
          <w:p>
            <w:pPr>
              <w:spacing w:after="0"/>
              <w:rPr>
                <w:sz w:val="15"/>
                <w:szCs w:val="15"/>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9"/>
                <w:szCs w:val="19"/>
                <w:color w:val="auto"/>
              </w:rPr>
            </w:pPr>
          </w:p>
        </w:tc>
        <w:tc>
          <w:tcPr>
            <w:tcW w:w="4840" w:type="dxa"/>
            <w:vAlign w:val="bottom"/>
            <w:gridSpan w:val="9"/>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4A.</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1"/>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0" w:type="dxa"/>
            <w:vAlign w:val="bottom"/>
            <w:tcBorders>
              <w:bottom w:val="single" w:sz="8" w:color="0000EE"/>
            </w:tcBorders>
          </w:tcPr>
          <w:p>
            <w:pPr>
              <w:spacing w:after="0"/>
              <w:rPr>
                <w:sz w:val="24"/>
                <w:szCs w:val="24"/>
                <w:color w:val="auto"/>
              </w:rPr>
            </w:pPr>
          </w:p>
        </w:tc>
        <w:tc>
          <w:tcPr>
            <w:tcW w:w="47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9C.</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71"/>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gridSpan w:val="7"/>
          </w:tcPr>
          <w:p>
            <w:pPr>
              <w:jc w:val="center"/>
              <w:ind w:right="5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4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71"/>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13"/>
          </w:tcPr>
          <w:p>
            <w:pPr>
              <w:jc w:val="center"/>
              <w:ind w:right="478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980" w:type="dxa"/>
            <w:vAlign w:val="bottom"/>
          </w:tcPr>
          <w:p>
            <w:pPr>
              <w:spacing w:after="0"/>
              <w:rPr>
                <w:sz w:val="24"/>
                <w:szCs w:val="24"/>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3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6"/>
          </w:tcPr>
          <w:p>
            <w:pPr>
              <w:spacing w:after="0"/>
              <w:rPr>
                <w:sz w:val="19"/>
                <w:szCs w:val="19"/>
                <w:color w:val="auto"/>
              </w:rPr>
            </w:pPr>
          </w:p>
        </w:tc>
        <w:tc>
          <w:tcPr>
            <w:tcW w:w="4760" w:type="dxa"/>
            <w:vAlign w:val="bottom"/>
            <w:gridSpan w:val="7"/>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98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16.</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897"/>
        </w:trPr>
        <w:tc>
          <w:tcPr>
            <w:tcW w:w="1140" w:type="dxa"/>
            <w:vAlign w:val="bottom"/>
          </w:tcPr>
          <w:p>
            <w:pPr>
              <w:spacing w:after="0"/>
              <w:rPr>
                <w:sz w:val="24"/>
                <w:szCs w:val="24"/>
                <w:color w:val="auto"/>
              </w:rPr>
            </w:pPr>
          </w:p>
        </w:tc>
        <w:tc>
          <w:tcPr>
            <w:tcW w:w="1540" w:type="dxa"/>
            <w:vAlign w:val="bottom"/>
            <w:tcBorders>
              <w:top w:val="single" w:sz="8" w:color="0000FF"/>
            </w:tcBorders>
            <w:gridSpan w:val="5"/>
          </w:tcPr>
          <w:p>
            <w:pPr>
              <w:spacing w:after="0"/>
              <w:rPr>
                <w:sz w:val="24"/>
                <w:szCs w:val="24"/>
                <w:color w:val="auto"/>
              </w:rPr>
            </w:pPr>
          </w:p>
        </w:tc>
        <w:tc>
          <w:tcPr>
            <w:tcW w:w="3340" w:type="dxa"/>
            <w:vAlign w:val="bottom"/>
            <w:gridSpan w:val="14"/>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Notice Regarding Forward-Looking Statements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report and a number of factors may adversely affect the forward-looking statements and our future results, liquidity, capital resources or prospects. These include, but are not limited to, risks related to disruptions to our business, sales, supply chain and financial results; the level of consumer spending on our merchandise and in general and consumer interest in our brands; the level and timing of promotional activity necessary to protect our reputation and maintain inventories at appropriate levels; public health and safety issues, including widespread or severe outbreaks of COVID-19; the timing and amount of any share repurchases by us; risks related to doing business internationally, including the manufacturing of a portion of our products in China; the increasing scope of our non-U.S. operations; the imposition of tariffs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including disruptions as a result of pandemics or geopolitical events; unfavorable trends in fuel costs, foreign exchange rates, foreign labor and material costs; a disruption in shipping or increase in cost of our imported products, and other factors affecting the cost of products; our dependence on third-party vendors and licensors for the products we sell; the effects of the withdrawal of the United Kingdom ("U.K") from the European Union ("Brexit"), and other sources of market weakness in the U.K. and the Republic of Ireland (the “ROI”); the effectiveness of our omnichannel initiatives; costs associated with changes in minimum wage and overtime requirements; wage pressure in the U.S. and the U.K.; labor shortages; the effects of inflation, including our ability to pass increased costs on to consumers; effects resulting from wars and other military operations; the evolving regulatory landscape related to our use of social media; the establishment and protection of our intellectual property; weakness in the consumer economy and retail industry; competition and fashion trends in our markets, including trends with respect to the popularity of casual and dress footwear; weakness in shopping mall traffic; any failure to increase sales at our existing stores, particularly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expand our business and diversify our product base; impairment of goodwill in connection with acquisitions; payment-related risks that could increase our operating costs, expose us to fraud or theft, subject us to potential liability and/or disrupt our business; retained liabilities associated with divestitures of businesses including potential liabilities under leases as the prior tenant or as a guarantor of certain leases; and changes in the timing of holidays or in the onset of seasonal weather affecting period-to-period sales comparisons. Additional factors that could cause differences from expectations include our ability to open additional retail stores, renew leases in existing stores, control or lower occupancy costs, and conduct required remodeling or refurbishment on schedule and at expected expense levels; realize anticipated cost savings, including rent savings;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our ability to meet our ESG projections, goals and commitments related to sustainability, stewardship, emissions and diversity, equity and inclusion; costs and reputational harm as a result of disruptions in our business or information technology systems either by security breaches and incidents or by potential problems associated with the implementation of new or upgraded systems; our ability to realize any anticipated tax benefits in both the amount and timeframe anticipated; and the cost and outcome of litigation, investigations and environmental matters that involve us. For a full discussion of risk factors, see Item 1A, "Risk Factors".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88"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Genesco Inc., incorporated in 1934 in the State of Tennessee, is a leading retailer and wholesaler of branded footwear, apparel and accessories with net sales for Fiscal 2023 of $2.4 billion. During Fiscal 2023, we operated four reportable business segments (not including corporate): (i) Journeys Group, comprised of the Journeys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Burgundy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retail footwear chains and e-commerce operations; (ii) Schuh Group, comprised of the Schuh retail footwear chain and e-commerce operations; (iii) Johnston &amp; Murphy Group, comprised of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retail operations, e-commerce operations and wholesale distribution of products under the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(iv) Genesco Brands Group, formerly Licensed Brands, comprised of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G.H. Bass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brands, as well as other brands we license for footwear. We also source, design, market and distribute footwear under our Johnston &amp; Murphy brand and the licensed Levi's, Dockers and G.H. Bass brands, as well as other brands that we license for footwear to over 1,000 retail accounts in the United States, including a number of leading department, discount, and specialty stores.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January 28, 2023, we operated 1,410 retail footwear and accessory stores located primarily throughout the United States and in Puerto Rico, including 85 footwear stores in Canada and 122 footwear stores in the U.K. and the ROI. We plan to open a total of approximately 31 new retail stores and to close approximately 66 retail stores in Fiscal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additional information concerning our retail footwear and accessory stores during the five most recent fiscal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r>
      <w:tr>
        <w:trPr>
          <w:trHeight w:val="245"/>
        </w:trPr>
        <w:tc>
          <w:tcPr>
            <w:tcW w:w="5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Stores</w:t>
            </w:r>
          </w:p>
        </w:tc>
        <w:tc>
          <w:tcPr>
            <w:tcW w:w="11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of year</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1,535</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1,512</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1,480</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r>
      <w:tr>
        <w:trPr>
          <w:trHeight w:val="247"/>
        </w:trPr>
        <w:tc>
          <w:tcPr>
            <w:tcW w:w="5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Opened during year</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Closed during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6"/>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End of year</w:t>
            </w:r>
          </w:p>
        </w:tc>
        <w:tc>
          <w:tcPr>
            <w:tcW w:w="11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-24765</wp:posOffset>
            </wp:positionV>
            <wp:extent cx="8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85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7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76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-7620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Shorthand references to fiscal years (e.g., “Fiscal 2023”) refer to the fiscal year ended on the Saturday nearest January 31st in the named year (e.g., January 28, 2023).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Across our company, we aspire to create and curate leading footwear brands that represent style, innovation and self-expression and to be the destination for our consumers' favorite fashion footwear. Each of our businesses has a strong strategic position grounded in a deep and ever-evolving understanding of the customers it serves. We strive to build enduring relationships with our target customers, based upon unparalleled consumer and market insights. We seek to excite and constantly exceed customer expectations by delivering distinctive experiences and products, using our deep direct-to-consumer expertise across digital and physical channels. The strength of our concepts and the advantages we have built over time have established long-lasting leadership positions that make our footwear businesses outstanding on their own, but what they share through the benefit of synergies makes them even stronger together. We have aligned our footwear focused strategy around six pillars aimed at accelerating our transformation and leveraging synergies to drive growth and sustainable profitability, 1) accelerate digital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grow direct-to-consumer, 2) maximize the relationship between physical and digital channels, 3) build deeper consumer insights to strengthen customer relationships and brand equity, 4) intensify product innovation and trend insight efforts, 5) reshape the cost base to reinvest for future growth, and 6) pursue synergistic acquisitions that add growth and create shareholder value. We anticipate optimizing our store footprint in the future, concentrating on locations that we believe will be most productive, as well as closing certain stores, perhaps reducing the overall square footage and store count from current levels, but improving productivity in our existing locations and investing in technology and infrastructure to support omnichannel and digital retailing.</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made acquisitions, including the acquisitions of the Schuh Group in June 2011, Little Burgundy in December 2015 and Togast in January 2020. Now that many of the challenges of the pandemic are behind us, we expect to concentrate our efforts on opportunities to leverage our direct-to-consumer capabilities to grow our branded platform and leverage its strategies.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 generally, we attempt to develop strategies to mitigate the risks we view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our target customers can change rapidly, we believe that our ability to react quickly to those changes has been important to our success. Even when we succeed in aligning our merchandise offerings with consumer preferences, those preferences may affect results by, for example, driving sales of products with lower average selling prices or products which are more widely available in the marketplace and thus more subject to competitive pressures than our typical offering. Moreover, economic factors, such as inflation, the collateral effects of the COVID-19 pandemic, supply chain disruptions and increased logistics costs, and any future economic contraction and changes in tax policies, may reduce the consumer’s disposable income or his or her willingness to purchase discretionary items, and thus may reduce demand for our merchandise, regardless of our skill in detecting and responding to fashion trends. We believe our experience and discipline in merchandising and the buying power associated with our relative size and importance in the industry segments in which we compete are important factors in our ability to mitigate risks associated with changing customer preferences and other changes in consumer demand.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Journeys Group</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Journeys Group accounted for 62% of our net sales in Fiscal 2023. Journeys retail footwear stores target customers in the 13 to 22 year age group through the use of youth-oriented decor and multi-channel media. Journeys stores carry predominately branded merchandise across a wide range of prices. The Journeys Kidz retail footwear stores sell footwear and accessories primarily for younger children, toddler age to 12 years old. Little Burgundy retail footwear stores sell footwear and accessories to fashion-oriented men and women in the 21 to 34 age group ranging from students to young professionals.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January 28, 2023, Journeys Group operated 1,130 stores, including 863 Journeys stores, 233 Journeys Kidz stores and 34 Little Burgundy stores averaging approximately 2,000 square feet, located primarily in malls and factory outlet centers throughout the United States, Puerto Rico and Canada, selling footwear and accessories for young men, women and children. Journeys Group's e-commerce websites include the following: journeys.com, journeyskidz.com, journeys.ca and littleburgundyshoes.com. In Fiscal 2023, the Journeys Group closed a net of five stores.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Schuh Group</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Schuh Group accounted for 18% of our net sales in Fiscal 2023. Schuh Group stores target teenagers and young adults in the 16 to 24 year age group, selling a broad range of branded casual and athletic footwear along with a meaningful private label offering. At January 28, 2023, Schuh Group operated 122 Schuh stores, averaging approximately 4,950 square feet, which include both street-level and mall locations in the U.K. and the ROI. Schuh Group's e-commerce websites are schuh.co.uk, schuh.ie and schuh.eu. In Fiscal 2023, Schuh Group closed a net of one store.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Johnston &amp; Murphy Group accounted for 13% of our net sales in Fiscal 2023. All sales of Johnston &amp; Murphy Group's retail and wholesale businesses are of the Genesco-owned Johnston &amp; Murphy brand.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Johnston &amp; Murphy Retail Operations. At January 28, 2023, Johnston &amp; Murphy operated 158 retail shops and factory stores primarily in the United States averaging approximately 1,950 square feet and selling footwear, apparel and accessories primarily for men in the 35 to 55 year age group. Johnston &amp; Murphy retail shops are located primarily in higher-end malls and airports nationwide and sell a broad range of men’s casual and dress footwear, apparel and accessories. Women’s footwear and accessories are sold in select Johnston &amp; Murphy locations. We also sell Johnston &amp; Murphy products directly to consumers through johnstonmurphy.com and johnstonmurphy.ca e-commerce websites. Footwear accounted for 59% of Johnston &amp; Murphy retail sales in Fiscal 2023, with the balance consisting primarily of apparel and accessories. Johnston &amp; Murphy Group closed a net of nine shops and factory stores, including two shops in Canada, in Fiscal 2023.</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Johnston &amp; Murphy Wholesale Operations. Johnston &amp; Murphy men’s and boy's footwear, apparel and accessories, along with women's footwear are sold at wholesale, primarily to better department stores, independent specialty stores and e-commerce retailers. Johnston &amp; Murphy’s wholesale customers offer the brand’s footwear for dress, dress casual, and casual occasions, with the majority of styles offered in these channels selling from $100 to $195.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Genesco Brands Group segment, formerly Licensed Brands, accounted for 7% of our net sales in Fiscal 2023. Genesco Brands Group sales include footwear marketed under the Levi's brand, Dockers brand and G.H. Bass brand, among others. The Levi's brand license and the G.H. Bass brand license were entered into concurrently with the Togast acquisition. Levi's footwear is marketed to men, women and children through department and specialty stores and off-price retailers across the country as well as e-commerce retailers. Suggested retail prices for Levi's footwear generally range from $35 to $100. Dockers footwear is marketed to men aged 30 to 55 through many of the same national retail chains that carry Dockers pants and sportswear and in department and specialty stores across the country. Suggested retail prices for Dockers footwear generally range from $40 to $90. Genesco Brands Group designs and sources licensed footwear under the Levi's, Dockers and G.H. Bass brand names, among others. In the fourth quarter of Fiscal 2022, we signed a three-year licensing agreement with STARTER to be their exclusive U.S. and Canadian footwear licensee for athletic footwear. We design and manufacture the STARTER brand footwear for men, women and children with suggested retail prices ranging from $49 to $120. Genesco Brands Group e-commerce websites are nashvilleshoewarehouse.com and dockershoes.com. In the second quarter of Fiscal 2023, we signed a three-year licensing agreement with PONY to be their exclusive U.S. footwear licensee for athletic footwear for men, women and children with suggested retail prices ranging from $75 to $250, including a Limited Edition 50th anniversary version for $250.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 and Sourcing</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rely on independent third-party manufacturers for production of our footwear products sold at wholesale and our Johnston &amp; Murphy retail business. We source footwear and accessory products from foreign manufacturers located in Brazil, Canada, China, Hong Kong, India, Italy, Mexico, Pakistan, Portugal, Peru, Spain, Turkey and Vietnam. Our retail operations, excluding Johnston &amp; Murphy, sell primarily branded products from third parties who source primarily overseas.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Competition is intense in the footwear, apparel and accessory industries. Our retail footwear, apparel and accessory competitors range from small, locally owned stores to regional and national department stores, discount stores, specialty chains, our vendors with their own direct-to-consumer channels and online retailers. We also compete with hundreds of footwear wholesale operations in the United States and throughout the world, most of which are relatively small, specialized operations, but some of which 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6" w:name="page7"/>
    <w:bookmarkEnd w:id="6"/>
    <w:p>
      <w:pPr>
        <w:jc w:val="both"/>
        <w:spacing w:after="0" w:line="265" w:lineRule="auto"/>
        <w:rPr>
          <w:sz w:val="20"/>
          <w:szCs w:val="20"/>
          <w:color w:val="auto"/>
        </w:rPr>
      </w:pPr>
      <w:r>
        <w:rPr>
          <w:rFonts w:ascii="Times New Roman" w:cs="Times New Roman" w:eastAsia="Times New Roman" w:hAnsi="Times New Roman"/>
          <w:sz w:val="18"/>
          <w:szCs w:val="18"/>
          <w:color w:val="auto"/>
        </w:rPr>
        <w:t>large, more diversified companies. Some of our competitors have resources that are not available to us. Our success depends upon our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Licenses</w:t>
      </w:r>
    </w:p>
    <w:p>
      <w:pPr>
        <w:spacing w:after="0" w:line="19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We own our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own or license the trade names of our retail concepts either directly or through wholly-owned subsidiaries. The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footwear line, introduced in Fiscal 1993, is sold under a license agreement granting us the exclusive right to sell men’s footwear under the trademark in the United States, Canada and the Caribbean. The Dockers license agreement expires in 2024. We entered into a new license agreement with Levi Strauss &amp; Co. in January 2020 for the right to sell men's, women's and children's footwear under the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in the United States and the Caribbean. The initial term of the license agreement with respect to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 is through November 30, 2024 with one additional four-year renewal term. We entered into a new license agreement for STARTER athletic footwear in September 2021. The initial term of the license is three years with a three-year renewal option, which would extend the partnership through December 31, 2027. We entered into a new license agreement for PONY athletic footwear in June 2022. The initial term of the license is three years with a three-year renewal option, which would extend the partnership through June 2028. We license certain other footwear brands, mostly in foreign markets. License royalty income was not material in Fiscal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Backlog</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Most of the orders in our wholesale divisions are for delivery within 150 days. Historically, most of our business has been at-once, and as a result, the backlog at any one time has not necessarily been indicative of future sales. As we recovered from the global supply chain issues of the past year, our backlog of orders for our wholesale operations, including unconfirmed customer purchase orders, has returned to more normal levels and, as such has decreased from approximately $167.7 million as of February 26, 2022 to approximately $72.7 million as of February 25,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Social and Governance ("ESG") Initiatives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a leading retailer and wholesaler of branded footwear, apparel and accessories, we strive to make a positive impact on our industry, our communities and our planet by committing to transparent, socially conscious, and sustainable business practices. We believe that our ESG practices should serve all of our stakeholders, including shareholders, employees, customers and business partners.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ESG Program, we expect to continue to advance our sustainable business practices with the goal of consistently delivering products that exceed consumer expectations. We believe the progress of our ESG efforts is best served by disclosing goals and relevant metrics. During Fiscal 2023, we completed our initial measurements or baselines for our greenhouse gas emissions. In addition, we issued our initial corporate sustainability report in Fiscal 2023 which can be found at www.genesco.com. Our website address is provided as an inactive textual reference only. The information provided on our website is not a part of this report, and therefore is not incorporated herein by reference.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committed to reducing our impact on the environment by focusing on sustainability initiatives in our operations and throughout our supply chain and product lifecycle. To this end, in Fiscal 2022, we joined the Leather Working Group ("LWG"). The LWG is a not-for-profit organization responsible for the world's leading environmental certification for the leather manufacturing industry. As a member of the LWG, we apply holistic practices in the supply chain for leather manufacturing for our third-party manufacturers.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Employees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had approximately 19,000 employees as of January 28, 2023 with approximately 15,000 employed in the United States and Canada, and approximately 4,000 in the U.K. and the ROI. The majority of our workforce consists of retail-based, customer-facing employees with approximately 70% part-time and 30% full-time as of January 28, 2023.</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consider our employees to be core to our success. Our values include treating our customers and each other with integrity, trust and respect, and creating an unrivaled home for talent and diversity to grow and succeed.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Health &amp; Safety</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conduct health and safety training with our retail and distribution employees to build knowledge and awareness of workplace conditions and hazards according to local, regional and national standards.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Benefits and Compensation</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offer a comprehensive benefits package designed to meet the diverse needs of our employees and their families. This package includes many benefits dedicated to our employees’ physical and mental health and well-being as well as benefits designed to help employees build wealth and prepare for the future.</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also provide valuable benefits and protections based on the unique needs and interests of each individual employee such as domestic partner benefits, parental leave, adoption benefits, family building benefits, paid time for community service, financial assistance with emergencies, scholarship opportunities, matching gift contributions and a generous product discount.</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compensation programs are designed to attract, retain and motivate employees. We provide short-term and long-term incentives to encourage and reward superior performance and also drive long-term shareholder value. We engage a nationally recognized outside compensation consulting firm to independently evaluate the effectiveness of our executive compensation programs and to provide benchmarking against our peers within the industry.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Equity and Inclusion</w:t>
      </w:r>
    </w:p>
    <w:p>
      <w:pPr>
        <w:spacing w:after="0" w:line="18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are committed to our diversity, equity, and inclusion ("DEI") efforts to make a meaningful difference for our employees, our customers, and our communities.</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enhanced our commitment to DEI by building on our solid foundation with additional resources on key DEI initiatives. Through our DEI Taskforce and defined vision, we are focusing our attention on areas where we can make the most impact – our talent, our business practices and our communities. We have identified opportunities that will advance our DEI efforts across our portfolio of brands, including expanded training and development programs, pay equity studies, the launch of Business Resource Groups and ongoing engagement through communication and events.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Employee Engagement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annual employee engagement surveys as well as other targeted surveys with various segments of our workforce to measure important aspects of the employee experience. The survey measures employee sentiment on a variety of topics including leadership, management, alignment, involvement, respect in the workplace, learning and development, social connection and work life balance, among others. The survey creates the opportunity to establish two-way communication and gives employees a direct voice in influencing change. Our results indicate high participation rates and strong engagement scores. We remain committed to listening to and learning from our employees.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Training and Development</w:t>
      </w:r>
    </w:p>
    <w:p>
      <w:pPr>
        <w:spacing w:after="0" w:line="18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provide employees with the opportunity to grow their careers and be rewarded for their contributions. We have a strong promote from within culture and target training and development that is relevant to an employee’s current role as well as future roles to which they aspire.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Capital</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committed to responsible sourcing practices in our supply chain. We depend on third-party vendors to produce the products we sell but strive to work only with those vendors who share our commitment to responsible practices, especially in their relationships with employees and their stewardship of the environment. Our supply chain and ethical practices policies are among the ways we seek to implement this commitment.</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we published a comprehensive human rights policy with its commitment to respecting human rights and belief in fundamental standards that support our commitment to treat our employees, customers and business partners with integrity, trust and respect. Our human rights policy addresses our internal business ethics and code of conduct policies and principles embedded in our business operations, and is guided by the United Nations Guiding Principles on Business and Human Rights, the UN Universal Declaration of Human Rights, and the Organization for Economic Cooperation and Development (OECD) Guidelines for Multi National Enterprises.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also monitor chemicals and substances in our supply chain for compliance with legal and regulatory requirements consistent with our Environmental Policy and expect our contracted factories and suppliers to take a proactive stance in eliminating any hazardous chemicals or substances in the manufacture of our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Security and Cybersecurity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retail and wholesale activities, marketing campaigns, customer relationship efforts and use of some third-party partners, we may handle and process certain non-public personal information that customers provide to purchase products, enroll in promotional or marketing programs, register on websites, or otherwise communicate to us in the course of providing support. This may include phone numbers, email addresses, physical addresses, contact preferences, personal information stored on electronic devices, and certain payment related information, including credit and debit card data. We have removed the transmission, processing, and storage of credit card data from our environment through the use of hardware based end-to-end encryption along with tokenization.</w:t>
      </w:r>
    </w:p>
    <w:p>
      <w:pPr>
        <w:spacing w:after="0" w:line="1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gather and retain information about our employees only as necessary to fulfill our responsibilities as an employer. We may share information about such persons with benefit and/or employee services vendors that assist with certain aspects of our human resources offering.</w:t>
      </w:r>
    </w:p>
    <w:p>
      <w:pPr>
        <w:spacing w:after="0" w:line="1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maintain controls and safeguards to mitigate the risks to our systems and to protect this information and have made significant investments to improve our information security and privacy posture and keep pace with the ever changing and evolving risks 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both"/>
        <w:spacing w:after="0" w:line="260" w:lineRule="auto"/>
        <w:rPr>
          <w:sz w:val="20"/>
          <w:szCs w:val="20"/>
          <w:color w:val="auto"/>
        </w:rPr>
      </w:pPr>
      <w:r>
        <w:rPr>
          <w:rFonts w:ascii="Times New Roman" w:cs="Times New Roman" w:eastAsia="Times New Roman" w:hAnsi="Times New Roman"/>
          <w:sz w:val="18"/>
          <w:szCs w:val="18"/>
          <w:color w:val="auto"/>
        </w:rPr>
        <w:t>our systems and our information. For example, we have implemented hardware based end-to-end encryption with tokenization, multi-factor authentication protocols, next generation firewalls, comprehensive cloud email security and endpoint protection, detection, and response software, conducted continuous risk assessments, and established data security breach preparedness and response plans. We also promote security awareness with our employees and require all endpoint users to successfully complete our annual security awareness training.</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information security, we must comply with increasingly complex and demanding regulatory standards enacted to protect the privacy of business and personal data in the United States, Europe and other jurisdictions. For example, the European Union adopted the General Data Protection Regulation (the “GDPR”), which went into effect on May 25, 2018; and California enacted the California Consumer Privacy Act (the "CCPA") which went into effect on January 1, 2020, and additional jurisdictions are considering proposing or adopting similar regulations. These privacy laws impose additional requirements on companies regarding the handling of personal data and provide certain individual privacy rights to persons whose data is stored or processed.</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implemented processes and systems to allow for the expedient response and resolution of Data Subject Access Requests in accordance with existing privacy laws and regulations that are applicable to our business, including GDPR and CCPA.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Building better communities is part of our everyday values. Our community outreach initiatives support underserved communities including our unique signature community outreach programs </w:t>
      </w:r>
      <w:r>
        <w:rPr>
          <w:rFonts w:ascii="Times New Roman" w:cs="Times New Roman" w:eastAsia="Times New Roman" w:hAnsi="Times New Roman"/>
          <w:sz w:val="18"/>
          <w:szCs w:val="18"/>
          <w:i w:val="1"/>
          <w:iCs w:val="1"/>
          <w:color w:val="auto"/>
        </w:rPr>
        <w:t>Cold Feet, Warm Shoes</w:t>
      </w:r>
      <w:r>
        <w:rPr>
          <w:rFonts w:ascii="Times New Roman" w:cs="Times New Roman" w:eastAsia="Times New Roman" w:hAnsi="Times New Roman"/>
          <w:sz w:val="18"/>
          <w:szCs w:val="18"/>
          <w:color w:val="auto"/>
        </w:rPr>
        <w:t>, the Make a Difference Charity Golf Tournament benefitting United Way, Journeys Attitude That Cares and Schuh’s Purpose Pillar program. In addition, the Company and our employees engage through community sponsorship and leadership, including actively supporting Nashville’s Pride Month and the Nashville Pride Parade, Can’d Aid and the United Way of Greater Nashville’s annual campaign, among other initiatives.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corporate governance mechanisms in place, along with internal controls over our financial reporting framework. We also have Enterprise Risk Management and Ethics and Compliance program frameworks, with annual updates provided to committees of our board of directors ("Board of Directors" or "Board") and our Board. To drive our ESG efforts, we have established an ESG/sustainability management and oversight framework under the direction of our Senior Vice President, Corporate Secretary and General Counsel. A subcommittee of the Nominating and Governance Committee of our Board oversees our ESG efforts.</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commitment to diversity and inclusion is reflected in our Board, which is comprised of 55% of members who are diverse in either gender and/or ethnicity as of January 28, 2023. We are committed to efforts to expand our Board’s diversity.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business is seasonal with our investment in working capital normally reaching peaks in the spring and fall of each year and a significant portion of our net sales and operating income generated during the fourth quarter. The wholesale backlog is somewhat seasonal, reaching a peak in the spring. We maintain in-stock programs for selected product lines with anticipated high-volume sales.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former manufacturing operations and the sites of those operations as well as the sites of our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treatment, disposal, and transportation of solid and hazardous wastes and releases of hazardous substances into the environment. In addition, third parties and governmental agencies in some cases have the power under such laws and regulations to require remediation of environmental conditions and, in the case of governmental agencies, to impose fines and penalties. Several of the facilities owned by us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We are currently involved in certain administrative and judicial environmental proceedings relating to our former facilities. See Note 15 to the Consolidated Financial Statements included in Item 8, "Financial Statements and Supplementary Data".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and other reports from time to time. We are an electronic filer and the SEC maintains an internet site at http://www.sec.gov that contains the reports, proxy and information statements, and other information filed electronically. Our website address, which is provided as an inactive textual reference only, is http://www.genesco.com.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our Audit Committee, Compensation Committee, Nominating and Governance Committee as well as our Corporate Governance Guidelines and Code of Ethics along with position descriptions for our Board of Directors and Board committees are also available free of charge through the website. The information provided on our website is not part of this Annual Report on Form 10-K and is therefore not incorporated by reference unless such information is otherwise specifically incorporated elsewhere in this Annual Report on Form 10-K.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You should carefully consider the risks and uncertainties described below and the other information in this Annual Report on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occur, our business, financial condition, cash flows or results of operations could be adversely affected in a material way. This could cause the trading price of our stock to decline, perhaps significantly, and you may lose part or all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Demand-Related and Reputational Risks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Consumer spending is affected by poor economic conditions and other factors and may significantly harm our business, affecting our financial condition, liquidity, and results of operations.</w:t>
      </w:r>
    </w:p>
    <w:p>
      <w:pPr>
        <w:spacing w:after="0" w:line="1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spacing w:after="0" w:line="1" w:lineRule="exact"/>
        <w:rPr>
          <w:sz w:val="20"/>
          <w:szCs w:val="20"/>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the risks associated with recessions or other macroeconomic conditions and pressures such as inflationary impacts and supply chain challenges;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 which affect gasoline and home heating prices;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debt;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products;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refunds and policies;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terrorism and other hostilities;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future economic conditions.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Adverse economic conditions and any related decrease in consumer demand for discretionary items could have a material adverse effect on our business, results of operations and financial condition. The merchandise we sell generally consists of discretionary items. Reduced consumer confidence and spending may result in reduced demand for discretionary items and may force us to take inventory markdowns, decreasing sales and making expense leverage difficult to achieve. In addition, inflationary cost pressure on the products we sell might limit our ability to pass on cost increases resulting in gross margin impact or reduced demand. Demand can also be influenced by other factors beyond our control.</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while we believe that our operating cash flows and borrowing capacity under committed lines of credit will be adequate for our anticipated cash requirements, if the economy were to experience a downturn, if one or more of our revolving credit banks were to fail to honor its commitments under our credit lines or if we were unable to draw on our credit lines for any reason, we could be required to modify our operations for decreased cash flow or to seek alternative sources of liquidity, and such alternative sources might not be available to us. These same factors could impact our wholesale customers, limiting their ability to buy or pay for merchandise offered by us.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protect our reputation could have a material adverse effect on our brand names.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 w:name="page13"/>
    <w:bookmarkEnd w:id="12"/>
    <w:p>
      <w:pPr>
        <w:jc w:val="both"/>
        <w:spacing w:after="0" w:line="260" w:lineRule="auto"/>
        <w:rPr>
          <w:sz w:val="20"/>
          <w:szCs w:val="20"/>
          <w:color w:val="auto"/>
        </w:rPr>
      </w:pPr>
      <w:r>
        <w:rPr>
          <w:rFonts w:ascii="Times New Roman" w:cs="Times New Roman" w:eastAsia="Times New Roman" w:hAnsi="Times New Roman"/>
          <w:sz w:val="18"/>
          <w:szCs w:val="18"/>
          <w:color w:val="auto"/>
        </w:rPr>
        <w:t>to achieve these objectives or if our public image or reputation were to be tarnished by negative publicity or if adverse information concerning us is posted on social media platforms or similar mediums. Failure to comply, or accusation of failure to comply, with ethical, social, health, product, labor, data privacy, and environmental standards could also jeopardize our reputation and potentially lead to various adverse consumer and employee actions. Any of these events could result in decreased revenue or otherwise adversely affect our business.</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appropriately address emerging environmental, social and governance matters could have a material adverse impact on our reputation and, as a result, our business.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an increased focus from investors, customers, employees, business partners and other stakeholders concerning ESG matters. The expectations related to ESG matters are rapidly evolving, and from time to time, we have announced and will announce certain ESG initiatives and goals. Our ESG efforts may not be perceived to be effective or we could be criticized for the scope of such initiatives or goals. In addition, we could fail to timely meet or accurately report our progress on such initiatives and goals. As a result, we could suffer negative publicity and our reputation could be adversely impacted, which in turn could have a negative impact on investor perception and our products' acceptance by consumers. This may also impact our ability to attract and retain talent to compete in the marketplace.</w:t>
      </w:r>
    </w:p>
    <w:p>
      <w:pPr>
        <w:spacing w:after="0" w:line="14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There is also uncertainty in the markets in which we operate regarding potential policies related to issues surrounding global environmental sustainability. Changes in the legal or regulatory environment affecting responsible sourcing, supply chain transparency, or environmental protection, among others, including regulations to limit carbon dioxide and other greenhouse gas emissions, to discourage the use of plastic or to limit or to impose additional costs on commercial water use may result in increased compliance costs for us and our business partners.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involves a degree of risk related to fashion and other extrinsic demand drivers that are beyond our control.</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Failure to execute any of these activities successfully could result in adverse consequences, including lower sales, product margins, operating income and cash flows.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future success also depends on our ability to respond to changing consumer preferences, identify and interpret consumer trends, and successfully market new products.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industry in which we operate is subject to rapidly changing consumer preferences. The continued popularity of our footwear and apparel and the development and selection of new lines and styles of footwear and apparel with widespread consumer appeal, requires us to accurately identify and interpret changing consumer trends and preferences, and to effectively respond in a timely manner. Continuing demand and market acceptance for both existing and new products are uncertain and depend on substantial investment in product innovation, design and development, an ongoing commitment to product quality and significant and sustained marketing efforts and expenditures.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our response to anticipated changing consumer preferences and trends, we frequently must make decisions about product designs and marketing expenditures months in advance of the time when actual consumer acceptance can be determined. As a result, we may not be successful in responding to shifting consumer preferences and trends with new products that achieve market acceptance. If we fail to identify and interpret changing consumer preferences and trends, or are not successful in responding to these changes with the timely development or sourcing of products that achieve market acceptance, we could experience excess inventories and higher than normal markdowns, returns, order cancellations or an inability to profitably sell our products.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results may be adversely affected by declines in consumer traffic in malls.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majority of our stores are located within shopping malls and depend to varying degrees on consumer traffic in the malls to generate sales. Declines in mall traffic, whether caused by a shift in consumer shopping preferences or by other factors, may negatively impact our ability to maintain or grow our sales in existing stores, which could have an adverse effect on our financial condition or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subject to seasonal and quarterly fluctuations.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seasonal, with a significant portion of our net sales and operating income generated during the fourth quarter, which includes the holiday shopping season. Because of this seasonality, we have limited ability to compensate for shortfalls in fourth quarter sales or earnings by changes in our operations or strategies in other quarters. Adverse events outside of our control, such as supply chain interruptions, increased labor costs and labor availability, decreased consumer traffic or deteriorating economic conditions could result in lower than expected sales during the holiday shopping season or other periods in which we typically experience higher net sales, which could materially adversely impact our financial condition and results of operations. Our quarterly results of operations also may fluctuate significantly based on other factors such as:</w:t>
      </w:r>
    </w:p>
    <w:p>
      <w:pPr>
        <w:spacing w:after="0" w:line="4"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new store openings and renewals;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sales contributed by new and existing stores;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holidays and sales events;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quarter end dates due to the 53-week year;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that affect consumer spending;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including promotional activity.</w:t>
      </w:r>
    </w:p>
    <w:p>
      <w:pPr>
        <w:spacing w:after="0" w:line="1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 failure to increase sales at our existing stores, given our high fixed expense cost structure, and in our e-commerce businesses or an inability to reduce costs may adversely affect our stock price and impact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have historically affected, and will continue to affect, our comparable sales results and gross margin, including:</w:t>
      </w:r>
    </w:p>
    <w:p>
      <w:pPr>
        <w:spacing w:after="0" w:line="2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trends, such as less disposable income due to the impact of economic conditions, tax policies and other factors;</w:t>
      </w:r>
    </w:p>
    <w:p>
      <w:pPr>
        <w:spacing w:after="0" w:line="8"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new fashion trends to drive demand in certain of our businesses and the ability of those businesses to adjust to fashion changes on a timely basis;</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department stores that anchor malls or a significant number of non-anchor mall formats;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mall traffic due to changing customer preferences in the way they shop;</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holidays including sales tax holidays and the timing of tax refunds;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merchandise introductions and changes in our merchandise mix;</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merchandise efficiently to our stores;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type of sales events, promotional activities or other advertising;</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changing customer preferences in the ways they digitally shop;</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allocated product from our vendors;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cost reductions;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effectively;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external events beyond our control.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4" w:name="page15"/>
    <w:bookmarkEnd w:id="14"/>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retail industry could have a material adverse effect on our business or financial condition.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retail industry has experienced consolidation, store closures, bankruptcies and other ownership changes. In the future, retailers in the U.S.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We expect competition in the e-commerce market will continue to intensify. Growth in e-commerce could result in financial difficulties, including store closures, bankruptcies or liquidations for our brick-and-mortar stores and those of our wholesale customers who fail to compete effectively in the e-commerce market. We cannot control the success of individual malls, and an increase in store closures by other retailers may lead to reduced foot traffic, mall vacancies and mall bankruptcies.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future success will be determined, in part, on our ability to manage the impact of the rapidly changing retail environment and identify and capitalize on retail trends, including technology, enhanced digital capabilities, e-commerce and other process efficiencies that will better service our customers.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intensely competitive and increased or new competition could have a material adverse effect on us.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retail footwear and accessory markets are intensely competitive. We currently compete against a diverse group of retailers, including other regional and national specialty stores, department and discount stores, small independents and e-commerce retailers, as well as our own vendors who are increasingly selling direct-to-consumers,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including:</w:t>
      </w:r>
    </w:p>
    <w:p>
      <w:pPr>
        <w:spacing w:after="0" w:line="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efficiencies of competitors;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strategies;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by existing competitors;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direct-to-consumer selling by our vendors;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by new competitors into markets in which we currently operate;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existing retail competitors of innovative store formats or sales methods.</w:t>
      </w:r>
    </w:p>
    <w:p>
      <w:pPr>
        <w:spacing w:after="0" w:line="1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COVID-19 has had, and widespread or severe outbreaks of COVID-19 or other pandemics may in the future have, a material adverse effect on our financial condition, results of operations and liquidity.</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arising from or related to public health and safety concerns. COVID-19 caused, and widespread or severe outbreaks of COVID-19 or other pandemics may in the future cause, significant disruption to our business, including with respect to our wholesale and retail demand and our supply chain. The extent to which COVID-19 may in the future impact our financial condition, results of operations and liquidity generally depends on developments that we are or may be unable to control, assess or predict, such as the duration and severity of any widespread or severe outbreaks of a pandemic; whether a recession or similar economic downturn occurs in the United States or globally as a result of any such outbreaks; whether disruptive macroeconomic effects, such as worsening or prolonged supply chain challenges, inflationary pressures and labor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5" w:name="page16"/>
    <w:bookmarkEnd w:id="15"/>
    <w:p>
      <w:pPr>
        <w:jc w:val="both"/>
        <w:spacing w:after="0" w:line="265" w:lineRule="auto"/>
        <w:rPr>
          <w:sz w:val="20"/>
          <w:szCs w:val="20"/>
          <w:color w:val="auto"/>
        </w:rPr>
      </w:pPr>
      <w:r>
        <w:rPr>
          <w:rFonts w:ascii="Times New Roman" w:cs="Times New Roman" w:eastAsia="Times New Roman" w:hAnsi="Times New Roman"/>
          <w:sz w:val="18"/>
          <w:szCs w:val="18"/>
          <w:color w:val="auto"/>
        </w:rPr>
        <w:t>shortages, are experienced by the United States or global economies as a result of any such outbreaks; and operational changes we may elect or be required to make in the future in response to any such outbreaks, such as measures to reduce operating costs and improve efficiency and measures related to public health and safety.</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uncertainty as to the existence, duration and severity of any future widespread or severe outbreaks of COVID-19 or another pandemic, we are presently unable to accurately estimate the impact, if any, to our future business, financial condition, results of operations and liquidity. Any effects related to COVID-19 or another pandemic that we may experience in the future also could intensify or otherwise affect many of our other risk factors that are included in “Part I, Item 1A, Risk Factors” of this Annual Report on Form 10-K and our subsequent filings, including, but not limited to, risks inherent in the retail industry, macroeconomic factors beyond our control, risks related to doing business with third parties, including vendors and suppliers, performance of our information technology systems and risks related to our indebtedness. We may be unable to accurately predict or assess the other potential impacts to our risk factors contained herein and that are further described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and Infrastructure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a number of risks in opening new stores and renewing leases on existing stores.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open new stores, both in regional malls, where most of the operational experience of our U.S. businesses lies, and in other venues including outlet centers, major city street locations, airports, other off-mall locations and tourist destinations.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In addition to the risks already discussed for existing stores, the success of any planned expansion will be dependent upon numerous factors, many of which are beyond our control, including the following:</w:t>
      </w:r>
    </w:p>
    <w:p>
      <w:pPr>
        <w:spacing w:after="0" w:line="4"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markets and individual store sites within those markets;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suitable store sites;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lease terms for new stores and renewals (including rent and other costs) with landlords;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governmental and other third-party consents, permits and licenses necessary to the operation of our stores or otherwise;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build and remodel stores on schedule and at acceptable cost;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employees to staff new stores and our ability to hire, train, motivate and retain store personnel;</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laws and regulations, including wage, over-time, and employee benefits laws on store expense;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management and financial resources to manage an increased number of stores;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distribution and other operational and management systems to an expanded network of stores;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could prevent or delay store openings and impact our liquidity needed for store openings.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the results we expect to achieve during each fiscal quarter are dependent upon opening new stores and renewing leases on existing stores on schedule and at expected costs. If we fall behind in our new store openings,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or new businesses we launch, as well as any dispositions of assets or businesses, involve a degree of risk.</w:t>
      </w:r>
    </w:p>
    <w:p>
      <w:pPr>
        <w:spacing w:after="0" w:line="20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Acquisitions have been a component of our growth strategy in recent years, and we expect that we may continue to engage in acquisitions or launch new businesses to grow our revenues and meet our other strategic objectives. If acquisitions are not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6" w:name="page17"/>
    <w:bookmarkEnd w:id="16"/>
    <w:p>
      <w:pPr>
        <w:jc w:val="both"/>
        <w:spacing w:after="0" w:line="272" w:lineRule="auto"/>
        <w:rPr>
          <w:sz w:val="20"/>
          <w:szCs w:val="20"/>
          <w:color w:val="auto"/>
        </w:rPr>
      </w:pPr>
      <w:r>
        <w:rPr>
          <w:rFonts w:ascii="Times New Roman" w:cs="Times New Roman" w:eastAsia="Times New Roman" w:hAnsi="Times New Roman"/>
          <w:sz w:val="17"/>
          <w:szCs w:val="17"/>
          <w:color w:val="auto"/>
        </w:rPr>
        <w:t>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 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in the past and may in the future divest assets or businesses. Following any such divestitures, we may retain or incur liabilities or costs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 Dispositions may also involve our continued financial involvement in the divested business, such as through transition services agreements and guarantees. Under these arrangements, performance by the divested businesses or conditions outside our control could adversely affect our business and results of operations.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recorded with acquisitions is subject to impairment which could reduce the Company's profitability.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acquisitions, we record goodwill on our Consolidated Balance Sheets. This asset is not amortized but is subject to an impairment test at least annually, where we have the option first to assess qualitative factors to determine whether events and circumstances indicate that it is more likely than not that goodwill is impaired. If after such assessment we conclude that the asset is impaired, we are required to determine the fair value of the asset using a quantitative impairment test that is based on projected future cash flows from the acquired business discounted at a rate commensurate with the risk we consider to be inherent in our current business model. We perform the impairment test annually at the beginning of our fourth quarter, or more frequently if events or circumstances indicate that the value of the asset might be impaired.</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Deterioration in our equity market value, whether related to our operating performance or to disruptions in the equity markets or deterioration in the operating performance of the business unit with which goodwill is associated could cause us to recognize the impairment of some or all of the $38.1 million of goodwill on our Consolidated Balance Sheets at January 28, 2023, resulting in the reduction of net assets and a corresponding non-cash charge to earnings in the amount of the impairment.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Data Security and Privacy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operation of our business is heavily dependent on our information systems.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depend on a variety of information technology systems for the efficient functioning of our business (including multiple e-commerce websites) and security of information. Much information essential to our business is maintained electronically, including competitively sensitive information and potentially sensitive personal information about customers and employees.</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Despite our preventative efforts, our IT systems and websites may from time to time be vulnerable to damage or interruption from events such as difficulties in replacing or integrating the systems of acquired businesses, computer viruses, security breaches and power outages.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Our insurance policies may not provide coverage for security breaches and similar incidents or may have coverage limits which may not be adequate to reimburse us for losses caused by security breaches. We also rely on certain hardware and software vendors, including cloud-service providers, to maintain and periodically upgrade many of these systems so that they can continue to support our business. The software programs supporting many of our systems are licensed to us by independent software companies. The inability of our employees and developers or our inability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us vulnerable to security breaches.</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payment-related risks that could increase our operating costs, expose us to fraud or theft, subject us to potential liability and potentially disrupt our business.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retailer who accepts payments using a variety of methods, including credit and debit cards, installment payment methods, PayPal, and gift cards, we are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with those requirements could result in additional costs or accelerate these costs with additional legal and financial exposure for noncompliance. For certain payment methods, including credit and debit cards, we pay interchange and other fees, which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disrupt our business.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payment methods that we offer also subject us to potential fraud and theft by persons who seek to obtain unauthorized access to or exploit any weaknesses that may exist in the payment systems. We completed the implementation of Europay, Mastercard and Visa ("EMV") technology and received certification in Fiscal 2018; however future upgrades to our Company's systems could expose us to the fraudulent use of credit cards and increased costs, including possible fines and restrictions on our Company's ability to accept payments by credit or debit cards, if we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However, even if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the Payment Card Industry (“PCI”) is controlled by a limited number of vendors who have the ability to impose changes in the PCI’s fee structure and operational requirements on us without negotiation. Such changes in fees and operational requirements may result in our failure to comply with PCI DSS, and cause us to incur significant unanticipated expenses.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privacy breach, through a cybersecurity incident or otherwise, or failure to comply with privacy laws could materially adversely affect our business.</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part of normal operations, we and our third-party vendors and partners, receive and maintain confidential and personally identifiable information (“PII”)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and technology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information valuable to our business, including without limitation customer or employee PII, and/or theft. A similar cybersecurity breach to the computer networks and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 Our computer networks and our business may be adversely affected by such a breach of our third-party vendors and partners, which could result in a decrease in our e-commerce sales and/or a loss of information valuable to our business, including, without limitation, PII of customers or employees. Such a cyber-incident could result in any of the following:</w:t>
      </w:r>
    </w:p>
    <w:p>
      <w:pPr>
        <w:spacing w:after="0" w:line="9" w:lineRule="exact"/>
        <w:rPr>
          <w:sz w:val="20"/>
          <w:szCs w:val="20"/>
          <w:color w:val="auto"/>
        </w:rPr>
      </w:pPr>
    </w:p>
    <w:p>
      <w:pPr>
        <w:jc w:val="both"/>
        <w:ind w:left="76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destruction, loss, misappropriation, or release of confidential financial and other data, intellectual property, customer awards, or customer or employee information, including PII such as payment card information, email addresses, passwords, social security numbers, home addresses, or health information;</w:t>
      </w:r>
    </w:p>
    <w:p>
      <w:pPr>
        <w:ind w:left="76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resulting in material reputation or brand damage with our customers, vendors, third-party partners or industry peers;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including those generated through our e-commerce websites;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penalties, fines and/or enforcement actions, payment and industry penalties and fines and/or class action and other lawsuits.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of the above risks, individually or in aggregate, could materially damage our reputation and result in lost sales, governmental and payment card industry fines, and/or class action and other lawsuits. Although we carry cybersecurity insurance, in the event of a cyber-incident, that insurance may not be extensive enough or adequate in scope of coverage or amount to reimburse us for damages we may incur. Further, a significant breach of federal, state, provincial, local or international privacy laws could have a material adverse effect on our reputation.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requirements are constantly evolving and these requirements could adversely affect our business and operating results.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access to collect or maintain information about our customers, and the protection of that data is critical to our business. The regulatory environment surrounding information security and privacy continues to evolve and new laws are increasingly giving customers the right to control how their personal data is used. One such law is the European Union's General Data Protection Regulation ("GDPR"). Our failure to comply with the obligations of GDPR and similar U.S. federal and state laws, including California privacy laws, could in the future result in significant penalties which could have a material adverse effect on our business and results of operations. Data protection compliance could also cause us to incur substantial costs, forego a substantial amount of revenue or be subject to business risk associated with system changes and new business processes.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Supply Chain and Third-Party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operating costs, including wage increases resulting from potential increases in the minimum wage or competitive pressures, could have an adverse effect on our results.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operating costs, including wage increases resulting from potential increases in the minimum wage or wage increases reflecting competition in relevant labor markets, store occupancy costs, distribution center costs and other expense items, including healthcare costs, may reduce our operating margin, and make it more difficult to identify new store locations that we believe will meet our investment return requirements. In addition, other employment and healthcare law changes may increase the cost of provided retirement and healthcare benefits expenses. Increases in our overall employment costs could have a material adverse effect on the Company’s business, results of operations and financial and competitive position.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members of management or are unable to attract and retain the talent required for our business, our operating results could suffer.</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or disruption in, one of our distribution centers and other factors affecting the distribution of merchandise, including freight cost, could materially adversely affect our business.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of our divisions uses a single distribution center to handle all or a significant amount of its merchandise. Most of our operations’ inventory is shipped directly from suppliers to our operations' distribution centers, where the inventory is then processed, sorted and shipped to our stores, to our wholesale customers or to our e-commerce customers. We depend on the orderly operation of this receiving and distribution process, which depends, in turn, on adherence to shipping schedules and effective management of the distribution centers. Although we believe that our receiving and distribution processes are efficient and well positioned to support our current business and potential expansions, we cannot offer assurance that we have anticipated all of the changing demands that our expanding operations, particularly our e-commerce operations, will impose on our receiving and distribution system, or that events beyond our control, such as disruptions in operations due to fire or other catastrophic events, labor disagreements or shortages or shipping problems (whether in our own or in our third party vendors’ or carriers’ businesses), will not result in delays in the delivery of merchandise to our stores or to our wholesale customers or e-commerce/retail customers. In addition, to the extent we need to add capacity to distribution centers by either leasing or building new distribution centers or adding capacity at existing centers or make changes in our distribution processes to improve efficiency and maximize capacity, we cannot assure that these changes will not result in unanticipated delays or interruptions in distribution. We depend upon third-parties for shipment of a significant amount of merchandise. Interruptions in the services provided by third-parties may occasionally result from damage or destruction to our distribution centers; weather-related events; natural disasters; pandemics; trade policy changes or restrictions; tariffs or import-related taxes; third-party labor disruptions; shipping capacity constraints; third-party contract disputes; military conflicts; acts of terrorism; or other factors beyond our control. An interruption in service by third-parties for any reason could cause temporary disruptions in our business, a loss of sales and profits, and other material adverse effects.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0" w:name="page21"/>
    <w:bookmarkEnd w:id="20"/>
    <w:p>
      <w:pPr>
        <w:jc w:val="both"/>
        <w:spacing w:after="0" w:line="265" w:lineRule="auto"/>
        <w:rPr>
          <w:sz w:val="20"/>
          <w:szCs w:val="20"/>
          <w:color w:val="auto"/>
        </w:rPr>
      </w:pPr>
      <w:r>
        <w:rPr>
          <w:rFonts w:ascii="Times New Roman" w:cs="Times New Roman" w:eastAsia="Times New Roman" w:hAnsi="Times New Roman"/>
          <w:sz w:val="18"/>
          <w:szCs w:val="18"/>
          <w:color w:val="auto"/>
        </w:rPr>
        <w:t>Our freight costs are impacted by changes in fuel prices, surcharges and other factors which can affect cost both on inbound freight from vendors to our distribution centers and outbound freight from our distribution centers to our stores and customers. Increases in freight costs, including in connection with increased fuel prices, may increase our cost of goods sold and our selling and administrative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the cost or a disruption in the flow of our imported products could adversely affect our business.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customer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shipping and importation of imported products because of factors such as: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shortages, work stoppages, strikes and political unrest;</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oceanic shipping, including shipping container shortages and delays in ports;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customs inspections of import shipments or other factors that could result in penalties causing delays in shipments;</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crises, natural disasters, pandemics, international disputes and wars;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purchasing or shipping foreign merchandise resulting from:</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additional cargo or safeguard measures;</w:t>
      </w:r>
    </w:p>
    <w:p>
      <w:pPr>
        <w:spacing w:after="0" w:line="8"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by the United States of “most favored nation” trading status to or the imposition of quotas or other restriction on imports from a foreign country from which we purchase goods;</w:t>
      </w: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 duties, import quotas and other trade sanctions; and</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rates.</w:t>
      </w:r>
    </w:p>
    <w:p>
      <w:pPr>
        <w:spacing w:after="0" w:line="1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Some of the inventory we sell is imported from China, which has historically been subject to efforts to increase duty rates or to impose restrictions on imports of certain products.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earnings.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small portion of the products we buy abroad is priced in foreign currencies and, therefore, we are affected by fluctuating currency exchange rates. In the past, we have entered into foreign currency exchange contracts with major financial institutions to hedge these fluctuations. We may not be able to effectively protect ourselves in the future against currency rate fluctuations. Even dollar-denominated foreign purchases may be affected by currency fluctuations to reflect appreciation in the local currency against the dollar in the price of the products that they provide. See Item 7, “Management’s Discussion and Analysis of Financial Condition and Results of Operations” for more information about our foreign currency exchange rate exposure and any hedging activities.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third-party vendors and licensors for the merchandise we sell.</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manufacture the merchandise we sell, and our Genesco Brands Group business is dependent on third-party licenses. Accordingly, our product supply is subject to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economic conditions, pandemics, work stoppages, labor shortages, strikes, political unrest, raw materials supply disruptions, or any other reason to supply us with products, we could be unable to offer our customers the products they wish to buy and could lose their business. Additionally, manufacturers are required to remain in compliance with certain wage, labor and environment-related laws, regulations and policies. Delayed compliance or failure to comply with such laws, regulations and policies by our vendors could adversely affect our ability to obtain products generally or at favorable costs, affecting our overall ability to maintain and manage inventory levels.</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manufacture of our products and our distributing operations are subject to the risks of doing business abroad, including in China, which could affect our ability to obtain products from foreign suppliers or control the costs of our products.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diversifying our sourcing base to ensure that we are not too concentrated in any single country. As we source some product in China, the possibility of adverse changes in trade or political relations with China, political instability, increases in labor costs, the occurrence of prolonged adverse weather conditions or a natural disaster such as an earthquake or typhoon, or the outbreak of COVID-19 or other infectious diseases in China could severely interfere with the manufacturing and/or shipment of our products and would have a material adverse effect on our operations. Our ability to source products from China may be adversely affected by changes in Chinese laws and regulations (or the interpretation thereof), including those relating to taxation, import and export tariffs, raw materials, environmental regulations, land use rights, property and other matters. Policy changes in China could adversely affect our interests through, among other factors: changes in laws and regulations,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There may be circumstances in the future where we may have to incur higher freight charges to expedite the delivery of product to our customers which could negatively affect our gross profit if we are unable to pass on those charges to our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Global and Other External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climate change, extreme weather, infectious disease outbreaks, and other unexpected events could result in an interruption to our business, as well as to the operations of our third-party partners, and have a material adverse impact on our business.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our retail stores, corporate offices, distribution centers, digital operations and supply chain, as well as the operations of our third-party partners, including vendors and manufacturers, are vulnerable to disruption from climate change, natural disasters, infectious disease outbreaks and other unexpected events. In addition to impacts on global operations, these events could result in the potential loss of customers and revenues due to mandatory or voluntary store closures, delay or cancellation of merchandise deliveries, reduced consumer confidence or changes in consumers’ discretionary spending habits.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events could reduce the availability or quality of the materials used to manufacture our merchandise, which could cause delays in responding to consumer demand resulting in the potential loss of customers and revenues or we may incur increased costs to meet demand and may not be able to pass all or a portion of higher costs on to our customers, which could adversely affect our gross margin and results of our operations.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historically, our operations have been seasonal, and extreme weather conditions, including natural disasters, unseasonable weather or changes in weather patterns, may diminish demand for our seasonal merchandise and could also influence consumer preferences and fashion trends, consumer traffic and shopping habits. In addition, we may incur costs that exceed our applicable insurance coverage for any necessary repairs to property damage or business disruption resulting from climate or weather conditions.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Establishing and protecting our intellectual property is critical to our business.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ability to remain competitive is dependent upon our continued ability to secure and protect trademarks, patents and other intellectual property rights in the U.S. and internationally for all of our businesses. We rely on a combination of trade secret, patent, trademark, copyright and other laws, license agreements and other contractual provisions and technical measures to protect our intellectual property rights; however, some countries do not protect intellectual property rights to the same extent as the U.S.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could be significantly harmed if we are not able to protect our intellectual property, or if a court found us to be infringing on others’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results of operations are subject to a broad range of uncertainties arising out of world and domestic events.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results of operations may experience a material adverse impact due to uncertainties arising out of world and domestic events, which may impact not only consumer demand, but also our ability to obtain the products we sell, most of which are produced outside the countries in which we operate. These uncertainties may include a global economic slowdown, inflation, changes in consumer spending or travel, increase in fuel prices, the economic consequences of widespread or severe outbreaks of COVID-19 or other infectious diseases, natural disasters, wars or other military action or terrorist activities and increased regulatory and compliance burdens related to governmental actions in response to a variety of factors, including but not limited to national security and anti-terrorism concerns and concerns about climate change.</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scope of our non-U.S. operations exposes our performance to risks including foreign, political, legal and economic conditions and exchange rate fluctuations.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performance depends in part on general economic conditions affecting all countries in which we do business, including the impact of Brexit. Although the U.K. and the European Union (“E.U.”) entered into the E.U.-U.K. Trade and Cooperation Agreement on December 30, 2020, uncertainty remains about the impact on our business in the U.K. and the ROI, including impact on tariffs, shipping costs, consumer demand and currency fluctuations.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across all of our markets, we could be adversely impacted by changes in trade policies, labor, tax or other laws and regulations, intellectual property rights and supply chain logistics. 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the U.S. dollar strengthens relative to foreign currencies, our revenues and profits are reduced when converted into U.S. dollars and our margins may be negatively impacted by the increase in product costs. Although we typically have sought to mitigate the negative impacts of foreign currency exchange rate fluctuations through price increases and further actions to reduce costs, we may not be able to fully offset the impact, if at 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The imposition of tariffs on our products could adversely affect our business.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Tax and trade policies, tariffs and regulations affecting trade between the United States and other countries could have a material adverse effect on our business, results of operations and liquidity. We source a significant portion of our merchandise from manufacturers located outside the U.S., including from China. Existing and potential future tariffs on certain imported products could result in an increase in prices for those products. In addition, tariffs could also increase the costs of our U.S. suppliers, causing those suppliers to also increase the costs of their products. If we are unable to pass along increased costs to our customers, our gross margins could be adversely affected. Alternatively, tariffs may cause us to shift production to other countries, resulting in significant costs and disruption to our business. In addition, further imposition of tariffs by the United States or other countries could have a significant adverse effect on world trade and the world economy.</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212121"/>
        </w:rPr>
        <w:t>Our ability to source our merchandise profitably or at all could be hurt if new trade restrictions are imposed, existing trade restrictions become more burdensome or disruptions occur at our suppliers or at the ports.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121"/>
        </w:rPr>
        <w:t xml:space="preserve">Trade restrictions, including increased tariffs, safeguards or quotas, on footwear, apparel and accessories could increase the cost or reduce the supply of merchandise available to us. </w:t>
      </w:r>
      <w:r>
        <w:rPr>
          <w:rFonts w:ascii="Times New Roman" w:cs="Times New Roman" w:eastAsia="Times New Roman" w:hAnsi="Times New Roman"/>
          <w:sz w:val="18"/>
          <w:szCs w:val="18"/>
          <w:color w:val="000000"/>
        </w:rPr>
        <w:t>We source footwear and accessory products from foreign manufacturers located in Brazil, Canada, China, Hong Kong, India,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Italy, Mexico, Pakistan, Portugal, Peru, Spain, Turkey and Vietnam. Our retail operations, excluding Johnston &amp; Murphy, sell primarily branded products from third parties who source primarily overseas. </w:t>
      </w:r>
      <w:r>
        <w:rPr>
          <w:rFonts w:ascii="Times New Roman" w:cs="Times New Roman" w:eastAsia="Times New Roman" w:hAnsi="Times New Roman"/>
          <w:sz w:val="18"/>
          <w:szCs w:val="18"/>
          <w:color w:val="212121"/>
        </w:rPr>
        <w:t>The investments we are making to develop our sourcing capabilities may not be successful and may,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turn, have an adverse impact on our financial position and results of operations.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121"/>
        </w:rPr>
        <w:t xml:space="preserve">There are quotas and trade restrictions on certain categories of goods and apparel from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and countries that are not subject to the World Trade Organization Agreement, which could have a significant impact on our sourcing patterns in the future. In addition, political uncertainty in the United States may result in significant changes to U.S. trade policies, treaties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including trade policies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regarding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These developments, or the perception that any of them could occur, may have a material adverse effect on global economic conditions and the stability of global financial markets, and may significantly reduce global trade. Any of these factors could depress economic activity, restrict our sourcing from suppliers and have a material adverse effect on our business, financial condition and results of operations. We cannot predict whether any of the countries in which our merchandise is currently or may be manufactured in the future will be subject to additional trade restrictions imposed by the U.S. and foreign governments, nor can we predict the likelihood, type or effect of any such restrictions. Trade restrictions, including increased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212121"/>
        </w:rPr>
        <w:t>We rely on our suppliers to manufacture and ship the products they produce for us in a timely manner. We also rely on the free flow of goods through open and operational ports worldwide. Labor disputes and other disruptions at various ports or at our suppliers could increase costs for us and delay our receipt of merchandise, particularly if these disputes result in work slowdowns, lockouts, strikes or other disruptions.</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regulatory proceedings and litigation and to regulatory changes that could have an adverse effect on our financial condition and results of operations.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15 to the Consolidated Financial Statements. If these or similar matters are resolved against us, our results of operations, our cash flows, or our financial condition could be adversely affected. The costs of defending such lawsuits and responding to such investigations and regulatory proceedings may be substantial and their potential to distract management from day-to-day business is significant. Moreover, with retail operations in the United States, Puerto Rico, Canada, the U.K., and the ROI, we are subject to federal, state, provincial, territorial, local and foreign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4" w:name="page25"/>
    <w:bookmarkEnd w:id="24"/>
    <w:p>
      <w:pPr>
        <w:jc w:val="both"/>
        <w:spacing w:after="0" w:line="260" w:lineRule="auto"/>
        <w:rPr>
          <w:sz w:val="20"/>
          <w:szCs w:val="20"/>
          <w:color w:val="auto"/>
        </w:rPr>
      </w:pPr>
      <w:r>
        <w:rPr>
          <w:rFonts w:ascii="Times New Roman" w:cs="Times New Roman" w:eastAsia="Times New Roman" w:hAnsi="Times New Roman"/>
          <w:sz w:val="18"/>
          <w:szCs w:val="18"/>
          <w:color w:val="auto"/>
        </w:rPr>
        <w:t>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Changes in regulations could make compliance more difficult and costly, and failure to comply with these requirements, including even a seemingly minor infraction, could result in liability for damages or penalties.</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shareholders have caused, and could continue to cause, us to incur substantial costs, divert management’s attention and resources, and have an adverse effect on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shareholders may from time to time engage in proxy solicitations, advance shareholders proposals or otherwise attempt to affect changes or acquire control over the Company. Activist shareholder activities could adversely affect our business because responding to proxy contests and reacting to other actions by activist shareholders can be costly and time-consuming, disrupt our operations and divert the attention of management and our employees. For example, we have retained, and may in the future, retain the services of various professionals to advise us on activist shareholder matters, including legal, financial and communication advisors, the costs of which may negatively impact our future financial results. In addition, perceived uncertainties as to our future direction, strategy or leadership created as a consequence of activist shareholders initiatives may result in the loss of potential business opportunities, harm our ability to attract new investors, customers, and employees, and cause our stock price to experience periods of volatility or stagnation.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indebtedness is subject to floating interest rates.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our credit facility bear interest at varying rates and expose us to interest rate risk. If interest rates were to increase, our debt service obligations on the variable rate indebtedness referred to above would increase even if the principal amount borrowed remained the same, and our net income and cash flows will correspondingly decrease. Additionally, in connection with the ICE Benchmark Administration’s announced phase-out of LIBOR, we amended our credit facility to, among other things, replace LIBOR with the Secured Overnight Financing Rate (“SOFR”), the Sterling Overnight Index Average (“SONIA”) and the Euro Interbank Offered Rate (“EURIBOR”). It is unclear, however, whether SOFR, SONIA or EURIBOR will retain market acceptance as a LIBOR replacement tool, and we may need to renegotiate our credit facility if other LIBOR alternatives are established and become more widely adopted.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our effective income tax rate could adversely affect our net earnings and liquidity.</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number of factors influence our effective income tax rate, including changes in tax law, tax treaties, interpretation of existing laws, including the Tax Cuts and Jobs Act of 2017 (the "Act"), and our ability to sustain our reporting positions on examination. Changes in any of those factors could change our effective tax rate, which could adversely affect our net earnings and liquidity. In addition, our operations outside of the United States may cause greater volatility in our effective tax rate.</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continue to expect the United States Treasury and the Internal Revenue Service to issue regulations and other guidance that could have a material impact on our effective tax rate in future periods.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January 28, 2023, we operated 1,410 retail footwear and accessory stores throughout the United States, Puerto Rico, Canada, the United Kingdom and the Republic of Ireland. New shopping center store leases in the United States, Puerto Rico and Canada typically have initial terms of approximately 10 years. New store leases in the U.K. and the ROI typically have initial terms of between 10 and 15 years. We have leases with fixed base rental payments, rental payments based on a percentage of retail sales over contractual amounts and others with predetermined fixed escalations of the minimum rental payments based on a defined consumer price index or percentage.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location, use and approximate size of our principal properties are set forth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3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Area</w:t>
            </w:r>
          </w:p>
        </w:tc>
        <w:tc>
          <w:tcPr>
            <w:tcW w:w="3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Square</w:t>
            </w:r>
          </w:p>
        </w:tc>
        <w:tc>
          <w:tcPr>
            <w:tcW w:w="320" w:type="dxa"/>
            <w:vAlign w:val="bottom"/>
          </w:tcPr>
          <w:p>
            <w:pPr>
              <w:spacing w:after="0"/>
              <w:rPr>
                <w:sz w:val="18"/>
                <w:szCs w:val="18"/>
                <w:color w:val="auto"/>
              </w:rPr>
            </w:pPr>
          </w:p>
        </w:tc>
      </w:tr>
      <w:tr>
        <w:trPr>
          <w:trHeight w:val="245"/>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6"/>
              </w:rPr>
              <w:t>Leased</w:t>
            </w:r>
          </w:p>
        </w:tc>
        <w:tc>
          <w:tcPr>
            <w:tcW w:w="18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Feet</w:t>
            </w:r>
          </w:p>
        </w:tc>
        <w:tc>
          <w:tcPr>
            <w:tcW w:w="320" w:type="dxa"/>
            <w:vAlign w:val="bottom"/>
          </w:tcPr>
          <w:p>
            <w:pPr>
              <w:spacing w:after="0"/>
              <w:rPr>
                <w:sz w:val="21"/>
                <w:szCs w:val="21"/>
                <w:color w:val="auto"/>
              </w:rPr>
            </w:pPr>
          </w:p>
        </w:tc>
      </w:tr>
      <w:tr>
        <w:trPr>
          <w:trHeight w:val="211"/>
        </w:trPr>
        <w:tc>
          <w:tcPr>
            <w:tcW w:w="38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 and</w:t>
            </w: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 TN</w:t>
            </w:r>
          </w:p>
        </w:tc>
        <w:tc>
          <w:tcPr>
            <w:tcW w:w="136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Journeys 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administrative offices</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563,000</w:t>
            </w:r>
          </w:p>
        </w:tc>
        <w:tc>
          <w:tcPr>
            <w:tcW w:w="320" w:type="dxa"/>
            <w:vAlign w:val="bottom"/>
            <w:shd w:val="clear" w:color="auto" w:fill="CFF0FC"/>
          </w:tcPr>
          <w:p>
            <w:pPr>
              <w:spacing w:after="0"/>
              <w:rPr>
                <w:sz w:val="21"/>
                <w:szCs w:val="21"/>
                <w:color w:val="auto"/>
              </w:rPr>
            </w:pP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Bathgate, Scotland</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244,644</w:t>
            </w:r>
          </w:p>
        </w:tc>
        <w:tc>
          <w:tcPr>
            <w:tcW w:w="320" w:type="dxa"/>
            <w:vAlign w:val="bottom"/>
          </w:tcPr>
          <w:p>
            <w:pPr>
              <w:spacing w:after="0"/>
              <w:rPr>
                <w:sz w:val="20"/>
                <w:szCs w:val="20"/>
                <w:color w:val="auto"/>
              </w:rPr>
            </w:pPr>
          </w:p>
        </w:tc>
      </w:tr>
      <w:tr>
        <w:trPr>
          <w:trHeight w:val="215"/>
        </w:trPr>
        <w:tc>
          <w:tcPr>
            <w:tcW w:w="38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Genesco Brands</w:t>
            </w:r>
          </w:p>
        </w:tc>
        <w:tc>
          <w:tcPr>
            <w:tcW w:w="2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Chapel Hill, TN</w:t>
            </w:r>
          </w:p>
        </w:tc>
        <w:tc>
          <w:tcPr>
            <w:tcW w:w="136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182,000</w:t>
            </w:r>
          </w:p>
        </w:tc>
        <w:tc>
          <w:tcPr>
            <w:tcW w:w="320" w:type="dxa"/>
            <w:vAlign w:val="bottom"/>
            <w:shd w:val="clear" w:color="auto" w:fill="CFF0FC"/>
          </w:tcPr>
          <w:p>
            <w:pPr>
              <w:spacing w:after="0"/>
              <w:rPr>
                <w:sz w:val="21"/>
                <w:szCs w:val="21"/>
                <w:color w:val="auto"/>
              </w:rPr>
            </w:pPr>
          </w:p>
        </w:tc>
      </w:tr>
      <w:tr>
        <w:trPr>
          <w:trHeight w:val="211"/>
        </w:trPr>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Johnston &amp; Murphy</w:t>
            </w:r>
          </w:p>
        </w:tc>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Fayetteville, TN</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178,500</w:t>
            </w:r>
          </w:p>
        </w:tc>
        <w:tc>
          <w:tcPr>
            <w:tcW w:w="320" w:type="dxa"/>
            <w:vAlign w:val="bottom"/>
          </w:tcPr>
          <w:p>
            <w:pPr>
              <w:spacing w:after="0"/>
              <w:rPr>
                <w:sz w:val="20"/>
                <w:szCs w:val="20"/>
                <w:color w:val="auto"/>
              </w:rPr>
            </w:pPr>
          </w:p>
        </w:tc>
      </w:tr>
      <w:tr>
        <w:trPr>
          <w:trHeight w:val="218"/>
        </w:trPr>
        <w:tc>
          <w:tcPr>
            <w:tcW w:w="38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 and</w:t>
            </w: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Deans Industrial Estate, Livingston, Scotland</w:t>
            </w:r>
          </w:p>
        </w:tc>
        <w:tc>
          <w:tcPr>
            <w:tcW w:w="136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administrative offices</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106,813</w:t>
            </w:r>
          </w:p>
        </w:tc>
        <w:tc>
          <w:tcPr>
            <w:tcW w:w="320" w:type="dxa"/>
            <w:vAlign w:val="bottom"/>
            <w:shd w:val="clear" w:color="auto" w:fill="CFF0FC"/>
          </w:tcPr>
          <w:p>
            <w:pPr>
              <w:spacing w:after="0"/>
              <w:rPr>
                <w:sz w:val="21"/>
                <w:szCs w:val="21"/>
                <w:color w:val="auto"/>
              </w:rPr>
            </w:pPr>
          </w:p>
        </w:tc>
      </w:tr>
      <w:tr>
        <w:trPr>
          <w:trHeight w:val="211"/>
        </w:trPr>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 warehouse and</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Northwest Business Park, Ballycoolin, Dublin</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Leased</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administrative offices</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49,460</w:t>
            </w:r>
          </w:p>
        </w:tc>
        <w:tc>
          <w:tcPr>
            <w:tcW w:w="320" w:type="dxa"/>
            <w:vAlign w:val="bottom"/>
          </w:tcPr>
          <w:p>
            <w:pPr>
              <w:spacing w:after="0"/>
              <w:rPr>
                <w:sz w:val="20"/>
                <w:szCs w:val="20"/>
                <w:color w:val="auto"/>
              </w:rPr>
            </w:pPr>
          </w:p>
        </w:tc>
      </w:tr>
      <w:tr>
        <w:trPr>
          <w:trHeight w:val="24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Nashville, TN</w:t>
            </w:r>
          </w:p>
        </w:tc>
        <w:tc>
          <w:tcPr>
            <w:tcW w:w="136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Leased</w:t>
            </w:r>
          </w:p>
        </w:tc>
        <w:tc>
          <w:tcPr>
            <w:tcW w:w="18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Various</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Corporate headquarters</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182,078</w:t>
            </w:r>
          </w:p>
        </w:tc>
        <w:tc>
          <w:tcPr>
            <w:tcW w:w="32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entered into a lease agreement for our new corporate headquarters on February 10, 2020, as amended in February 2021, for approximately 182,000 square feet of office space in Nashville, Tennessee. The term of the lease is 15 years, with two options to extend for an additional period of five years each. We believe that all leases of properties that are material to our operations may be renewed, or that alternative properties are available, on terms not materially less favorable to us than existing leases.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2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Further information with respect to this item may be found in Note 15 to the Consolidated Financial Statements included in Item 8, "Financial Statements and Supplementary Data," which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4A, INFORMATION ABOUT OUR EXECUTIVE OFFICERS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Mimi Eckel Vaughn, </w:t>
      </w:r>
      <w:r>
        <w:rPr>
          <w:rFonts w:ascii="Times New Roman" w:cs="Times New Roman" w:eastAsia="Times New Roman" w:hAnsi="Times New Roman"/>
          <w:sz w:val="18"/>
          <w:szCs w:val="18"/>
          <w:color w:val="auto"/>
        </w:rPr>
        <w:t>56,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Board Chair,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Vaughn joined the Company in September 2003 as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 - finance and chief financial officer until her replacement was appointed in June 2019. In October 2019, Ms. Vaughn was appointed to become president and a member of the Board of Directors. Ms. Vaughn was appointed chief executive officer of the Company on February 2, 2020. In July 2020, Ms. Vaughn was appointed Board chair of the Company.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Parag D. Desai, </w:t>
      </w: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Chief Strategy and Digital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Desai joined the Company in 2014 as senior vice president of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shared services. He was named chief strategy and digital officer in May 2021. Prior to joining the Company, Mr. Desai spent 14 years with McKinsey and Company, including seven years as a partner. Previously, Mr. Desai also held business development and technology positions at Outpace Systems and Booz Allen &amp; Hamilton.</w:t>
      </w:r>
    </w:p>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Thomas Allen George, </w:t>
      </w:r>
      <w:r>
        <w:rPr>
          <w:rFonts w:ascii="Times New Roman" w:cs="Times New Roman" w:eastAsia="Times New Roman" w:hAnsi="Times New Roman"/>
          <w:sz w:val="18"/>
          <w:szCs w:val="18"/>
          <w:color w:val="auto"/>
        </w:rPr>
        <w:t>67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Finance and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George joined the Company in December 2020 as 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vice president of finance and chief financial officer. He was named as permanent senior vice-president - finance and chief financial officer in October 2021. Mr. George has 40 years of experience, including 30 years as chief financial officer of public and private companies. Prior to joining Genesco, he was chief financial officer of Deckers Outdoor Corporation d/b/a Deckers Brands, a global footwear company, for nine years and prior to that was chief financial officer of Oakley, a global eyewear brand. He has served in this same capacity at companies in the technology and medical device industries.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Scott E. Becker</w:t>
      </w:r>
      <w:r>
        <w:rPr>
          <w:rFonts w:ascii="Times New Roman" w:cs="Times New Roman" w:eastAsia="Times New Roman" w:hAnsi="Times New Roman"/>
          <w:sz w:val="18"/>
          <w:szCs w:val="18"/>
          <w:color w:val="auto"/>
        </w:rPr>
        <w:t>, 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General Counsel and Corporate Secretary</w:t>
      </w:r>
      <w:r>
        <w:rPr>
          <w:rFonts w:ascii="Times New Roman" w:cs="Times New Roman" w:eastAsia="Times New Roman" w:hAnsi="Times New Roman"/>
          <w:sz w:val="18"/>
          <w:szCs w:val="18"/>
          <w:color w:val="auto"/>
        </w:rPr>
        <w:t>. In October 2019, Mr. Becker joined the Company as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general counsel, and corporate secretary. Prior to joining the Company, Mr. Becker served in a variety of roles with increasing responsibility for Nissan Group of North America and Latin America since 2006. Since 2009, he was a senior vice president with responsibilities for Nissan’s legal, government affairs, finance, strategy and administration. From 2006 to 2009, he served as Nissan’s general counsel, corporate secretary and vice president, legal and government affairs. Prior to joining Nissan, Mr. Becker served in various legal roles at Sears Holdings Corporation. Mr. Becker began his legal career with several Chicago area law firms.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Daniel E. Ewoldsen</w:t>
      </w:r>
      <w:r>
        <w:rPr>
          <w:rFonts w:ascii="Times New Roman" w:cs="Times New Roman" w:eastAsia="Times New Roman" w:hAnsi="Times New Roman"/>
          <w:sz w:val="18"/>
          <w:szCs w:val="18"/>
          <w:color w:val="auto"/>
        </w:rPr>
        <w:t>, 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w:t>
      </w:r>
      <w:r>
        <w:rPr>
          <w:rFonts w:ascii="Times New Roman" w:cs="Times New Roman" w:eastAsia="Times New Roman" w:hAnsi="Times New Roman"/>
          <w:sz w:val="18"/>
          <w:szCs w:val="18"/>
          <w:color w:val="auto"/>
        </w:rPr>
        <w:t>. Mr. Ewoldsen is a 19-year Johnston &amp; Murphy veteran. He joined Johnston &amp; Murphy in 2003 as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store operations and was later promoted to vice president store and consumer sales in 2006. He was named executive vice president, Johnston &amp; Murphy Retail and E-Commerce in 2013, president of Johnston &amp; Murphy Group in February 2018 and named senior vice president of Genesco in July 2019. Prior to joining Genesco, Mr. Ewoldsen was with Wilsons Leather from 1996 to 2002 serving in roles with increasing responsibilities, including vice president of stores for the El Portal division.</w:t>
      </w:r>
    </w:p>
    <w:p>
      <w:pPr>
        <w:spacing w:after="0" w:line="1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Mario Gallione</w:t>
      </w:r>
      <w:r>
        <w:rPr>
          <w:rFonts w:ascii="Times New Roman" w:cs="Times New Roman" w:eastAsia="Times New Roman" w:hAnsi="Times New Roman"/>
          <w:sz w:val="18"/>
          <w:szCs w:val="18"/>
          <w:color w:val="auto"/>
        </w:rPr>
        <w:t>,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w:t>
      </w:r>
      <w:r>
        <w:rPr>
          <w:rFonts w:ascii="Times New Roman" w:cs="Times New Roman" w:eastAsia="Times New Roman" w:hAnsi="Times New Roman"/>
          <w:sz w:val="18"/>
          <w:szCs w:val="18"/>
          <w:color w:val="auto"/>
        </w:rPr>
        <w:t>. Mr. Gallione is a 45-year veteran of Genesco. He began his career as a Jarman sales associate in 1977.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promoted to manager and served in a variety of sales management positions until 1987 when he was promoted as a merchandiser trainee and rose through the ranks to divisional merchandise manager for Journeys in 1994 and vice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7" w:name="page28"/>
    <w:bookmarkEnd w:id="27"/>
    <w:p>
      <w:pPr>
        <w:jc w:val="both"/>
        <w:spacing w:after="0" w:line="265" w:lineRule="auto"/>
        <w:rPr>
          <w:sz w:val="20"/>
          <w:szCs w:val="20"/>
          <w:color w:val="auto"/>
        </w:rPr>
      </w:pPr>
      <w:r>
        <w:rPr>
          <w:rFonts w:ascii="Times New Roman" w:cs="Times New Roman" w:eastAsia="Times New Roman" w:hAnsi="Times New Roman"/>
          <w:sz w:val="18"/>
          <w:szCs w:val="18"/>
          <w:color w:val="auto"/>
        </w:rPr>
        <w:t>president in 1998. In October 2006, he was named senior vice president, general merchandise manager of Journeys Group. In 2010, he was named chief merchandising officer of Journeys Group. In September 2017, Mr. Gallione was named president of Journeys and in July 2019, he was named senior vice president of Genesco.</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Brently G. Baxter, </w:t>
      </w:r>
      <w:r>
        <w:rPr>
          <w:rFonts w:ascii="Times New Roman" w:cs="Times New Roman" w:eastAsia="Times New Roman" w:hAnsi="Times New Roman"/>
          <w:sz w:val="18"/>
          <w:szCs w:val="18"/>
          <w:color w:val="auto"/>
        </w:rPr>
        <w:t>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President and Chief Accounting Officer</w:t>
      </w:r>
      <w:r>
        <w:rPr>
          <w:rFonts w:ascii="Times New Roman" w:cs="Times New Roman" w:eastAsia="Times New Roman" w:hAnsi="Times New Roman"/>
          <w:sz w:val="18"/>
          <w:szCs w:val="18"/>
          <w:color w:val="auto"/>
        </w:rPr>
        <w:t>. Mr. Baxter joined the Company in September 2019 as vice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officer. Mr. Baxter most recently served as group vice president, controller and principal accounting officer for Sally Beauty Holdings, Inc., a position he held since 2017. From 2014 and 2016, he served as senior vice president, controller and chief accounting officer for Stein Mart, Inc. From 2006 to 2014, he served as vice president, accounting, treasury and corporate controller for PetSmart, Inc. From 2003 to 2006, Mr. Baxter served as vice president and controller for Cracker Barrel Old Country Store, Inc.</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Matthew N. Johnson, </w:t>
      </w: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President and Treasurer</w:t>
      </w:r>
      <w:r>
        <w:rPr>
          <w:rFonts w:ascii="Times New Roman" w:cs="Times New Roman" w:eastAsia="Times New Roman" w:hAnsi="Times New Roman"/>
          <w:sz w:val="18"/>
          <w:szCs w:val="18"/>
          <w:color w:val="auto"/>
        </w:rPr>
        <w:t>. Mr. Johnson joined the Company in 1993 as manager, corporate finance and was elected assistant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is traded on the New York Stock Exchange under the symbol "GCO".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1,420 common shareholders of record on March 10, 2023.</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not paid cash dividends to our holders of our Common Stock since 1973 and we do not currently anticipate paying cash dividends in the foreseeable future. Our ability to pay cash dividends to our holders of common stock is subject to various restrictions. See Note 10 to the Consolidated Financial Statements included in Item 8, "Financial Statements and Supplementary Data" for information regarding restrictions on dividends and redemption of capital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(d) Maximum</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 Total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Number</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(or Approximate</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Dollar Value)</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Purchased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of Shares that</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as Part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May Yet Be</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9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5"/>
              </w:rPr>
              <w:t>(a) 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(b) 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of Publicly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9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Price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Announced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Under the</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9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Paid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Plans or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Plans or</w:t>
            </w:r>
          </w:p>
        </w:tc>
        <w:tc>
          <w:tcPr>
            <w:tcW w:w="100" w:type="dxa"/>
            <w:vAlign w:val="bottom"/>
          </w:tcPr>
          <w:p>
            <w:pPr>
              <w:spacing w:after="0"/>
              <w:rPr>
                <w:sz w:val="18"/>
                <w:szCs w:val="18"/>
                <w:color w:val="auto"/>
              </w:rPr>
            </w:pPr>
          </w:p>
        </w:tc>
      </w:tr>
      <w:tr>
        <w:trPr>
          <w:trHeight w:val="241"/>
        </w:trPr>
        <w:tc>
          <w:tcPr>
            <w:tcW w:w="37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Period</w:t>
            </w:r>
          </w:p>
        </w:tc>
        <w:tc>
          <w:tcPr>
            <w:tcW w:w="194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7"/>
              </w:rPr>
              <w:t>Purchased</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per Share</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Programs</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Programs</w:t>
            </w:r>
          </w:p>
        </w:tc>
        <w:tc>
          <w:tcPr>
            <w:tcW w:w="100" w:type="dxa"/>
            <w:vAlign w:val="bottom"/>
          </w:tcPr>
          <w:p>
            <w:pPr>
              <w:spacing w:after="0"/>
              <w:rPr>
                <w:sz w:val="20"/>
                <w:szCs w:val="20"/>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1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10-30-22 to 11-26-22</w:t>
            </w:r>
            <w:r>
              <w:rPr>
                <w:rFonts w:ascii="Times New Roman" w:cs="Times New Roman" w:eastAsia="Times New Roman" w:hAnsi="Times New Roman"/>
                <w:sz w:val="24"/>
                <w:szCs w:val="24"/>
                <w:color w:val="auto"/>
                <w:vertAlign w:val="superscript"/>
              </w:rPr>
              <w:t>(1)</w:t>
            </w:r>
          </w:p>
        </w:tc>
        <w:tc>
          <w:tcPr>
            <w:tcW w:w="19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100" w:type="dxa"/>
            <w:vAlign w:val="bottom"/>
          </w:tcPr>
          <w:p>
            <w:pPr>
              <w:spacing w:after="0"/>
              <w:rPr>
                <w:sz w:val="21"/>
                <w:szCs w:val="21"/>
                <w:color w:val="auto"/>
              </w:rPr>
            </w:pPr>
          </w:p>
        </w:tc>
      </w:tr>
      <w:tr>
        <w:trPr>
          <w:trHeight w:val="243"/>
        </w:trPr>
        <w:tc>
          <w:tcPr>
            <w:tcW w:w="374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11-27-22 to 12-24-22</w:t>
            </w:r>
            <w:r>
              <w:rPr>
                <w:rFonts w:ascii="Times New Roman" w:cs="Times New Roman" w:eastAsia="Times New Roman" w:hAnsi="Times New Roman"/>
                <w:sz w:val="24"/>
                <w:szCs w:val="24"/>
                <w:color w:val="auto"/>
                <w:vertAlign w:val="superscript"/>
              </w:rPr>
              <w:t>(1)</w:t>
            </w:r>
          </w:p>
        </w:tc>
        <w:tc>
          <w:tcPr>
            <w:tcW w:w="1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100" w:type="dxa"/>
            <w:vAlign w:val="bottom"/>
            <w:shd w:val="clear" w:color="auto" w:fill="CFF0FC"/>
          </w:tcPr>
          <w:p>
            <w:pPr>
              <w:spacing w:after="0"/>
              <w:rPr>
                <w:sz w:val="21"/>
                <w:szCs w:val="21"/>
                <w:color w:val="auto"/>
              </w:rPr>
            </w:pPr>
          </w:p>
        </w:tc>
      </w:tr>
      <w:tr>
        <w:trPr>
          <w:trHeight w:val="243"/>
        </w:trPr>
        <w:tc>
          <w:tcPr>
            <w:tcW w:w="37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74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12-25-22 to 1-28-23</w:t>
            </w:r>
            <w:r>
              <w:rPr>
                <w:rFonts w:ascii="Times New Roman" w:cs="Times New Roman" w:eastAsia="Times New Roman" w:hAnsi="Times New Roman"/>
                <w:sz w:val="24"/>
                <w:szCs w:val="24"/>
                <w:color w:val="auto"/>
                <w:vertAlign w:val="superscript"/>
              </w:rPr>
              <w:t>(1)</w:t>
            </w:r>
          </w:p>
        </w:tc>
        <w:tc>
          <w:tcPr>
            <w:tcW w:w="1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100" w:type="dxa"/>
            <w:vAlign w:val="bottom"/>
          </w:tcPr>
          <w:p>
            <w:pPr>
              <w:spacing w:after="0"/>
              <w:rPr>
                <w:sz w:val="21"/>
                <w:szCs w:val="21"/>
                <w:color w:val="auto"/>
              </w:rPr>
            </w:pPr>
          </w:p>
        </w:tc>
      </w:tr>
      <w:tr>
        <w:trPr>
          <w:trHeight w:val="236"/>
        </w:trPr>
        <w:tc>
          <w:tcPr>
            <w:tcW w:w="374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spacing w:after="0"/>
              <w:rPr>
                <w:sz w:val="20"/>
                <w:szCs w:val="20"/>
                <w:color w:val="auto"/>
              </w:rPr>
            </w:pPr>
          </w:p>
        </w:tc>
        <w:tc>
          <w:tcPr>
            <w:tcW w:w="1660" w:type="dxa"/>
            <w:vAlign w:val="bottom"/>
            <w:gridSpan w:val="3"/>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100" w:type="dxa"/>
            <w:vAlign w:val="bottom"/>
          </w:tcPr>
          <w:p>
            <w:pPr>
              <w:spacing w:after="0"/>
              <w:rPr>
                <w:sz w:val="20"/>
                <w:szCs w:val="20"/>
                <w:color w:val="auto"/>
              </w:rPr>
            </w:pPr>
          </w:p>
        </w:tc>
      </w:tr>
    </w:tbl>
    <w:p>
      <w:pPr>
        <w:spacing w:after="0" w:line="269" w:lineRule="exact"/>
        <w:rPr>
          <w:sz w:val="20"/>
          <w:szCs w:val="20"/>
          <w:color w:val="auto"/>
        </w:rPr>
      </w:pPr>
    </w:p>
    <w:p>
      <w:pPr>
        <w:ind w:left="20" w:right="120" w:firstLine="1"/>
        <w:spacing w:after="0" w:line="256" w:lineRule="auto"/>
        <w:tabs>
          <w:tab w:leader="none" w:pos="187"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Share repurchases were made pursuant to a $100.0 million share repurchase program approved by the Board of Directors and announced in February 2022. We expect to implement the balance of the repurchase program through purchases made from time to time either in the open market or through private transactions, in accordance with the regulations of the SEC and other applicable legal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Refer to Part III, Item 12, "Security Ownership of Certain Beneficial Owners and Management and Related Stockholder Matters" included elsewhere in this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of our Annual Report on Form 10-K for the fiscal year ended January 29, 2022, filed with the SEC on March 23, 2022, which provides a discussion of our financial condition and results of operations for Fiscal 2022 compared to our Fiscal 2021.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Results of Operations</w:t>
      </w:r>
    </w:p>
    <w:p>
      <w:pPr>
        <w:spacing w:after="0" w:line="119"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1.5% in Fiscal 2023 compared to Fiscal 2022.</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Journeys Group sales decreased 6% and Genesco Brands Group sales decreased 8%, partially offset by an increase of 2% at Schuh Group and 24% at Johnston &amp; Murphy Group.</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direct sales were flat for Fiscal 2023.</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as a percentage of net sales from 48.8% in Fiscal 2022 to 47.6% in Fiscal 2023.</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administrative expenses increased as a percentage of net sales from 42.7% in Fiscal 2022 to 43.7% in Fiscal 2023.</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decreased as a percentage of net sales from 6.4% in Fiscal 2022 to 3.9% in Fiscal 2023.</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income tax rate decreased from 24.9% in Fiscal 2022 to 19.8% in Fiscal 2023.</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from continuing operations were $5.69 per share in Fiscal 2023 compared to $7.92 per share in Fiscal 2022.</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and Other Charges</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recorded a pretax charge to earnings of $0.9 million in Fiscal 2023, including $1.6 million for asset impairments, partially offset by a $0.7 million gain on the termination of our pension plan, which is included in asset impairments and other, net on the Consolidated Statements of Operations for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and operating margin. </w:t>
      </w:r>
      <w:r>
        <w:rPr>
          <w:rFonts w:ascii="Times New Roman" w:cs="Times New Roman" w:eastAsia="Times New Roman" w:hAnsi="Times New Roman"/>
          <w:sz w:val="18"/>
          <w:szCs w:val="18"/>
          <w:color w:val="2E2E2E"/>
        </w:rPr>
        <w:t>These key performance indicators should not be considered superior to, as a substitute for or as an alternative to, and should be considered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conjunction with, the U.S. GAAP financial measures presented herein. These measures may not be comparable to similarly-titled performance indicators used by other companies.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comparable sales to be an important indicator of our current performance, and investors may find it useful as such. Comparable sales results are important to achieve leveraging of our costs, including occupancy, selling salaries, depreciation, etc. Comparable sales also have a direct impact on our total net revenue, cash and working capital. We define "comparable sales" as sales from stores open longer than one year, beginning with the first day a store has comparable sales (which we refer to in this report as "same store sales"), and sales from websites operated longer than one year and direct mail catalog sales (which we refer to in this report as "comparable direct sales"). Temporarily closed stores are excluded from the comparable sales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 We have not disclosed comparable sales for Fiscal 2023 or Fiscal 2022, as we believe that overall sales are a more meaningful metric for these periods due to the impact of the COVID-19 pandemic and related extended store closures that occurred in Fiscal 2021 and the first quarter of Fiscal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Operations—Fiscal 2023 Compared to Fiscal 2022</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net sales for Fiscal 2023 decreased 1.5% to $2.38 billion from $2.42 billion in Fiscal 2022. The decrease in net sales was driven by the unfavorable impact of $58.5 million in sales due primarily to foreign exchange pressure on the Schuh business from the strengthening dollar, partially offset by increased sales in the store and wholesale channels, while comparable direct sales were flat for Fiscal 2023. Schuh Group sales increased 2% and Johnston</w:t>
      </w:r>
    </w:p>
    <w:p>
      <w:pPr>
        <w:spacing w:after="0" w:line="1" w:lineRule="exact"/>
        <w:rPr>
          <w:sz w:val="20"/>
          <w:szCs w:val="20"/>
          <w:color w:val="auto"/>
        </w:rPr>
      </w:pPr>
    </w:p>
    <w:p>
      <w:pPr>
        <w:ind w:firstLine="8"/>
        <w:spacing w:after="0" w:line="260"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Murphy Group sales increased 24%, while Journeys Group sales decreased 6% and Genesco Brands Group sales decreased 8% for Fiscal 2023 compared to Fiscal 2022. Schuh's sales increased 15% on a local currency basis for Fiscal 2023.</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Gross margin decreased 3.8% to $1.1 billion in Fiscal 2023 from $1.2 billion in Fiscal 2022 and decreased as a percentage of net sales from 48.8% in Fiscal 2022 to 47.6% in Fiscal 2023, reflecting gross margin decreases as a percentage of net sales in all of our operating business units except Schuh Group. The gross margin decrease is primarily due to a more promotional environment in the Journeys business and increased freight and logistics costs in the Johnston</w:t>
      </w:r>
    </w:p>
    <w:p>
      <w:pPr>
        <w:spacing w:after="0" w:line="1" w:lineRule="exact"/>
        <w:rPr>
          <w:sz w:val="20"/>
          <w:szCs w:val="20"/>
          <w:color w:val="auto"/>
        </w:rPr>
      </w:pPr>
    </w:p>
    <w:p>
      <w:pPr>
        <w:ind w:right="20" w:firstLine="8"/>
        <w:spacing w:after="0" w:line="260"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Murphy and Genesco Brands Group businesses. Altogether, freight and logistics costs put approximately $16.1 million of pressure on total gross margin comparison of Fiscal 2023 to Fiscal 2022.</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and administrative expenses increased as a percentage of net sales from 42.7% in Fiscal 2022 to 43.7% in Fiscal 2023, reflecting increased expenses as a percentage of net sales in all of our operating business units except Johnston &amp; Murphy Group. The overall increase in expenses as a percentage of net sales in Fiscal 2023 is due to more normalized occupancy expense as a result of the one-time benefits for rent credits and government tax relief in the U.K. related to the COVID-19 pandemic in Fiscal 2022, as well as increased selling salaries and marketing and compensation expenses, partially offset by decreased performance-based compensation expense. While our selling salaries increased for Fiscal 2023, the competitive environment and legislated increases in minimum and living wages continue to pressure our store selling salaries. Explanations of the changes in results of operations are provided by business segment in discussions following these introductory paragraphs.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from continuing operations before income taxes (“pretax earnings") for Fiscal 2023 were $90.1 million, compared to $153.0 million for Fiscal 2022. Pretax earnings for Fiscal 2023 included an asset impairment and other charge of $0.9 million which included $1.6 million for asset impairments, partially offset by a $0.7 million gain on the termination of the pension plan. Pretax earnings for Fiscal 2022 included an asset impairment and other gain of $8.1 million which included an $18.1 million gain on the sale of a distribution warehouse and a $0.6 million insurance gain, partially offset by $8.6 million for professional fees related to the actions of a shareholder activist and $2.0 million for asset impairments.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earnings for Fiscal 2023 were $71.9 million, or $5.66 diluted earnings per share compared to $114.9 million, or $7.92 diluted earnings per share for Fiscal 2022. The effective income tax rate was 19.8% for Fiscal 2023 compared to 24.9% for Fiscal 2022. The effective tax rate for Fiscal 2023 was lower compared to Fiscal 2022, reflecting a reduction in the effective tax rate we expect for jurisdictions in which we are profitable combined with the impact of a release of a valuation allowance related to our UK jurisdiction and the benefit from accrued interest related to our IRS refund. See Item 8, Note 11, "Income Taxes", to our Consolidated Financial Statements included in this Annual Report on Form 10-K for additional information.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6"/>
        </w:trPr>
        <w:tc>
          <w:tcPr>
            <w:tcW w:w="6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Journeys Group</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6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34"/>
        </w:trPr>
        <w:tc>
          <w:tcPr>
            <w:tcW w:w="6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4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1,482,203</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1,576,475</w:t>
            </w: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94,404</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165,336</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(42.9 )%</w:t>
            </w:r>
          </w:p>
        </w:tc>
      </w:tr>
      <w:tr>
        <w:trPr>
          <w:trHeight w:val="249"/>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6.4 %</w:t>
            </w:r>
          </w:p>
        </w:tc>
        <w:tc>
          <w:tcPr>
            <w:tcW w:w="6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10.5 %</w:t>
            </w:r>
          </w:p>
        </w:tc>
        <w:tc>
          <w:tcPr>
            <w:tcW w:w="15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Net sales from Journeys Group decreased 6.0% to $1.5 billion for Fiscal 2023 compared to $1.6 billion for Fiscal 2022, primarily due to decreased store sales, partially offset by increased digital comparable sales. We believe the Journeys consumer benefitted most from the government stimulus in Fiscal 2022 and is currently more affected by the U.S. macroeconomic environment and footwear industry promotional activity than customers of our other North American businesses. The store count for Journeys Group was 1,130 stores at the end of Fiscal 2023, including 233 Journeys Kidz stores, 45 Journeys stores in Canada and 34 Little Burgundy stores in Canada, compared to 1,135 stores at the end of Fiscal 2022, including 229 Journeys Kidz stores, 47 Journeys stores in Canada and 37 Little Burgundy stores in Canada.</w:t>
      </w:r>
    </w:p>
    <w:p>
      <w:pPr>
        <w:spacing w:after="0" w:line="15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Journeys Group operating income for Fiscal 2023 decreased 42.9% to $94.4 million, compared to $165.3 million for Fiscal 2022. The decrease in operating income was primarily due to (i) decreased net sales, (ii) decreased gross margin as a percentage of net sales, primarily reflecting increased markdowns with a return to a more normalized promotional environment and (iii) increased selling and administrative expenses as a percentage of net sales reflecting the deleverage of expenses, especially selling salaries, occupancy and marketing expenses as a result of decreased revenue in Fiscal 2023, partially offset by decreased performance-based compensation expenses.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Schuh Group</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65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34"/>
        </w:trPr>
        <w:tc>
          <w:tcPr>
            <w:tcW w:w="6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432,002</w:t>
            </w:r>
          </w:p>
        </w:tc>
        <w:tc>
          <w:tcPr>
            <w:tcW w:w="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423,560</w:t>
            </w:r>
          </w:p>
        </w:tc>
        <w:tc>
          <w:tcPr>
            <w:tcW w:w="12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r>
      <w:tr>
        <w:trPr>
          <w:trHeight w:val="24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17,601</w:t>
            </w:r>
          </w:p>
        </w:tc>
        <w:tc>
          <w:tcPr>
            <w:tcW w:w="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19,257</w:t>
            </w:r>
          </w:p>
        </w:tc>
        <w:tc>
          <w:tcPr>
            <w:tcW w:w="12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49"/>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7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4.5 %</w:t>
            </w:r>
          </w:p>
        </w:tc>
        <w:tc>
          <w:tcPr>
            <w:tcW w:w="146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Net sales from the Schuh Group increased 2.0% to $432.0 million for Fiscal 2023 compared to $423.6 million for Fiscal 2022, primarily due to increased store sales, partially offset by an unfavorable impact of $53.8 million due to changes in foreign exchange rates and decreased digital comparable sales. Fiscal 2023 was a record year for Schuh Group sales. Stores were only open about 80% of possible operating days in Fiscal 2022 versus 100% of possible operating days in Fiscal 2023. Schuh's sales increased 15% on a local currency basis for Fiscal 2023. Schuh Group operated 122 stores at the end of Fiscal 2023 compared to 123 stores at the end of Fiscal 2022.</w:t>
      </w:r>
    </w:p>
    <w:p>
      <w:pPr>
        <w:spacing w:after="0" w:line="14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Schuh Group operating income for Fiscal 2023 was $17.6 million compared to $19.3 million for Fiscal 2022. The 8.6% decrease in operating income this year reflects increased selling and administrative expenses as a percentage of net sales, reflecting more normalized operating expenses due to the one-time benefits for rent credits and government property tax relief and other government relief of approximately $19.9 million in Fiscal 2022 related to the COVID-19 pandemic. Excluding these one-time benefits last year, decreased occupancy, marketing and performance-based compensation expenses more than offset the deleverage in selling salaries and compensation expense. In addition, operating income included an unfavorable impact of $2.6 million for Fiscal 2023 due to changes in foreign exchange rates compared to last year. Gross margin increased as a percentage of net sales, reflecting decreased shipping and warehouse expense.</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8"/>
        </w:trPr>
        <w:tc>
          <w:tcPr>
            <w:tcW w:w="65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34"/>
        </w:trPr>
        <w:tc>
          <w:tcPr>
            <w:tcW w:w="6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5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314,759</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252,855</w:t>
            </w: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4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14,364</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104.4 %</w:t>
            </w:r>
          </w:p>
        </w:tc>
      </w:tr>
      <w:tr>
        <w:trPr>
          <w:trHeight w:val="24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7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146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Johnston &amp; Murphy Group net sales increased 24.5% to $314.8 million for Fiscal 2023 from $252.9 million for Fiscal 2022 primarily due to increased store sales, wholesale sales and e-commerce sales. Johnston &amp; Murphy has repositioned its brand to offer more casual and comfortable footwear and apparel in this post-pandemic environment, which in addition to recovery from the pandemic, has fueled top line growth. Fiscal 2023 was a record year for Johnston</w:t>
      </w:r>
    </w:p>
    <w:p>
      <w:pPr>
        <w:spacing w:after="0" w:line="1" w:lineRule="exact"/>
        <w:rPr>
          <w:sz w:val="20"/>
          <w:szCs w:val="20"/>
          <w:color w:val="auto"/>
        </w:rPr>
      </w:pPr>
    </w:p>
    <w:p>
      <w:pPr>
        <w:jc w:val="both"/>
        <w:ind w:right="100" w:firstLine="8"/>
        <w:spacing w:after="0" w:line="255" w:lineRule="auto"/>
        <w:tabs>
          <w:tab w:leader="none" w:pos="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Murphy Group sales. Retail operations accounted for 76.0% of Johnston &amp; Murphy Group's sales in Fiscal 2023, down from 78.5% in Fiscal 2022. The store count for Johnston &amp; Murphy retail operations at the end of Fiscal 2023 included 158 Johnston &amp; Murphy shops and factory stores, including six stores in Canada, compared to 167 Johnston &amp; Murphy shops and factory stores, including eight stores in Canada, at the end of Fiscal 2022.</w:t>
      </w:r>
    </w:p>
    <w:p>
      <w:pPr>
        <w:spacing w:after="0" w:line="15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Johnston &amp; Murphy Group operating income for Fiscal 2023 increased 104.4% to $14.4 million compared to $7.0 million in Fiscal 2022. The increase was primarily due to (i) increased net sales and (ii) decreased selling and administrative expenses as a percentage of net sales due to greater leverage of expenses as a result of revenue growth, especially occupancy expense, selling salaries and compensation expense, partially offset by increased marketing expense. Gross margin as a percentage of net sales decreased in Fiscal 2023 compared to Fiscal 2022 reflecting increased freight and logistic costs of $8.6 million as well as a difficult comparison to decreased inventory reserves in Fiscal 2022 as the brand began to recover from the pandemic.</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6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34"/>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3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155,924</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169,194</w:t>
            </w: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4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(678 )</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49"/>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4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(0.4 )%</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c>
          <w:tcPr>
            <w:tcW w:w="15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Net sales for Genesco Brands Group decreased 7.8% to $155.9 million for Fiscal 2023 from $169.2 million for Fiscal 2022, primarily due to repositioning the distribution of the mix of the Levi's brand to elevate distribution and rely less on the value channel, partially offset by an increase in sales of private label and Dockers footwear.</w:t>
      </w:r>
    </w:p>
    <w:p>
      <w:pPr>
        <w:spacing w:after="0" w:line="13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The operating loss for Genesco Brands Group was $0.7 million in Fiscal 2023 compared to operating income of $6.6 million in Fiscal 2022. The $7.3 million decrease in operating income was primarily due to (i) decreased net sales, (ii) decreased gross margin as a percentage of net sales primarily due to increased freight and logistics costs of $7.5 million and (iii) increased selling and administrative expenses as a percentage of net sales reflecting deleverage of expenses as a result of decreased revenue and changes in sales mix, partially offset by decreased performance-based compensation expense.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Interest Expenses and Other Charges</w:t>
      </w:r>
    </w:p>
    <w:p>
      <w:pPr>
        <w:spacing w:after="0" w:line="186"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Corporate and other expense for Fiscal 2023 was $32.5 million compared to $42.6 million for Fiscal 2022. Corporate and other expense in Fiscal 2023 included $1.6 million for asset impairments, partially offset by a $0.7 million gain on the termination of our pension plan. Corporate and other expense in Fiscal 2022 included an $18.1 million gain on the sale of a distribution warehouse and a $0.6 million insurance gain, partially offset by $8.6 million for professional fees related to the actions of a</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0" w:right="239" w:bottom="1440" w:gutter="0" w:footer="0" w:header="0"/>
        </w:sectPr>
      </w:pPr>
    </w:p>
    <w:bookmarkStart w:id="33" w:name="page34"/>
    <w:bookmarkEnd w:id="33"/>
    <w:p>
      <w:pPr>
        <w:spacing w:after="0" w:line="281" w:lineRule="auto"/>
        <w:rPr>
          <w:sz w:val="20"/>
          <w:szCs w:val="20"/>
          <w:color w:val="auto"/>
        </w:rPr>
      </w:pPr>
      <w:r>
        <w:rPr>
          <w:rFonts w:ascii="Times New Roman" w:cs="Times New Roman" w:eastAsia="Times New Roman" w:hAnsi="Times New Roman"/>
          <w:sz w:val="18"/>
          <w:szCs w:val="18"/>
          <w:color w:val="auto"/>
        </w:rPr>
        <w:t>shareholder activist and $2.0 million for asset impairments. Corporate and other expense, excluding asset impairment and other charges, decreased $19.1 million reflecting decreased performance-based compensation expense.</w:t>
      </w:r>
    </w:p>
    <w:p>
      <w:pPr>
        <w:spacing w:after="0" w:line="1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Net interest expense increased 19.3% to $2.9 million in Fiscal 2023 from $2.4 million in Fiscal 2022 primarily due to increased average borrowings and higher interest rates in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business is seasonal, with our investment in inventory and accounts receivable normally reaching peaks in the spring and fall of each year. Historically, cash flow from operations has been generated principally in the fourth quarter of each fiscal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changes:</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30"/>
              <w:spacing w:after="0" w:line="204"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4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Borders>
              <w:bottom w:val="single" w:sz="8" w:color="auto"/>
            </w:tcBorders>
            <w:gridSpan w:val="2"/>
            <w:vMerge w:val="continue"/>
          </w:tcPr>
          <w:p>
            <w:pPr>
              <w:spacing w:after="0"/>
              <w:rPr>
                <w:sz w:val="21"/>
                <w:szCs w:val="21"/>
                <w:color w:val="auto"/>
              </w:rPr>
            </w:pPr>
          </w:p>
        </w:tc>
        <w:tc>
          <w:tcPr>
            <w:tcW w:w="16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January 29, 2022</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(164,884 )</w:t>
            </w:r>
          </w:p>
        </w:tc>
        <w:tc>
          <w:tcPr>
            <w:tcW w:w="50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239,870</w:t>
            </w:r>
          </w:p>
        </w:tc>
        <w:tc>
          <w:tcPr>
            <w:tcW w:w="40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(404,754 )</w:t>
            </w:r>
          </w:p>
        </w:tc>
        <w:tc>
          <w:tcPr>
            <w:tcW w:w="0" w:type="dxa"/>
            <w:vAlign w:val="bottom"/>
          </w:tcPr>
          <w:p>
            <w:pPr>
              <w:spacing w:after="0"/>
              <w:rPr>
                <w:sz w:val="1"/>
                <w:szCs w:val="1"/>
                <w:color w:val="auto"/>
              </w:rPr>
            </w:pPr>
          </w:p>
        </w:tc>
      </w:tr>
      <w:tr>
        <w:trPr>
          <w:trHeight w:val="224"/>
        </w:trPr>
        <w:tc>
          <w:tcPr>
            <w:tcW w:w="6600" w:type="dxa"/>
            <w:vAlign w:val="bottom"/>
            <w:shd w:val="clear" w:color="auto" w:fill="CFF0FC"/>
          </w:tcPr>
          <w:p>
            <w:pPr>
              <w:spacing w:after="0"/>
              <w:rPr>
                <w:sz w:val="19"/>
                <w:szCs w:val="19"/>
                <w:color w:val="auto"/>
              </w:rPr>
            </w:pPr>
          </w:p>
        </w:tc>
        <w:tc>
          <w:tcPr>
            <w:tcW w:w="40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400" w:type="dxa"/>
            <w:vAlign w:val="bottom"/>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(59,934 )</w:t>
            </w:r>
          </w:p>
        </w:tc>
        <w:tc>
          <w:tcPr>
            <w:tcW w:w="5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(33,898 )</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(26,036 )</w:t>
            </w:r>
          </w:p>
        </w:tc>
        <w:tc>
          <w:tcPr>
            <w:tcW w:w="0" w:type="dxa"/>
            <w:vAlign w:val="bottom"/>
          </w:tcPr>
          <w:p>
            <w:pPr>
              <w:spacing w:after="0"/>
              <w:rPr>
                <w:sz w:val="1"/>
                <w:szCs w:val="1"/>
                <w:color w:val="auto"/>
              </w:rPr>
            </w:pPr>
          </w:p>
        </w:tc>
      </w:tr>
      <w:tr>
        <w:trPr>
          <w:trHeight w:val="24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(45,530 )</w:t>
            </w: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(101,169 )</w:t>
            </w:r>
          </w:p>
        </w:tc>
        <w:tc>
          <w:tcPr>
            <w:tcW w:w="4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55,639</w:t>
            </w:r>
          </w:p>
        </w:tc>
        <w:tc>
          <w:tcPr>
            <w:tcW w:w="0" w:type="dxa"/>
            <w:vAlign w:val="bottom"/>
          </w:tcPr>
          <w:p>
            <w:pPr>
              <w:spacing w:after="0"/>
              <w:rPr>
                <w:sz w:val="1"/>
                <w:szCs w:val="1"/>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(2,187 )</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631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(2,818 )</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(272,535 )</w:t>
            </w:r>
          </w:p>
        </w:tc>
        <w:tc>
          <w:tcPr>
            <w:tcW w:w="50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105,434</w:t>
            </w:r>
          </w:p>
        </w:tc>
        <w:tc>
          <w:tcPr>
            <w:tcW w:w="40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(377,969 )</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vMerge w:val="continue"/>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500" w:type="dxa"/>
            <w:vAlign w:val="bottom"/>
            <w:tcBorders>
              <w:bottom w:val="single" w:sz="8" w:color="auto"/>
            </w:tcBorders>
            <w:vMerge w:val="continue"/>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400" w:type="dxa"/>
            <w:vAlign w:val="bottom"/>
            <w:tcBorders>
              <w:bottom w:val="single" w:sz="8" w:color="auto"/>
            </w:tcBorders>
            <w:vMerge w:val="continue"/>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Reasons for the major variances in cash provided by (used in) the table above are as follows:</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Cash used in operating activities was $164.9 million for Fiscal 2023 compared to cash provided by operating activities of $239.9 million for Fiscal 2022, reflecting primarily the following factors:</w:t>
      </w:r>
    </w:p>
    <w:p>
      <w:pPr>
        <w:spacing w:after="0" w:line="122" w:lineRule="exact"/>
        <w:rPr>
          <w:sz w:val="20"/>
          <w:szCs w:val="20"/>
          <w:color w:val="auto"/>
        </w:rPr>
      </w:pPr>
    </w:p>
    <w:p>
      <w:pPr>
        <w:ind w:left="7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$194.4 million decrease in cash flow from changes in inventory, primarily reflecting increased inventory growth in all of our business units in Fiscal 2023 as we rebuilt inventory levels following the significant supply chain disruptions resulting from the COVID-19 pandemic;</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$100.2 million decrease in cash flow from changes in other accrued liabilities, primarily reflecting the payment of Fiscal 2022 performance-based compensation accruals in Fiscal 2023 and significantly lower performance-based compensation accruals for Fiscal 2023 compared to Fiscal 2022;</w:t>
      </w:r>
    </w:p>
    <w:p>
      <w:pPr>
        <w:spacing w:after="0" w:line="13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$74.4 million decrease in cash flow from changes in other assets and liabilities and prepaids and other current assets combined, primarily reflecting income taxes paid in Fiscal 2023 compared to a tax refund in Fiscal 2022; and</w:t>
      </w:r>
    </w:p>
    <w:p>
      <w:pPr>
        <w:spacing w:after="0" w:line="122" w:lineRule="exact"/>
        <w:rPr>
          <w:rFonts w:ascii="Times New Roman" w:cs="Times New Roman" w:eastAsia="Times New Roman" w:hAnsi="Times New Roman"/>
          <w:sz w:val="18"/>
          <w:szCs w:val="18"/>
          <w:color w:val="auto"/>
        </w:rPr>
      </w:pPr>
    </w:p>
    <w:p>
      <w:pPr>
        <w:ind w:left="800" w:hanging="4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$42.9 million decrease in cash flow from decreased earnings in Fiscal 2023.</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was $26.0 million higher for Fiscal 2023 compared to Fiscal 2022, primarily related to increased capital expenditures related to investments in retail stores, partially offset by decreased capital expenditures for our new headquarters building and Fiscal 2022 included cash proceeds from the sale of a distribution center.</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was $55.6 million lower in Fiscal 2023 as compared to Fiscal 2022 primarily reflecting an additional payment of debt in Fiscal 2022 for the first in-last out term loan of $17.5 million and increased U.S. revolver borrowings in Fiscal 2023.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Sources of Liquidity and Future Capital Needs</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three principal sources of liquidity: cash flow from operations, cash on hand and our credit facilities discussed in Item 8, Note 8, "Long-Term Debt", to our Consolidated Financial Statements included in this Annual Report on Form 10-K.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28, 2022, we entered into a Third Amendment to our </w:t>
      </w:r>
      <w:r>
        <w:rPr>
          <w:rFonts w:ascii="Times New Roman" w:cs="Times New Roman" w:eastAsia="Times New Roman" w:hAnsi="Times New Roman"/>
          <w:sz w:val="18"/>
          <w:szCs w:val="18"/>
          <w:color w:val="222222"/>
        </w:rPr>
        <w:t>Credit Facility to,</w:t>
      </w:r>
      <w:r>
        <w:rPr>
          <w:rFonts w:ascii="Times New Roman" w:cs="Times New Roman" w:eastAsia="Times New Roman" w:hAnsi="Times New Roman"/>
          <w:sz w:val="18"/>
          <w:szCs w:val="18"/>
          <w:color w:val="auto"/>
        </w:rPr>
        <w:t xml:space="preserve"> among other things, extend the maturity date to January 28, 2027 and remove the first in-last out term loan that was in an amount equal to $17.5 million. The Total Commitments (as defined in the Credit Agreement) for revolving loans is $332.5 million. As of January 28, 2023, we have $30.0 million in U.S. revolver borrowings and $14.9 million (£12.0 million) related to Genesco (UK) Limited. We had outstanding letters of credit of $9.7 million under the Credit Facility at January 28, 2023. These letters of credit support lease and insurance indemnifications.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 2022, Schuh entered into a facility agreement (the "Facility Agreement") with Lloyds Bank PLC (“Lloyds”) for a £19.0 million revolving credit facility. The Facility Agreement expires November 2, 2025, with options to request two one-year extensions to this termination date subject to lender approval, and bears interest at 2.35% over the Bank of England Base Rate. This Facility Agreement replaced Schuh's Facility Letter that would have expired in October 2023.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 As of January 28, 2023, we have not borrowed under the Schuh Facility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Credit Facility and Facility Agreement as of January 28, 2023.</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believe that cash on hand, cash provided by operations and borrowings under our amended Credit Facility and the Schuh Facility Agreement will be sufficient to support our liquidity needs in Fiscal 2024 and the foreseeable future.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2021, we implemented tax strategies allowed under the 5-year carryback provisions in the CARES Act which we believe will generate approximately $55 million of net tax refunds. We received approximately $26 million of such net tax refunds in Fiscal 2022 and anticipated receipt of the remaining outstanding net tax refund in Fiscal 2023. However, in the third quarter of Fiscal 2023, we were notified the IRS would conduct an audit of the periods related to the outstanding net tax refund. While we do not believe any uncertainty with the technical merits of the positions generating the net tax refunds exists, we do anticipate the timing of the net tax refund will be extended as a result of the audit process. Accordingly, we have recorded the outstanding refund as non-current prepaid income taxes on the Consolidated Balance Sheets as of January 28,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aggregate contractual obligations as of January 28,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3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Long-Term</w:t>
            </w:r>
          </w:p>
        </w:tc>
      </w:tr>
      <w:tr>
        <w:trPr>
          <w:trHeight w:val="24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1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44,858</w:t>
            </w:r>
          </w:p>
        </w:tc>
        <w:tc>
          <w:tcPr>
            <w:tcW w:w="5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44,858</w:t>
            </w:r>
          </w:p>
        </w:tc>
      </w:tr>
      <w:tr>
        <w:trPr>
          <w:trHeight w:val="243"/>
        </w:trPr>
        <w:tc>
          <w:tcPr>
            <w:tcW w:w="38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(1)</w:t>
            </w:r>
          </w:p>
        </w:tc>
        <w:tc>
          <w:tcPr>
            <w:tcW w:w="31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615,183</w:t>
            </w:r>
          </w:p>
        </w:tc>
        <w:tc>
          <w:tcPr>
            <w:tcW w:w="5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156,304</w:t>
            </w:r>
          </w:p>
        </w:tc>
        <w:tc>
          <w:tcPr>
            <w:tcW w:w="4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458,879</w:t>
            </w:r>
          </w:p>
        </w:tc>
      </w:tr>
      <w:tr>
        <w:trPr>
          <w:trHeight w:val="243"/>
        </w:trPr>
        <w:tc>
          <w:tcPr>
            <w:tcW w:w="38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(2)</w:t>
            </w:r>
          </w:p>
        </w:tc>
        <w:tc>
          <w:tcPr>
            <w:tcW w:w="3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17,546</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17,546</w:t>
            </w: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698</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r>
      <w:tr>
        <w:trPr>
          <w:trHeight w:val="236"/>
        </w:trPr>
        <w:tc>
          <w:tcPr>
            <w:tcW w:w="3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18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678,285</w:t>
            </w:r>
          </w:p>
        </w:tc>
        <w:tc>
          <w:tcPr>
            <w:tcW w:w="5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174,022</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504,263</w:t>
            </w:r>
          </w:p>
        </w:tc>
      </w:tr>
      <w:tr>
        <w:trPr>
          <w:trHeight w:val="645"/>
        </w:trPr>
        <w:tc>
          <w:tcPr>
            <w:tcW w:w="3880" w:type="dxa"/>
            <w:vAlign w:val="bottom"/>
          </w:tcPr>
          <w:p>
            <w:pPr>
              <w:spacing w:after="0"/>
              <w:rPr>
                <w:sz w:val="24"/>
                <w:szCs w:val="24"/>
                <w:color w:val="auto"/>
              </w:rPr>
            </w:pPr>
          </w:p>
        </w:tc>
        <w:tc>
          <w:tcPr>
            <w:tcW w:w="31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5" w:name="page36"/>
    <w:bookmarkEnd w:id="35"/>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lease obligations excludes $12.1 million for leases signed but not yet commenced.</w:t>
      </w:r>
    </w:p>
    <w:p>
      <w:pPr>
        <w:spacing w:after="0" w:line="23" w:lineRule="exact"/>
        <w:rPr>
          <w:rFonts w:ascii="Times New Roman" w:cs="Times New Roman" w:eastAsia="Times New Roman" w:hAnsi="Times New Roman"/>
          <w:sz w:val="22"/>
          <w:szCs w:val="22"/>
          <w:color w:val="auto"/>
          <w:vertAlign w:val="superscript"/>
        </w:rPr>
      </w:pPr>
    </w:p>
    <w:p>
      <w:pPr>
        <w:ind w:firstLine="8"/>
        <w:spacing w:after="0" w:line="216" w:lineRule="auto"/>
        <w:tabs>
          <w:tab w:leader="none" w:pos="187"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a result of the Togast acquisition, we also have a commitment to Samsung C&amp;T America, Inc. (“Samsung”) related to the ultimate sale and valuation of related inventories owned by Samsung. If the product is sold below Samsung’s cost, we are committed to Samsung for the difference between the sales price and its cost.</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issue inventory purchase orders in the ordinary course of business, which represent authorizations to purchase that are cancelable by their terms. We do not consider purchase orders to be firm inventory commitments. If we choose to cancel a purchase order, we may be obligated to reimburse the vendor for unrecoverable outlays incurred prior to cancellation.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Capital expenditures were $59.9 million and $53.9 million for Fiscal 2023 and 2022, respectively. The $6.0 million increase in Fiscal 2023 capital expenditures as compared to Fiscal 2022 is primarily due to increases for new stores and renovations, partially offset by decreased capital expenditures for our new corporate headquarters.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total capital expenditures for Fiscal 2024 to be approximately $55-$60 million of which approximately 53% is for computer hardware, software and warehouse enhancements for initiatives to drive traffic and omni-channel initiatives and other projects and 47% is for new stores and renovations. We do not currently have any longer term capital expenditures or other cash requirements other than as set forth in the contractual obligations table. We also do not currently have any off-balance sheet arrangements.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repurchased 1,380,272 shares during Fiscal 2023 at a cost of $72.7 million or an average of $52.66 per share. The Consolidated Statements of Cash Flows include an additional $4.8 million of share repurchases in Fiscal 2023 for accruals made as of January 29, 2022 due to timing of the cash settlement. We were operating under a $100.0 million repurchase authorization from September 2019. In February 2022, we announced a $100.0 million increase to the existing $100.0 million share repurchase authorization. As of January 28, 2023, we have $34.1 million remaining under the expanded share repurchase authorization. We repurchased 1,360,909 shares during Fiscal 2022 at a cost of $82.8 million or an average of $60.88 per share. We did not repurchase any shares in Fiscal 2021. During the first quarter of Fiscal 2024, through March 22, 2023, we repurchased 135,000 shares at a cost of $5.0 million or an average of $36.67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Contingencies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subject to certain loss contingencies related to environmental proceedings and other legal matters, including those disclosed in Item 8, Note 15, "Legal Proceedings", to our Consolidated Financial Statements included in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discusses our exposure to financial market risk.</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Outstanding Debt – We have $44.9 million of outstanding U.S. revolver borrowings, which includes $14.9 million (£12.0 million) related to Genesco (UK) Limited, at a weighted average interest rate of 6.74% as of January 28, 2023. A 100 basis point increase in interest rates would increase annual interest expense by $0.4 million on the $44.9 million revolver borrowings.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Cash – Our cash balances are held in our bank accounts and not invested at this time. We did not have significant exposure to changing interest rates on invested cash at January 28, 2023. As a result, we consider the interest rate risk implicit in these investments at January 28, 2023 to be low. We did not hold any cash equivalents at January 28, 2023.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36" w:name="page37"/>
    <w:bookmarkEnd w:id="36"/>
    <w:p>
      <w:pPr>
        <w:jc w:val="both"/>
        <w:spacing w:after="0" w:line="281" w:lineRule="auto"/>
        <w:rPr>
          <w:sz w:val="20"/>
          <w:szCs w:val="20"/>
          <w:color w:val="auto"/>
        </w:rPr>
      </w:pPr>
      <w:r>
        <w:rPr>
          <w:rFonts w:ascii="Times New Roman" w:cs="Times New Roman" w:eastAsia="Times New Roman" w:hAnsi="Times New Roman"/>
          <w:sz w:val="18"/>
          <w:szCs w:val="18"/>
          <w:color w:val="auto"/>
        </w:rPr>
        <w:t>Summary – Based on our overall market interest rate exposure at January 28, 2023, we believe that the effect, if any, of reasonably possible near-term changes in interest rates on our consolidated financial position, results of operations or cash flows for Fiscal 2024 would not be material.</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 Our accounts receivable balance at January 28, 2023 is concentrated in our wholesale businesses, which sell primarily to department stores and independent retailers across the United States. In the wholesale businesses, one customer accounted for 25%, one customer accounted for 18% and one customer accounted for 7% of our total trade receivables balance, while no other customer accounted for more than 6% of our total trade receivables balance as of January 28, 2023. We monitor the credit quality of our customers and establish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Foreign Currency Exchange Risk – We are exposed to translation risk because certain of our foreign operations utilize the local currency as their functional currency and those financial results must be translated into United States dollars. As currency exchange rates fluctuate, translation of our financial statements of foreign businesses into United States dollars affects the comparability of financial results between years. Schuh Group's net sales and operating income for Fiscal 2023 were negatively impacted by $53.8 million and $2.6 million, respectively, due to the change in foreign exchange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Principles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Descriptions of recently issued accounting pronouncements, if any, and the accounting pronouncements adopted by us during Fiscal 2023 are included in Note 2, "New Accounting Pronouncements", to the Consolidated Financial Statements included in Item 8, "Financial Statements and Supplementary Data".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6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7" w:name="page38"/>
    <w:bookmarkEnd w:id="37"/>
    <w:p>
      <w:pPr>
        <w:jc w:val="both"/>
        <w:spacing w:after="0" w:line="281" w:lineRule="auto"/>
        <w:rPr>
          <w:sz w:val="20"/>
          <w:szCs w:val="20"/>
          <w:color w:val="auto"/>
        </w:rPr>
      </w:pPr>
      <w:r>
        <w:rPr>
          <w:rFonts w:ascii="Times New Roman" w:cs="Times New Roman" w:eastAsia="Times New Roman" w:hAnsi="Times New Roman"/>
          <w:sz w:val="18"/>
          <w:szCs w:val="18"/>
          <w:color w:val="auto"/>
        </w:rPr>
        <w:t>overstatement or understatement of inventory value. A change of 10% from the recorded amounts for markdowns, shrinkage and damaged goods would have changed inventory by $0.7 million at January 28,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annually assess our goodwill and indefinite lived trademarks for impairment and on an interim basis if indicators of impairment are present. Our annual assessment date of goodwill and indefinite lived trade names is the first day of the fourth quarter.</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For additional information regarding impairment of long-lived assets, see Item 8, Note 3, "Goodwill and Other Intangible Assets" and Note 4,"Asset Impairments and Other Charges" to our Consolidated Financial Statements included in this Annual Report on Form 10-K.</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quantitative impairment test for indefinite lived trademarks compares the fair value of the trademark with the carrying value of the related trademark. If the fair value of the trademark is less than the carrying value of the trademark, an impairment charge would be recorded for the amount, if any, in which the carrying value exceeds the trademark’s fair value. We estimate fair value using the best information available, and compute the fair value using an income approach that estimates the savings that the trademark owner would realize from owning that asset instead of having to pay rent or a royalty for the use of it. Key assumptions in our fair value estimate are the selected royalty rate and discount rate. Other significant estimates and assumptions include terminal value growth rates and future profitability expectations.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ASU 2014-09, "Revenue from Contracts with Customers (Topic 606)" ("ASC 606"), revenue shall be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elected the practical expedient within ASC 606 related to taxes that are assessed by a governmental authority, which allows for the exclusion of sales and value added tax from transaction price.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in our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tax jurisdictions in which we operate.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Actual results could differ from this assessment if adequate taxable income is not generated in future periods. To the extent it is more likely than not that some portion or all of a deferred asset will not be realized, valuation allowances are established. To the extent valuation allowances are established or increased in a period, we include an expense within the tax provision in our Consolidated Statements of Operations. These deferred tax valuation allowances may be released in future years when we consider that it is more likely than not that some portion or all of the deferred tax assets will be realized. In making such a determination, we will need to periodically evaluate whether or not all available evidence, such as future taxable income and reversal of temporary differences, tax planning strategies, and recent results of operations, provides sufficient positive evidence to offset any other negative evidence that may exist at such time. In the event the deferred tax valuation allowance is released, we would record an income tax benefit for a portion or all of the deferred tax valuation allowance released. At January 28, 2023, we had a deferred tax valuation allowance of $36.5 million.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Income tax reserves for uncertain tax positions are determined using the methodology required by the Accounting Standards Codification (“ASC”) Income Tax Topic, ("ASC 740"). This methodology requires companies to assess each income tax position taken using a two-step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our determinations and estimates prove to be inaccurate, the resulting adjustments could be material to our future financial results. See Item 8, Note 11, "Income Taxes", to our Consolidated Financial Statements included in this Annual Report on Form 10-K for additional information related to 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lease assets and corresponding lease liabilities for all operating leases on the Consolidated Balance Sheets as described under ASU No. 2016-02, “Leases (Topic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3%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See Item 8, Note 9, "Leases", to our Consolidated Financial Statements included in this Annual Report on Form 10-K for additional information related to leases.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02"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We incorporate by reference the information regarding market risk appearing under the heading “Financial Market Risk” in Item 7, "Management’s Discussion and Analysis of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FINANCIAL STATEMENTS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182"/>
        </w:trPr>
        <w:tc>
          <w:tcPr>
            <w:tcW w:w="80" w:type="dxa"/>
            <w:vAlign w:val="bottom"/>
          </w:tcPr>
          <w:p>
            <w:pPr>
              <w:spacing w:after="0"/>
              <w:rPr>
                <w:sz w:val="15"/>
                <w:szCs w:val="15"/>
                <w:color w:val="auto"/>
              </w:rPr>
            </w:pPr>
          </w:p>
        </w:tc>
        <w:tc>
          <w:tcPr>
            <w:tcW w:w="97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14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8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January 28, 2023 and January 29,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each of the three fiscal years ended 2023, 2022 and 2021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each of the three fiscal years ended 2023, 2022 and 2021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each of the three fiscal years ended 2023, 2022 and 2021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Equity, each of the three fiscal years ended 2023, 2022 and 2021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681"/>
        </w:trPr>
        <w:tc>
          <w:tcPr>
            <w:tcW w:w="80" w:type="dxa"/>
            <w:vAlign w:val="bottom"/>
          </w:tcPr>
          <w:p>
            <w:pPr>
              <w:spacing w:after="0"/>
              <w:rPr>
                <w:sz w:val="24"/>
                <w:szCs w:val="24"/>
                <w:color w:val="auto"/>
              </w:rPr>
            </w:pPr>
          </w:p>
        </w:tc>
        <w:tc>
          <w:tcPr>
            <w:tcW w:w="3120" w:type="dxa"/>
            <w:vAlign w:val="bottom"/>
            <w:tcBorders>
              <w:top w:val="single" w:sz="8" w:color="0000FF"/>
            </w:tcBorders>
          </w:tcPr>
          <w:p>
            <w:pPr>
              <w:spacing w:after="0"/>
              <w:rPr>
                <w:sz w:val="24"/>
                <w:szCs w:val="24"/>
                <w:color w:val="auto"/>
              </w:rPr>
            </w:pPr>
          </w:p>
        </w:tc>
        <w:tc>
          <w:tcPr>
            <w:tcW w:w="352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1" w:name="page42"/>
    <w:bookmarkEnd w:id="41"/>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audited Genesco Inc. and Subsidiaries’ internal control over financial reporting as of January 28, 2023, based on criteria established in Internal Control—Integrated Framework issued by the Committee of Sponsoring Organizations of the Treadway Commission (2013 framework) (the COSO criteria). In our opinion, Genesco Inc. and Subsidiaries (the Company) maintained, in all material respects, effective internal control over financial reporting as of January 28, 2023, based on the COSO criteria.</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Genesco Inc. and Subsidiaries as of January 28, 2023 and January 29, 2022, the related consolidated statements of operations, comprehensive income, cash flows, and equity for each of the three fiscal years in the period ended January 28, 2023, and the related notes and financial statement schedule listed in the Index at Item 15, and our report dated March 22, 2023 expressed an unqualified opinion thereon.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right="3360" w:firstLine="3367"/>
        <w:spacing w:after="0" w:line="461"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Shareholders and the Board of Directors of Genesco Inc.</w:t>
      </w: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Genesco Inc. (the Company) as of January 28, 2023 and January 29, 2022, the related consolidated statements of operations, comprehensive income, cash flows and equity for each of the three fiscal years in the period ended January 28, 2023,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January 28, 2023 and January 29, 2022, and the results of its operations and its cash flows for each of the three fiscal years in the period ended January 28, 2023, in conformity with U.S. generally accepted accounting principles.</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28, 2023, based on criteria established in Internal Control – Integrated Framework issued by the Committee of Sponsoring Organizations of the Treadway Commission (2013 framework) and our report dated March 22, 2023 expressed an unqualified opinion thereon.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line="283"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Genesco Brands Group Goodwill</w:t>
      </w:r>
    </w:p>
    <w:p>
      <w:pPr>
        <w:spacing w:after="0" w:line="4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At January 28, 2023 the Company had $28.5 million recorded for the goodwill associated with the Genesco Brands Group. As discussed in Notes 1 and 3 to the consolidated financial statements, goodwill at the reporting unit level is qualitatively or quantitatively tested for impairment at least annually, at the beginning of the Company’s fourth fiscal quarter, or whenever events or changes in circumstances indicate that the carrying amount may not be recoverable. The quantitative evaluation of goodwill impairment involves the comparison of the fair value of the reporting unit to the carrying value of the reporting unit.</w:t>
      </w: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the Company’s annual goodwill impairment analysis was complex and highly judgmental due to the significant estimation required by management in determining the fair value of the Togast reporting unit. In particular, the fair value estimates under the income approach are sensitive to significant assumptions required to develop prospective financial information related to growth rates in sales, costs, and estimates of future expected changes in operating margins. Other significant assumptions relate to estimating the weighted average cost of capital utilized for discounting cash flow estimates and terminal period growth rates. These significant assumptions are affected by expectations about future market or economic conditions. Management also uses a market approach that considers valuations of comparable companies as an input in the determination of the value of the reporting unit.</w:t>
      </w: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Genesco Brands goodwill impairment review process, including controls over management’s review of the significant assumptions described above. For example, we tested controls over management’s identification of the Togast reporting unit and management’s review of the significant assumptions utilized within the fair value model, including the development of the prospective financial information and determination of the weighted average cost of capital and terminal period growth rates.</w:t>
      </w: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estimated fair value of the Togast reporting unit, we performed audit procedures that included, among others, involvement of our valuation specialists to assess the Company’s model, valuation methodology, and significant assumptions discussed above. Specifically, we compared significant assumptions used by management to current industry economic trends. As part of this assessment, we also compared the development of the weighted average cost of capital to rates for hypothetical market participants based on the capital structure of the Company and its related peer group. We assessed the historical accuracy of management’s estimates and performed sensitivity analyses of significant assumptions to evaluate the changes in the fair value of the reporting unit that would result from changes in the significant assumptions. We also evaluated the reasonableness of the market comparable companies that management used in its market approach.</w:t>
      </w:r>
    </w:p>
    <w:p>
      <w:pPr>
        <w:spacing w:after="0" w:line="593" w:lineRule="exact"/>
        <w:rPr>
          <w:sz w:val="20"/>
          <w:szCs w:val="20"/>
          <w:color w:val="auto"/>
        </w:rPr>
      </w:pPr>
    </w:p>
    <w:p>
      <w:pPr>
        <w:sectPr>
          <w:pgSz w:w="11900" w:h="16838" w:orient="portrait"/>
          <w:cols w:equalWidth="0" w:num="2">
            <w:col w:w="2000" w:space="160"/>
            <w:col w:w="9060"/>
          </w:cols>
          <w:pgMar w:left="320" w:top="562"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2023</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7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2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13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29, 2022</w:t>
            </w:r>
          </w:p>
        </w:tc>
        <w:tc>
          <w:tcPr>
            <w:tcW w:w="0" w:type="dxa"/>
            <w:vAlign w:val="bottom"/>
          </w:tcPr>
          <w:p>
            <w:pPr>
              <w:spacing w:after="0"/>
              <w:rPr>
                <w:sz w:val="1"/>
                <w:szCs w:val="1"/>
                <w:color w:val="auto"/>
              </w:rPr>
            </w:pPr>
          </w:p>
        </w:tc>
      </w:tr>
      <w:tr>
        <w:trPr>
          <w:trHeight w:val="238"/>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54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47,990</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320,525</w:t>
            </w:r>
          </w:p>
        </w:tc>
        <w:tc>
          <w:tcPr>
            <w:tcW w:w="0" w:type="dxa"/>
            <w:vAlign w:val="bottom"/>
          </w:tcPr>
          <w:p>
            <w:pPr>
              <w:spacing w:after="0"/>
              <w:rPr>
                <w:sz w:val="1"/>
                <w:szCs w:val="1"/>
                <w:color w:val="auto"/>
              </w:rPr>
            </w:pPr>
          </w:p>
        </w:tc>
      </w:tr>
      <w:tr>
        <w:trPr>
          <w:trHeight w:val="21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$3,710 at January 28, 2023 and $4,656 at January</w:t>
            </w:r>
          </w:p>
        </w:tc>
        <w:tc>
          <w:tcPr>
            <w:tcW w:w="540" w:type="dxa"/>
            <w:vAlign w:val="bottom"/>
            <w:shd w:val="clear" w:color="auto" w:fill="CFF0FC"/>
          </w:tcPr>
          <w:p>
            <w:pPr>
              <w:spacing w:after="0"/>
              <w:rPr>
                <w:sz w:val="18"/>
                <w:szCs w:val="18"/>
                <w:color w:val="auto"/>
              </w:rPr>
            </w:pPr>
          </w:p>
        </w:tc>
        <w:tc>
          <w:tcPr>
            <w:tcW w:w="18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40,818</w:t>
            </w: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29, 2022</w:t>
            </w:r>
          </w:p>
        </w:tc>
        <w:tc>
          <w:tcPr>
            <w:tcW w:w="540" w:type="dxa"/>
            <w:vAlign w:val="bottom"/>
            <w:shd w:val="clear" w:color="auto" w:fill="CFF0FC"/>
          </w:tcPr>
          <w:p>
            <w:pPr>
              <w:spacing w:after="0"/>
              <w:rPr>
                <w:sz w:val="21"/>
                <w:szCs w:val="21"/>
                <w:color w:val="auto"/>
              </w:rPr>
            </w:pPr>
          </w:p>
        </w:tc>
        <w:tc>
          <w:tcPr>
            <w:tcW w:w="1840" w:type="dxa"/>
            <w:vAlign w:val="bottom"/>
            <w:vMerge w:val="continue"/>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39,509</w:t>
            </w: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tcPr>
          <w:p>
            <w:pPr>
              <w:spacing w:after="0"/>
              <w:rPr>
                <w:sz w:val="20"/>
                <w:szCs w:val="20"/>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458,017</w:t>
            </w:r>
          </w:p>
        </w:tc>
        <w:tc>
          <w:tcPr>
            <w:tcW w:w="7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278,200</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5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25,844</w:t>
            </w:r>
          </w:p>
        </w:tc>
        <w:tc>
          <w:tcPr>
            <w:tcW w:w="7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71,564</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572,669</w:t>
            </w: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709,798</w:t>
            </w:r>
          </w:p>
        </w:tc>
        <w:tc>
          <w:tcPr>
            <w:tcW w:w="0" w:type="dxa"/>
            <w:vAlign w:val="bottom"/>
          </w:tcPr>
          <w:p>
            <w:pPr>
              <w:spacing w:after="0"/>
              <w:rPr>
                <w:sz w:val="1"/>
                <w:szCs w:val="1"/>
                <w:color w:val="auto"/>
              </w:rPr>
            </w:pPr>
          </w:p>
        </w:tc>
      </w:tr>
      <w:tr>
        <w:trPr>
          <w:trHeight w:val="238"/>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233,733</w:t>
            </w:r>
          </w:p>
        </w:tc>
        <w:tc>
          <w:tcPr>
            <w:tcW w:w="74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216,308</w:t>
            </w: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540" w:type="dxa"/>
            <w:vAlign w:val="bottom"/>
          </w:tcPr>
          <w:p>
            <w:pPr>
              <w:spacing w:after="0"/>
              <w:rPr>
                <w:sz w:val="20"/>
                <w:szCs w:val="20"/>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470,991</w:t>
            </w:r>
          </w:p>
        </w:tc>
        <w:tc>
          <w:tcPr>
            <w:tcW w:w="7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543,789</w:t>
            </w:r>
          </w:p>
        </w:tc>
        <w:tc>
          <w:tcPr>
            <w:tcW w:w="0" w:type="dxa"/>
            <w:vAlign w:val="bottom"/>
          </w:tcPr>
          <w:p>
            <w:pPr>
              <w:spacing w:after="0"/>
              <w:rPr>
                <w:sz w:val="1"/>
                <w:szCs w:val="1"/>
                <w:color w:val="auto"/>
              </w:rPr>
            </w:pPr>
          </w:p>
        </w:tc>
      </w:tr>
      <w:tr>
        <w:trPr>
          <w:trHeight w:val="245"/>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38,123</w:t>
            </w:r>
          </w:p>
        </w:tc>
        <w:tc>
          <w:tcPr>
            <w:tcW w:w="7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38,556</w:t>
            </w: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540" w:type="dxa"/>
            <w:vAlign w:val="bottom"/>
          </w:tcPr>
          <w:p>
            <w:pPr>
              <w:spacing w:after="0"/>
              <w:rPr>
                <w:sz w:val="20"/>
                <w:szCs w:val="20"/>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27,430</w:t>
            </w:r>
          </w:p>
        </w:tc>
        <w:tc>
          <w:tcPr>
            <w:tcW w:w="7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29,855</w:t>
            </w:r>
          </w:p>
        </w:tc>
        <w:tc>
          <w:tcPr>
            <w:tcW w:w="0" w:type="dxa"/>
            <w:vAlign w:val="bottom"/>
          </w:tcPr>
          <w:p>
            <w:pPr>
              <w:spacing w:after="0"/>
              <w:rPr>
                <w:sz w:val="1"/>
                <w:szCs w:val="1"/>
                <w:color w:val="auto"/>
              </w:rPr>
            </w:pPr>
          </w:p>
        </w:tc>
      </w:tr>
      <w:tr>
        <w:trPr>
          <w:trHeight w:val="245"/>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prepaid income taxes</w:t>
            </w: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54,111</w:t>
            </w:r>
          </w:p>
        </w:tc>
        <w:tc>
          <w:tcPr>
            <w:tcW w:w="7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tcPr>
          <w:p>
            <w:pPr>
              <w:spacing w:after="0"/>
              <w:rPr>
                <w:sz w:val="20"/>
                <w:szCs w:val="20"/>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28,563</w:t>
            </w:r>
          </w:p>
        </w:tc>
        <w:tc>
          <w:tcPr>
            <w:tcW w:w="7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30,806</w:t>
            </w:r>
          </w:p>
        </w:tc>
        <w:tc>
          <w:tcPr>
            <w:tcW w:w="7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22,327</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1,456,426</w:t>
            </w:r>
          </w:p>
        </w:tc>
        <w:tc>
          <w:tcPr>
            <w:tcW w:w="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1,562,099</w:t>
            </w:r>
          </w:p>
        </w:tc>
        <w:tc>
          <w:tcPr>
            <w:tcW w:w="0" w:type="dxa"/>
            <w:vAlign w:val="bottom"/>
          </w:tcPr>
          <w:p>
            <w:pPr>
              <w:spacing w:after="0"/>
              <w:rPr>
                <w:sz w:val="1"/>
                <w:szCs w:val="1"/>
                <w:color w:val="auto"/>
              </w:rPr>
            </w:pPr>
          </w:p>
        </w:tc>
      </w:tr>
      <w:tr>
        <w:trPr>
          <w:trHeight w:val="238"/>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4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144,998</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152,484</w:t>
            </w: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 operating lease liability</w:t>
            </w:r>
          </w:p>
        </w:tc>
        <w:tc>
          <w:tcPr>
            <w:tcW w:w="540" w:type="dxa"/>
            <w:vAlign w:val="bottom"/>
          </w:tcPr>
          <w:p>
            <w:pPr>
              <w:spacing w:after="0"/>
              <w:rPr>
                <w:sz w:val="20"/>
                <w:szCs w:val="20"/>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134,458</w:t>
            </w:r>
          </w:p>
        </w:tc>
        <w:tc>
          <w:tcPr>
            <w:tcW w:w="7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145,088</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81,327</w:t>
            </w:r>
          </w:p>
        </w:tc>
        <w:tc>
          <w:tcPr>
            <w:tcW w:w="7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134,156</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360,783</w:t>
            </w: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431,728</w:t>
            </w:r>
          </w:p>
        </w:tc>
        <w:tc>
          <w:tcPr>
            <w:tcW w:w="0" w:type="dxa"/>
            <w:vAlign w:val="bottom"/>
          </w:tcPr>
          <w:p>
            <w:pPr>
              <w:spacing w:after="0"/>
              <w:rPr>
                <w:sz w:val="1"/>
                <w:szCs w:val="1"/>
                <w:color w:val="auto"/>
              </w:rPr>
            </w:pPr>
          </w:p>
        </w:tc>
      </w:tr>
      <w:tr>
        <w:trPr>
          <w:trHeight w:val="238"/>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4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44,858</w:t>
            </w:r>
          </w:p>
        </w:tc>
        <w:tc>
          <w:tcPr>
            <w:tcW w:w="74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15,679</w:t>
            </w: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40" w:type="dxa"/>
            <w:vAlign w:val="bottom"/>
          </w:tcPr>
          <w:p>
            <w:pPr>
              <w:spacing w:after="0"/>
              <w:rPr>
                <w:sz w:val="20"/>
                <w:szCs w:val="20"/>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401,113</w:t>
            </w:r>
          </w:p>
        </w:tc>
        <w:tc>
          <w:tcPr>
            <w:tcW w:w="7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471,878</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42,706</w:t>
            </w:r>
          </w:p>
        </w:tc>
        <w:tc>
          <w:tcPr>
            <w:tcW w:w="7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40,346</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849,460</w:t>
            </w: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959,631</w:t>
            </w:r>
          </w:p>
        </w:tc>
        <w:tc>
          <w:tcPr>
            <w:tcW w:w="0" w:type="dxa"/>
            <w:vAlign w:val="bottom"/>
          </w:tcPr>
          <w:p>
            <w:pPr>
              <w:spacing w:after="0"/>
              <w:rPr>
                <w:sz w:val="1"/>
                <w:szCs w:val="1"/>
                <w:color w:val="auto"/>
              </w:rPr>
            </w:pPr>
          </w:p>
        </w:tc>
      </w:tr>
      <w:tr>
        <w:trPr>
          <w:trHeight w:val="238"/>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54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815</w:t>
            </w:r>
          </w:p>
        </w:tc>
        <w:tc>
          <w:tcPr>
            <w:tcW w:w="7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equity:</w:t>
            </w: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$1 par value:</w:t>
            </w: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Authorized: 80,000,000 shares</w:t>
            </w: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Issued common stock</w:t>
            </w: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13,089</w:t>
            </w:r>
          </w:p>
        </w:tc>
        <w:tc>
          <w:tcPr>
            <w:tcW w:w="7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14,256</w:t>
            </w:r>
          </w:p>
        </w:tc>
        <w:tc>
          <w:tcPr>
            <w:tcW w:w="0" w:type="dxa"/>
            <w:vAlign w:val="bottom"/>
          </w:tcPr>
          <w:p>
            <w:pPr>
              <w:spacing w:after="0"/>
              <w:rPr>
                <w:sz w:val="1"/>
                <w:szCs w:val="1"/>
                <w:color w:val="auto"/>
              </w:rPr>
            </w:pPr>
          </w:p>
        </w:tc>
      </w:tr>
      <w:tr>
        <w:trPr>
          <w:trHeight w:val="240"/>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tcPr>
          <w:p>
            <w:pPr>
              <w:spacing w:after="0"/>
              <w:rPr>
                <w:sz w:val="20"/>
                <w:szCs w:val="20"/>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305,260</w:t>
            </w:r>
          </w:p>
        </w:tc>
        <w:tc>
          <w:tcPr>
            <w:tcW w:w="7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291,444</w:t>
            </w:r>
          </w:p>
        </w:tc>
        <w:tc>
          <w:tcPr>
            <w:tcW w:w="0" w:type="dxa"/>
            <w:vAlign w:val="bottom"/>
          </w:tcPr>
          <w:p>
            <w:pPr>
              <w:spacing w:after="0"/>
              <w:rPr>
                <w:sz w:val="1"/>
                <w:szCs w:val="1"/>
                <w:color w:val="auto"/>
              </w:rPr>
            </w:pPr>
          </w:p>
        </w:tc>
      </w:tr>
      <w:tr>
        <w:trPr>
          <w:trHeight w:val="245"/>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346,870</w:t>
            </w:r>
          </w:p>
        </w:tc>
        <w:tc>
          <w:tcPr>
            <w:tcW w:w="7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350,206</w:t>
            </w:r>
          </w:p>
        </w:tc>
        <w:tc>
          <w:tcPr>
            <w:tcW w:w="0" w:type="dxa"/>
            <w:vAlign w:val="bottom"/>
          </w:tcPr>
          <w:p>
            <w:pPr>
              <w:spacing w:after="0"/>
              <w:rPr>
                <w:sz w:val="1"/>
                <w:szCs w:val="1"/>
                <w:color w:val="auto"/>
              </w:rPr>
            </w:pPr>
          </w:p>
        </w:tc>
      </w:tr>
      <w:tr>
        <w:trPr>
          <w:trHeight w:val="240"/>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4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(41,211 )</w:t>
            </w:r>
          </w:p>
        </w:tc>
        <w:tc>
          <w:tcPr>
            <w:tcW w:w="7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(36,408 )</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shares, at cost (488,464 shares)</w:t>
            </w:r>
          </w:p>
        </w:tc>
        <w:tc>
          <w:tcPr>
            <w:tcW w:w="5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(17,857 )</w:t>
            </w:r>
          </w:p>
        </w:tc>
        <w:tc>
          <w:tcPr>
            <w:tcW w:w="7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(17,857 )</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606,966</w:t>
            </w: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602,468</w:t>
            </w:r>
          </w:p>
        </w:tc>
        <w:tc>
          <w:tcPr>
            <w:tcW w:w="0" w:type="dxa"/>
            <w:vAlign w:val="bottom"/>
          </w:tcPr>
          <w:p>
            <w:pPr>
              <w:spacing w:after="0"/>
              <w:rPr>
                <w:sz w:val="1"/>
                <w:szCs w:val="1"/>
                <w:color w:val="auto"/>
              </w:rPr>
            </w:pPr>
          </w:p>
        </w:tc>
      </w:tr>
      <w:tr>
        <w:trPr>
          <w:trHeight w:val="276"/>
        </w:trPr>
        <w:tc>
          <w:tcPr>
            <w:tcW w:w="6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1,456,426</w:t>
            </w:r>
          </w:p>
        </w:tc>
        <w:tc>
          <w:tcPr>
            <w:tcW w:w="7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1,562,099</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4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8"/>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2,384,888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2,422,084</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1,786,530</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1,248,698</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1,240,948</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982,063</w:t>
            </w:r>
          </w:p>
        </w:tc>
        <w:tc>
          <w:tcPr>
            <w:tcW w:w="0" w:type="dxa"/>
            <w:vAlign w:val="bottom"/>
          </w:tcPr>
          <w:p>
            <w:pPr>
              <w:spacing w:after="0"/>
              <w:rPr>
                <w:sz w:val="1"/>
                <w:szCs w:val="1"/>
                <w:color w:val="auto"/>
              </w:rPr>
            </w:pPr>
          </w:p>
        </w:tc>
      </w:tr>
      <w:tr>
        <w:trPr>
          <w:trHeight w:val="238"/>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1,136,190</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1,181,136</w:t>
            </w: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804,467</w:t>
            </w:r>
          </w:p>
        </w:tc>
        <w:tc>
          <w:tcPr>
            <w:tcW w:w="0" w:type="dxa"/>
            <w:vAlign w:val="bottom"/>
          </w:tcPr>
          <w:p>
            <w:pPr>
              <w:spacing w:after="0"/>
              <w:rPr>
                <w:sz w:val="1"/>
                <w:szCs w:val="1"/>
                <w:color w:val="auto"/>
              </w:rPr>
            </w:pPr>
          </w:p>
        </w:tc>
      </w:tr>
      <w:tr>
        <w:trPr>
          <w:trHeight w:val="24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1,042,094</w:t>
            </w:r>
          </w:p>
        </w:tc>
        <w:tc>
          <w:tcPr>
            <w:tcW w:w="2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1,033,625</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813,775</w:t>
            </w:r>
          </w:p>
        </w:tc>
        <w:tc>
          <w:tcPr>
            <w:tcW w:w="0" w:type="dxa"/>
            <w:vAlign w:val="bottom"/>
          </w:tcPr>
          <w:p>
            <w:pPr>
              <w:spacing w:after="0"/>
              <w:rPr>
                <w:sz w:val="1"/>
                <w:szCs w:val="1"/>
                <w:color w:val="auto"/>
              </w:rPr>
            </w:pP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79,259</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 impairments and other, net</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855</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(8,056 )</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18,682</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93,241</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155,567</w:t>
            </w: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(107,249 )</w:t>
            </w:r>
          </w:p>
        </w:tc>
        <w:tc>
          <w:tcPr>
            <w:tcW w:w="0" w:type="dxa"/>
            <w:vAlign w:val="bottom"/>
          </w:tcPr>
          <w:p>
            <w:pPr>
              <w:spacing w:after="0"/>
              <w:rPr>
                <w:sz w:val="1"/>
                <w:szCs w:val="1"/>
                <w:color w:val="auto"/>
              </w:rPr>
            </w:pPr>
          </w:p>
        </w:tc>
      </w:tr>
      <w:tr>
        <w:trPr>
          <w:trHeight w:val="23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components of net periodic benefit cost (income)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248</w:t>
            </w:r>
          </w:p>
        </w:tc>
        <w:tc>
          <w:tcPr>
            <w:tcW w:w="2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0" w:type="dxa"/>
            <w:vAlign w:val="bottom"/>
          </w:tcPr>
          <w:p>
            <w:pPr>
              <w:spacing w:after="0"/>
              <w:rPr>
                <w:sz w:val="1"/>
                <w:szCs w:val="1"/>
                <w:color w:val="auto"/>
              </w:rPr>
            </w:pPr>
          </w:p>
        </w:tc>
      </w:tr>
      <w:tr>
        <w:trPr>
          <w:trHeight w:val="213"/>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$0.3 million, $0.6 million and $0.3 million for</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2,920</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2023, 2022 and 2021, respectively)</w:t>
            </w:r>
          </w:p>
        </w:tc>
        <w:tc>
          <w:tcPr>
            <w:tcW w:w="1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2,448</w:t>
            </w: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4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90,073</w:t>
            </w:r>
          </w:p>
        </w:tc>
        <w:tc>
          <w:tcPr>
            <w:tcW w:w="2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152,991</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(111,669 )</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17,831</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38,044</w:t>
            </w: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(55,641 )</w:t>
            </w:r>
          </w:p>
        </w:tc>
        <w:tc>
          <w:tcPr>
            <w:tcW w:w="0" w:type="dxa"/>
            <w:vAlign w:val="bottom"/>
          </w:tcPr>
          <w:p>
            <w:pPr>
              <w:spacing w:after="0"/>
              <w:rPr>
                <w:sz w:val="1"/>
                <w:szCs w:val="1"/>
                <w:color w:val="auto"/>
              </w:rPr>
            </w:pPr>
          </w:p>
        </w:tc>
      </w:tr>
      <w:tr>
        <w:trPr>
          <w:trHeight w:val="23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72,242</w:t>
            </w:r>
          </w:p>
        </w:tc>
        <w:tc>
          <w:tcPr>
            <w:tcW w:w="2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114,947</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(56,028 )</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(327 )</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(97 )</w:t>
            </w: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5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71,915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114,850</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(56,429 )</w:t>
            </w:r>
          </w:p>
        </w:tc>
        <w:tc>
          <w:tcPr>
            <w:tcW w:w="0" w:type="dxa"/>
            <w:vAlign w:val="bottom"/>
          </w:tcPr>
          <w:p>
            <w:pPr>
              <w:spacing w:after="0"/>
              <w:rPr>
                <w:sz w:val="1"/>
                <w:szCs w:val="1"/>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8.11</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(0.03 )</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76"/>
        </w:trPr>
        <w:tc>
          <w:tcPr>
            <w:tcW w:w="64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50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8.11</w:t>
            </w:r>
          </w:p>
        </w:tc>
        <w:tc>
          <w:tcPr>
            <w:tcW w:w="4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461"/>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7.92</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(0.03 )</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76"/>
        </w:trPr>
        <w:tc>
          <w:tcPr>
            <w:tcW w:w="64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50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7.92</w:t>
            </w:r>
          </w:p>
        </w:tc>
        <w:tc>
          <w:tcPr>
            <w:tcW w:w="4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461"/>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12,457</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14,170</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14,216</w:t>
            </w:r>
          </w:p>
        </w:tc>
        <w:tc>
          <w:tcPr>
            <w:tcW w:w="0" w:type="dxa"/>
            <w:vAlign w:val="bottom"/>
          </w:tcPr>
          <w:p>
            <w:pPr>
              <w:spacing w:after="0"/>
              <w:rPr>
                <w:sz w:val="1"/>
                <w:szCs w:val="1"/>
                <w:color w:val="auto"/>
              </w:rPr>
            </w:pPr>
          </w:p>
        </w:tc>
      </w:tr>
      <w:tr>
        <w:trPr>
          <w:trHeight w:val="238"/>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12,707</w:t>
            </w:r>
          </w:p>
        </w:tc>
        <w:tc>
          <w:tcPr>
            <w:tcW w:w="2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14,509</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as noted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62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71,915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114,850</w:t>
            </w:r>
          </w:p>
        </w:tc>
        <w:tc>
          <w:tcPr>
            <w:tcW w:w="5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(56,429 )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Postretirement liability adjustment net of tax of $0.1 million, $0.3 million and</w:t>
            </w:r>
          </w:p>
        </w:tc>
        <w:tc>
          <w:tcPr>
            <w:tcW w:w="46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340</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$0.1 million for 2023, 2022 and 2021, respectively</w:t>
            </w:r>
          </w:p>
        </w:tc>
        <w:tc>
          <w:tcPr>
            <w:tcW w:w="460" w:type="dxa"/>
            <w:vAlign w:val="bottom"/>
            <w:shd w:val="clear" w:color="auto" w:fill="CFF0FC"/>
          </w:tcPr>
          <w:p>
            <w:pPr>
              <w:spacing w:after="0"/>
              <w:rPr>
                <w:sz w:val="21"/>
                <w:szCs w:val="21"/>
                <w:color w:val="auto"/>
              </w:rPr>
            </w:pPr>
          </w:p>
        </w:tc>
        <w:tc>
          <w:tcPr>
            <w:tcW w:w="1060" w:type="dxa"/>
            <w:vAlign w:val="bottom"/>
            <w:vMerge w:val="continue"/>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(735 )</w:t>
            </w:r>
          </w:p>
        </w:tc>
        <w:tc>
          <w:tcPr>
            <w:tcW w:w="5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0"/>
        </w:trPr>
        <w:tc>
          <w:tcPr>
            <w:tcW w:w="6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(5,143 )</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(613 )</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(3,705 )</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4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(4,803 )</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(1,348 )</w:t>
            </w:r>
          </w:p>
        </w:tc>
        <w:tc>
          <w:tcPr>
            <w:tcW w:w="5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(3,391 )</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67,112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113,502</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(59,820 )</w:t>
            </w:r>
          </w:p>
        </w:tc>
        <w:tc>
          <w:tcPr>
            <w:tcW w:w="0" w:type="dxa"/>
            <w:vAlign w:val="bottom"/>
          </w:tcPr>
          <w:p>
            <w:pPr>
              <w:spacing w:after="0"/>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6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r>
      <w:tr>
        <w:trPr>
          <w:trHeight w:val="155"/>
        </w:trPr>
        <w:tc>
          <w:tcPr>
            <w:tcW w:w="60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2022</w:t>
            </w: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2021</w:t>
            </w:r>
          </w:p>
        </w:tc>
      </w:tr>
      <w:tr>
        <w:trPr>
          <w:trHeight w:val="155"/>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6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2"/>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earnings (loss)</w:t>
            </w:r>
          </w:p>
        </w:tc>
        <w:tc>
          <w:tcPr>
            <w:tcW w:w="6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71,915</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114,850</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(56,429 )</w:t>
            </w:r>
          </w:p>
        </w:tc>
      </w:tr>
      <w:tr>
        <w:trPr>
          <w:trHeight w:val="130"/>
        </w:trPr>
        <w:tc>
          <w:tcPr>
            <w:tcW w:w="606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Adjustments to reconcile net earnings (loss) to net cash provided by (used in) operating</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67"/>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activities: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2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42,818</w:t>
            </w:r>
          </w:p>
        </w:tc>
        <w:tc>
          <w:tcPr>
            <w:tcW w:w="32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42,969</w:t>
            </w:r>
          </w:p>
        </w:tc>
        <w:tc>
          <w:tcPr>
            <w:tcW w:w="6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46,499</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(26,394 )</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(18,710 )</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39,142</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Impairment of intangible assets</w:t>
            </w:r>
          </w:p>
        </w:tc>
        <w:tc>
          <w:tcPr>
            <w:tcW w:w="62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84,519</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1,550</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2,049</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13,871</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2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14,017</w:t>
            </w:r>
          </w:p>
        </w:tc>
        <w:tc>
          <w:tcPr>
            <w:tcW w:w="32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9,132</w:t>
            </w:r>
          </w:p>
        </w:tc>
        <w:tc>
          <w:tcPr>
            <w:tcW w:w="6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8,460</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Provision for discontinued operations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440</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132</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345</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sale of assets</w:t>
            </w:r>
          </w:p>
        </w:tc>
        <w:tc>
          <w:tcPr>
            <w:tcW w:w="62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159</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(19,140 )</w:t>
            </w:r>
          </w:p>
        </w:tc>
        <w:tc>
          <w:tcPr>
            <w:tcW w:w="6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225</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766</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3,916</w:t>
            </w:r>
          </w:p>
        </w:tc>
      </w:tr>
      <w:tr>
        <w:trPr>
          <w:trHeight w:val="130"/>
        </w:trPr>
        <w:tc>
          <w:tcPr>
            <w:tcW w:w="60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Changes in working capital and other assets and liabilities, net of</w:t>
            </w: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5"/>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acquisitions/dispositions: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receivable</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(1,082 )</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(8,280 )</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(4,159 )</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Inventories</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(183,583 )</w:t>
            </w:r>
          </w:p>
        </w:tc>
        <w:tc>
          <w:tcPr>
            <w:tcW w:w="32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10,829</w:t>
            </w:r>
          </w:p>
        </w:tc>
        <w:tc>
          <w:tcPr>
            <w:tcW w:w="6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76,525</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Prepaids and other current assets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45,386</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58,388</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(97,842 )</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(11,839 )</w:t>
            </w:r>
          </w:p>
        </w:tc>
        <w:tc>
          <w:tcPr>
            <w:tcW w:w="32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3,763</w:t>
            </w:r>
          </w:p>
        </w:tc>
        <w:tc>
          <w:tcPr>
            <w:tcW w:w="6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29,631</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(49,276 )</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50,927</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(7,732 )</w:t>
            </w:r>
          </w:p>
        </w:tc>
      </w:tr>
      <w:tr>
        <w:trPr>
          <w:trHeight w:val="162"/>
        </w:trPr>
        <w:tc>
          <w:tcPr>
            <w:tcW w:w="6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(69,220 )</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(7,805 )</w:t>
            </w: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20,995</w:t>
            </w:r>
          </w:p>
        </w:tc>
      </w:tr>
      <w:tr>
        <w:trPr>
          <w:trHeight w:val="155"/>
        </w:trPr>
        <w:tc>
          <w:tcPr>
            <w:tcW w:w="6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62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(164,884 )</w:t>
            </w:r>
          </w:p>
        </w:tc>
        <w:tc>
          <w:tcPr>
            <w:tcW w:w="32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239,870</w:t>
            </w:r>
          </w:p>
        </w:tc>
        <w:tc>
          <w:tcPr>
            <w:tcW w:w="6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157,741</w:t>
            </w:r>
          </w:p>
        </w:tc>
      </w:tr>
      <w:tr>
        <w:trPr>
          <w:trHeight w:val="155"/>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Capital expenditures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(59,934 )</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(53,905 )</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(24,130 )</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62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74</w:t>
            </w:r>
          </w:p>
        </w:tc>
        <w:tc>
          <w:tcPr>
            <w:tcW w:w="6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Proceeds from asset sales</w:t>
            </w: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20,013</w:t>
            </w: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110</w:t>
            </w:r>
          </w:p>
        </w:tc>
      </w:tr>
      <w:tr>
        <w:trPr>
          <w:trHeight w:val="155"/>
        </w:trPr>
        <w:tc>
          <w:tcPr>
            <w:tcW w:w="6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62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(59,934 )</w:t>
            </w:r>
          </w:p>
        </w:tc>
        <w:tc>
          <w:tcPr>
            <w:tcW w:w="32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(33,898 )</w:t>
            </w:r>
          </w:p>
        </w:tc>
        <w:tc>
          <w:tcPr>
            <w:tcW w:w="6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(24,020 )</w:t>
            </w:r>
          </w:p>
        </w:tc>
      </w:tr>
      <w:tr>
        <w:trPr>
          <w:trHeight w:val="155"/>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Borrowings under revolving credit facility</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338,818</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29,283</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221,310</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(308,768 )</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(46,516 )</w:t>
            </w:r>
          </w:p>
        </w:tc>
        <w:tc>
          <w:tcPr>
            <w:tcW w:w="6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(205,327 )</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Shares repurchased related to share repurchase plan</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(77,470 )</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(78,068 )</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Shares repurchased related to taxes for share-based awards</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(3,942 )</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(4,076 )</w:t>
            </w:r>
          </w:p>
        </w:tc>
        <w:tc>
          <w:tcPr>
            <w:tcW w:w="6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(1,223 )</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overdraft balances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5,976</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(516 )</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(16,573 )</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Additions to deferred financing costs</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(144 )</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(1,276 )</w:t>
            </w:r>
          </w:p>
        </w:tc>
        <w:tc>
          <w:tcPr>
            <w:tcW w:w="6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(1,350 )</w:t>
            </w:r>
          </w:p>
        </w:tc>
      </w:tr>
      <w:tr>
        <w:trPr>
          <w:trHeight w:val="162"/>
        </w:trPr>
        <w:tc>
          <w:tcPr>
            <w:tcW w:w="60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6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55"/>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(45,530 )</w:t>
            </w: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(101,169 )</w:t>
            </w: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(3,164 )</w:t>
            </w:r>
          </w:p>
        </w:tc>
      </w:tr>
      <w:tr>
        <w:trPr>
          <w:trHeight w:val="155"/>
        </w:trPr>
        <w:tc>
          <w:tcPr>
            <w:tcW w:w="6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 fluctuations on cash</w:t>
            </w:r>
          </w:p>
        </w:tc>
        <w:tc>
          <w:tcPr>
            <w:tcW w:w="62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(2,187 )</w:t>
            </w:r>
          </w:p>
        </w:tc>
        <w:tc>
          <w:tcPr>
            <w:tcW w:w="32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631</w:t>
            </w:r>
          </w:p>
        </w:tc>
        <w:tc>
          <w:tcPr>
            <w:tcW w:w="6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3,116</w:t>
            </w:r>
          </w:p>
        </w:tc>
      </w:tr>
      <w:tr>
        <w:trPr>
          <w:trHeight w:val="155"/>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w:t>
            </w:r>
          </w:p>
        </w:tc>
        <w:tc>
          <w:tcPr>
            <w:tcW w:w="6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(272,535 )</w:t>
            </w:r>
          </w:p>
        </w:tc>
        <w:tc>
          <w:tcPr>
            <w:tcW w:w="320" w:type="dxa"/>
            <w:vAlign w:val="bottom"/>
          </w:tcPr>
          <w:p>
            <w:pPr>
              <w:spacing w:after="0"/>
              <w:rPr>
                <w:sz w:val="13"/>
                <w:szCs w:val="13"/>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105,434</w:t>
            </w:r>
          </w:p>
        </w:tc>
        <w:tc>
          <w:tcPr>
            <w:tcW w:w="64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133,673</w:t>
            </w:r>
          </w:p>
        </w:tc>
      </w:tr>
      <w:tr>
        <w:trPr>
          <w:trHeight w:val="162"/>
        </w:trPr>
        <w:tc>
          <w:tcPr>
            <w:tcW w:w="6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at beginning of year</w:t>
            </w:r>
          </w:p>
        </w:tc>
        <w:tc>
          <w:tcPr>
            <w:tcW w:w="6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320,525</w:t>
            </w:r>
          </w:p>
        </w:tc>
        <w:tc>
          <w:tcPr>
            <w:tcW w:w="32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215,091</w:t>
            </w:r>
          </w:p>
        </w:tc>
        <w:tc>
          <w:tcPr>
            <w:tcW w:w="6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81,418</w:t>
            </w:r>
          </w:p>
        </w:tc>
      </w:tr>
      <w:tr>
        <w:trPr>
          <w:trHeight w:val="155"/>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at end of year</w:t>
            </w:r>
          </w:p>
        </w:tc>
        <w:tc>
          <w:tcPr>
            <w:tcW w:w="6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47,990</w:t>
            </w: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320,525</w:t>
            </w:r>
          </w:p>
        </w:tc>
        <w:tc>
          <w:tcPr>
            <w:tcW w:w="6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215,091</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2"/>
        </w:trPr>
        <w:tc>
          <w:tcPr>
            <w:tcW w:w="606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Supplemental information:</w:t>
            </w:r>
          </w:p>
        </w:tc>
        <w:tc>
          <w:tcPr>
            <w:tcW w:w="6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paid</w:t>
            </w:r>
          </w:p>
        </w:tc>
        <w:tc>
          <w:tcPr>
            <w:tcW w:w="6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2,742</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2,331</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4,386</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Income taxes paid (refunded)</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50,562</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(178 )</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7,685</w:t>
            </w:r>
          </w:p>
        </w:tc>
      </w:tr>
      <w:tr>
        <w:trPr>
          <w:trHeight w:val="162"/>
        </w:trPr>
        <w:tc>
          <w:tcPr>
            <w:tcW w:w="6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Cash paid for amounts included in measurement of operating lease liabilities</w:t>
            </w:r>
          </w:p>
        </w:tc>
        <w:tc>
          <w:tcPr>
            <w:tcW w:w="62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180,042</w:t>
            </w:r>
          </w:p>
        </w:tc>
        <w:tc>
          <w:tcPr>
            <w:tcW w:w="32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193,661</w:t>
            </w:r>
          </w:p>
        </w:tc>
        <w:tc>
          <w:tcPr>
            <w:tcW w:w="6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142,908</w:t>
            </w:r>
          </w:p>
        </w:tc>
      </w:tr>
      <w:tr>
        <w:trPr>
          <w:trHeight w:val="162"/>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Operating leased assets obtained in exchange for new operating lease liabilities</w:t>
            </w:r>
          </w:p>
        </w:tc>
        <w:tc>
          <w:tcPr>
            <w:tcW w:w="6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93,068</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80,378</w:t>
            </w:r>
          </w:p>
        </w:tc>
        <w:tc>
          <w:tcPr>
            <w:tcW w:w="6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38,731</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48"/>
              <w:spacing w:after="0" w:line="151"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2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0" w:type="dxa"/>
            <w:vAlign w:val="bottom"/>
          </w:tcPr>
          <w:p>
            <w:pPr>
              <w:spacing w:after="0"/>
              <w:rPr>
                <w:sz w:val="12"/>
                <w:szCs w:val="12"/>
                <w:color w:val="auto"/>
              </w:rPr>
            </w:pPr>
          </w:p>
        </w:tc>
        <w:tc>
          <w:tcPr>
            <w:tcW w:w="10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4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February 1, 2020</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1,009</w:t>
            </w:r>
          </w:p>
        </w:tc>
        <w:tc>
          <w:tcPr>
            <w:tcW w:w="2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15,186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274,101</w:t>
            </w:r>
          </w:p>
        </w:tc>
        <w:tc>
          <w:tcPr>
            <w:tcW w:w="2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378,572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(31,668 ) $</w:t>
            </w:r>
          </w:p>
        </w:tc>
        <w:tc>
          <w:tcPr>
            <w:tcW w:w="1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(17,857 ) $</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619,343</w:t>
            </w: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(56,429 )</w:t>
            </w:r>
          </w:p>
        </w:tc>
        <w:tc>
          <w:tcPr>
            <w:tcW w:w="1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(56,429 )</w:t>
            </w: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(3,391 )</w:t>
            </w:r>
          </w:p>
        </w:tc>
        <w:tc>
          <w:tcPr>
            <w:tcW w:w="120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(3,391 )</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8,460</w:t>
            </w:r>
          </w:p>
        </w:tc>
        <w:tc>
          <w:tcPr>
            <w:tcW w:w="2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467</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(1,223 )</w:t>
            </w:r>
          </w:p>
        </w:tc>
        <w:tc>
          <w:tcPr>
            <w:tcW w:w="140" w:type="dxa"/>
            <w:vAlign w:val="bottom"/>
          </w:tcPr>
          <w:p>
            <w:pPr>
              <w:spacing w:after="0"/>
              <w:rPr>
                <w:sz w:val="15"/>
                <w:szCs w:val="15"/>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(1,223 )</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149</w:t>
            </w: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January 30, 2021</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1,009</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15,438</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282,308</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320,920</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(35,059 )</w:t>
            </w:r>
          </w:p>
        </w:tc>
        <w:tc>
          <w:tcPr>
            <w:tcW w:w="12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(17,857 )</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566,759</w:t>
            </w:r>
          </w:p>
        </w:tc>
        <w:tc>
          <w:tcPr>
            <w:tcW w:w="0" w:type="dxa"/>
            <w:vAlign w:val="bottom"/>
          </w:tcPr>
          <w:p>
            <w:pPr>
              <w:spacing w:after="0"/>
              <w:rPr>
                <w:sz w:val="1"/>
                <w:szCs w:val="1"/>
                <w:color w:val="auto"/>
              </w:rPr>
            </w:pPr>
          </w:p>
        </w:tc>
      </w:tr>
      <w:tr>
        <w:trPr>
          <w:trHeight w:val="16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114,850</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114,850</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(1,348 )</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(1,348 )</w:t>
            </w: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9,132</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9,132</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2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(4,076 )</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(4,076 )</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(1,361 )</w:t>
            </w:r>
          </w:p>
        </w:tc>
        <w:tc>
          <w:tcPr>
            <w:tcW w:w="1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(81,488 )</w:t>
            </w:r>
          </w:p>
        </w:tc>
        <w:tc>
          <w:tcPr>
            <w:tcW w:w="140" w:type="dxa"/>
            <w:vAlign w:val="bottom"/>
          </w:tcPr>
          <w:p>
            <w:pPr>
              <w:spacing w:after="0"/>
              <w:rPr>
                <w:sz w:val="15"/>
                <w:szCs w:val="15"/>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(82,849 )</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2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(1 )</w:t>
            </w:r>
          </w:p>
        </w:tc>
        <w:tc>
          <w:tcPr>
            <w:tcW w:w="1200" w:type="dxa"/>
            <w:vAlign w:val="bottom"/>
            <w:tcBorders>
              <w:bottom w:val="single" w:sz="8" w:color="auto"/>
            </w:tcBorders>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January 29, 2022</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827</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14,256</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291,444</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350,206</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(36,408 )</w:t>
            </w:r>
          </w:p>
        </w:tc>
        <w:tc>
          <w:tcPr>
            <w:tcW w:w="12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(17,857 )</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602,468</w:t>
            </w:r>
          </w:p>
        </w:tc>
        <w:tc>
          <w:tcPr>
            <w:tcW w:w="0" w:type="dxa"/>
            <w:vAlign w:val="bottom"/>
          </w:tcPr>
          <w:p>
            <w:pPr>
              <w:spacing w:after="0"/>
              <w:rPr>
                <w:sz w:val="1"/>
                <w:szCs w:val="1"/>
                <w:color w:val="auto"/>
              </w:rPr>
            </w:pPr>
          </w:p>
        </w:tc>
      </w:tr>
      <w:tr>
        <w:trPr>
          <w:trHeight w:val="16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71,915</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71,915</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(4,803 )</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(4,803 )</w:t>
            </w: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14,017</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14,017</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2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(3,942 )</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(3,942 )</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(1,380 )</w:t>
            </w:r>
          </w:p>
        </w:tc>
        <w:tc>
          <w:tcPr>
            <w:tcW w:w="1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(71,309 )</w:t>
            </w:r>
          </w:p>
        </w:tc>
        <w:tc>
          <w:tcPr>
            <w:tcW w:w="140" w:type="dxa"/>
            <w:vAlign w:val="bottom"/>
          </w:tcPr>
          <w:p>
            <w:pPr>
              <w:spacing w:after="0"/>
              <w:rPr>
                <w:sz w:val="15"/>
                <w:szCs w:val="15"/>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(72,689 )</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2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28, 2023</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815</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13,089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305,260</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346,870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(41,211 ) $</w:t>
            </w: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(17,857 ) $</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606,966</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Genesco Inc. and its subsidiaries business includes the sourcing and design, marketing and distribution of footwear, apparel and accessories through retail stores in the U.S., Puerto Rico and Canada primarily under the Journeys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Little Burgundy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banners and under the Schuh banner in the U.K. and the ROI; through catalogs and e-commerce websites including the following: journeys.com, journeyskidz.com, journeys.ca, schuh.co.uk, schuh.ie, schuh.eu, littleburgundyshoes.com, johnstonmurphy.com, johnstonmurphy.ca, nashvilleshoewarehouse.com and dockersshoes.com and at wholesale, primarily under our Johnston &amp; Murphy brand,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G.H. Bass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other brands that we license for footwear. At January 28, 2023, we operated 1,410 retail stores in the U.S., Puerto Rico, Canada, the U.K. and the ROI.</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2023, we operated four 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Genesco Brands Group, formerly Licensed Brands, comprised of the licensed Dockers, Levi's, and G.H. Bass brands, as well as other brands we license for footwear.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subsidiaries are consolidated in our Consolidated Financial Statements. All significant intercompany transactions and accounts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fiscal year ends on the Saturday closest to January 31. As a result, Fiscal 2023, 2022 and 2021 were all 52-week years with 364 days. Fiscal 2023 ended on January 28, 2023, Fiscal 2022 ended on January 29, 2022 and Fiscal 2021 ended on January 30, 2021. Fiscal 2024 will be a 53-week year ending on February 3,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foreign subsidiaries held cash of approximately $35.9 million and $39.7 million as of January 28, 2023 and January 29, 2022, respectively, which is included in cash on the Consolidated Balance Sheets. Our strategic plan does not require the repatriation of foreign cash in order to fund our operations in the U.S., and it is our current intention to indefinitely reinvest our foreign cash outside of the U.S. If we were to repatriate foreign cash to the U.S., we would be required to accrue and pay U.S. taxes in accordance with applicable U.S. tax rules and regulations as a result of the repatriation.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At January 28, 2023 and January 29, 2022, outstanding checks drawn on zero-balance accounts at certain domestic banks exceeded book cash balances at those banks by approximately $6.0 million and $0.0 million, respectively. These amounts are included in accounts payable in our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Allowances on Accounts Receivable</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wholesale businesses, one customer accounted for 25%, one customer accounted for 18% and one customer accounted for 7% of our total trade receivables balance, while no other customer accounted for more than 6% of our total trade receivables balance as of January 28, 2023.</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establish an allowance for doubtful accounts based upon factors surrounding the credit risk of specific customers, historical trends and other information, as well as customer specific factors. We also establish allowances for sales returns, customer deductions and co-op advertising based on specific circumstances, historical trends and projected probable outcomes.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or amortized over the estimated useful life of related assets. Depreciation and amortization expense are computed principally by the straight-line method over the following estimated useful lives: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building equipment</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 years</w:t>
            </w:r>
          </w:p>
        </w:tc>
      </w:tr>
      <w:tr>
        <w:trPr>
          <w:trHeight w:val="23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software and equipment</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approximately $42.3 million, $42.4 million and $45.6 million for Fiscal 2023, 2022 and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lease assets and corresponding lease liabilities for all operating leases on the Consolidated Balance Sheets as described under ASC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3%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Operating lease assets represent our right to use an underlying asset and are based upon the operating lease liabilities adjusted for prepayments or accrued lease payments, initial direct costs, lease incentives, and impairment, if any, of operating lease assets. We test right-of-use assets for impairment in the same manner as long-lived assets.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lease costs are included within selling and administrative expenses on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 asset retirement obligation represents a legal obligation associated with the retirement of a tangible long-lived asset that is incurred upon the acquisition, construction, development, or normal operation of that long-lived asset. Our asset retirement obligations are primarily associated with leasehold improvements that we are contractually obligated to remove at the end of a lease to comply with the lease agreement. We recognize asset retirement obligations at the inception of a lease with such conditions if a reasonable estimate of fair value can be made. Asset retirement obligations are recorded in other long-term liabilities in our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1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Consolidated Balance Sheets include asset retirement obligations related to leases of $10.8 million and $11.5 million as of January 28, 2023 and January 29, 2022,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 financial asset or liability’s classification within the hierarchy is determined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exclude sales and value added tax collected on behalf of third parties from transaction price.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Consolidated Balance Sheets include an accrued liability for gift cards of $6.0 million and $6.3 million as of January 28, 2023 and January 29, 2022, respectively. Gift card breakage recognized as revenue was $1.0 million, $1.0 million and $0.8 million for Fiscal 2023, 2022 and 2021, respectively. During Fiscal 2023, we recognized $4.1 million of gift card redemptions and gift card breakage revenue that were included in the gift card liability as of January 29,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our retail operations, the cost of sales includes actual product cost, the cost of transportation to our warehouses from suppliers, the cost of transportation from our warehouses to the stores and the cost of transportation from our warehouses to the customer. Additionally, the cost of our distribution facilities allocated to our retail operations is included in cost of sales.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ind w:right="120"/>
        <w:spacing w:after="0" w:line="453" w:lineRule="auto"/>
        <w:rPr>
          <w:sz w:val="20"/>
          <w:szCs w:val="20"/>
          <w:color w:val="auto"/>
        </w:rPr>
      </w:pPr>
      <w:r>
        <w:rPr>
          <w:rFonts w:ascii="Times New Roman" w:cs="Times New Roman" w:eastAsia="Times New Roman" w:hAnsi="Times New Roman"/>
          <w:sz w:val="18"/>
          <w:szCs w:val="18"/>
          <w:color w:val="auto"/>
        </w:rPr>
        <w:t xml:space="preserve">For our wholesale operations, the cost of sales includes the actual product cost and the cost of transportation to the Company’s warehouses from suppliers. </w:t>
      </w:r>
      <w:r>
        <w:rPr>
          <w:rFonts w:ascii="Times New Roman" w:cs="Times New Roman" w:eastAsia="Times New Roman" w:hAnsi="Times New Roman"/>
          <w:sz w:val="18"/>
          <w:szCs w:val="18"/>
          <w:b w:val="1"/>
          <w:bCs w:val="1"/>
          <w:i w:val="1"/>
          <w:iCs w:val="1"/>
          <w:color w:val="auto"/>
        </w:rPr>
        <w:t>Selling and Administrative Expenses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include all operating costs excluding (i) those related to the transportation of products from the supplier to the warehouse, (ii) for our retail operations, those related to the transportation of products from the warehouse to the store and from the warehouse to the customer and (iii) costs of our distribution facilities which are allocated to our retail operations. Wholesale costs of distribution are included in selling and administrative expenses on our Consolidated Statements of Operations in the amounts of $12.4 million, $12.8 million and $10.1 million for Fiscal 2023, 2022 and 2021, respectively.</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record buying, merchandising and occupancy costs in selling and administrative expense. Because we do not include these costs in cost of sales, our gross margin may not be comparable to other retailers that include these costs in the calculation of gross margin. Retail occupancy costs recorded in selling and administrative expense were $307.5 million, $299.6 million and $269.8 million for Fiscal 2023, 2022 and 2021,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in our Consolidated Statements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Advertising costs are predominantly expensed as incurred. Advertising costs were $118.5 million, $106.4 million and $80.1 million for Fiscal 2023, 2022 and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to Resellers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our wholesale businesses, we do not have any written buy-down programs with retailers, but we have provided certain retailers with markdown allowances for obsolete and slow-moving products that are in the retailer’s inventory. We estimate these allowances and provide for 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Cooperative Advertising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Cooperative advertising funds are made available to most of our wholesale footwear customers. In order for retailers to receive reimbursement under such programs, the retailer must meet specified advertising guidelines and provide appropriate documentation of expenses to be reimbursed. Our cooperative advertising agreements require that wholesale customers present documentation or other evidence of specific advertisements or display materials used for our products by submitting the actual print advertisements presented in catalogs, newspaper inserts or other advertising circulars, or by permitting physical inspection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of displays. Additionally, our cooperative advertising agreements require that the amount of reimbursement requested for such advertising or materials be supported by invoices or other evidence of the actual costs incurred by the retailer.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we negotiate allowances from our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support from some of our vendors in the form of reimbursements for cooperative advertising and catalog costs for the launch and promotion of certain products. The reimbursements are agreed upon with vendors and represent specific, incremental, identifiable costs incurred by us to sell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Vendor reimbursements of cooperative advertising costs recognized as a reduction of selling and administrative expenses were $16.3 million, $10.7 million and $6.2 million for Fiscal 2023, 2022 and 2021, respectively. During Fiscal 2023, 2022 and 2021, our vendor reimbursements of cooperative advertising received were not in excess of the costs incurred.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of our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certain foreign currency transactions were not material for Fiscal 2023, 2022 and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result of the Togast acquisition, we have a commitment to Samsung C&amp;T America, Inc. (“Samsung”) related to the ultimate sale and valuation of related inventories owned by Samsung. If the product is sold below Samsung’s cost, we are committed to Samsung for the difference between the sales price and its cost. At January 28, 2023, the related inventory owned by Samsung had a historical cost of $17.5 million. As of January 28, 2023, we believe that we have appropriately accounted for any differences between the fair value of the Samsung inventory and Samsung’s historical cost.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New pronouncements adopted or issued but not effective until after January 28, 2023, are not expected to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8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Genesco</w:t>
            </w:r>
          </w:p>
        </w:tc>
        <w:tc>
          <w:tcPr>
            <w:tcW w:w="4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16"/>
        </w:trPr>
        <w:tc>
          <w:tcPr>
            <w:tcW w:w="4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Journeys</w:t>
            </w:r>
          </w:p>
        </w:tc>
        <w:tc>
          <w:tcPr>
            <w:tcW w:w="4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Brands</w:t>
            </w:r>
          </w:p>
        </w:tc>
        <w:tc>
          <w:tcPr>
            <w:tcW w:w="4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r>
      <w:tr>
        <w:trPr>
          <w:trHeight w:val="241"/>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Group</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Group</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Goodwill</w:t>
            </w:r>
          </w:p>
        </w:tc>
      </w:tr>
      <w:tr>
        <w:trPr>
          <w:trHeight w:val="24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29, 2022</w:t>
            </w:r>
          </w:p>
        </w:tc>
        <w:tc>
          <w:tcPr>
            <w:tcW w:w="21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10,087</w:t>
            </w:r>
          </w:p>
        </w:tc>
        <w:tc>
          <w:tcPr>
            <w:tcW w:w="4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28,469</w:t>
            </w:r>
          </w:p>
        </w:tc>
        <w:tc>
          <w:tcPr>
            <w:tcW w:w="4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38,556</w:t>
            </w:r>
          </w:p>
        </w:tc>
      </w:tr>
      <w:tr>
        <w:trPr>
          <w:trHeight w:val="238"/>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2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(425 )</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38"/>
        </w:trPr>
        <w:tc>
          <w:tcPr>
            <w:tcW w:w="47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218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9,662</w:t>
            </w:r>
          </w:p>
        </w:tc>
        <w:tc>
          <w:tcPr>
            <w:tcW w:w="48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28,461</w:t>
            </w:r>
          </w:p>
        </w:tc>
        <w:tc>
          <w:tcPr>
            <w:tcW w:w="4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38,123</w:t>
            </w: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Valuation (Genesco Brands Group)</w:t>
      </w:r>
    </w:p>
    <w:p>
      <w:pPr>
        <w:spacing w:after="0" w:line="4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required under ASC 350, we annually assess our goodwill and indefinite lived trade names for impairment and on an interim basis if indicators of impairment are present. Our annual assessment date of goodwill and indefinite lived trade names is the first day of the fourth quarter. In accordance with ASC 350, when indicators of impairment are present on an interim basis, we must assess whether it is “more likely than not” (i.e., a greater than 50% chance) that an impairment has occurred. In our annual evaluation of goodwill, we determined that the fair value of the Togast reporting unit (related to the Genesco Brands Group operating segment) exceeded the carrying value of the reporting unit’s assets by 9%. Our analyses included preparing an income approach and a market approach model. The fair value estimates under the income approach are sensitive to significant assumptions required to develop prospective financial information related to growth rates in sales, costs, and estimates of future expected changes in operating margins. Other significant assumptions relate to estimating the weighted average cost of capital utilized for discounting cash flow estimates and terminal period growth rates. These significant assumptions are affected by expectations about future market or economic conditions. The market approach model considers valuations of comparable companies as an input in the determination of the value of the reporting unit. Based upon the results of these analyses, we concluded that an impairment had not occurred. The analyses are not sensitive to 100 basis point changes in the estimated discount rate or income assumptions. However, further downward revisions of long-term performance assumptions, decreases in our stock price or increases in the assumed long-term discount rate could represent additional indicators of impairment which could result in impairment charges in the future.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 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Valuation (Schuh Group)</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2021, we identified qualitative indicators of impairment, including a significant decline in our stock price and market capitalization resulting from the COVID-19 pandemic, since the last consideration of indicators of impairment in the fourth quarter of Fiscal 2020 for our Schuh Group reporting unit. When indicators of impairment are present on an interim basis, we must assess whether it is “more likely than not” (i.e., a greater than 50% chance) that an impairment has occurred. Due to the identified indicators of impairment in the first quarter of Fiscal 2021, we determined that it was “more likely than not” that an impairment had occurred and performed a full valuation of our Schuh Group reporting unit. Based upon the results of these analyses, we concluded the goodwill attributed to Schuh Group was fully impaired. As a result, we recorded an impairment charge of $79.3 million in the first quarter of Fiscal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intangibles by major classes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9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24"/>
                <w:szCs w:val="24"/>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Customer Lists</w:t>
            </w:r>
            <w:r>
              <w:rPr>
                <w:rFonts w:ascii="Times New Roman" w:cs="Times New Roman" w:eastAsia="Times New Roman" w:hAnsi="Times New Roman"/>
                <w:sz w:val="24"/>
                <w:szCs w:val="24"/>
                <w:b w:val="1"/>
                <w:bCs w:val="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4"/>
                <w:szCs w:val="24"/>
                <w:b w:val="1"/>
                <w:bCs w:val="1"/>
                <w:color w:val="auto"/>
                <w:vertAlign w:val="superscript"/>
              </w:rPr>
              <w:t>(3)</w:t>
            </w:r>
          </w:p>
        </w:tc>
        <w:tc>
          <w:tcPr>
            <w:tcW w:w="7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spacing w:after="0"/>
              <w:rPr>
                <w:sz w:val="23"/>
                <w:szCs w:val="23"/>
                <w:color w:val="auto"/>
              </w:rPr>
            </w:pPr>
          </w:p>
        </w:tc>
      </w:tr>
      <w:tr>
        <w:trPr>
          <w:trHeight w:val="200"/>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Jan. 28,</w:t>
            </w:r>
          </w:p>
        </w:tc>
        <w:tc>
          <w:tcPr>
            <w:tcW w:w="300" w:type="dxa"/>
            <w:vAlign w:val="bottom"/>
          </w:tcPr>
          <w:p>
            <w:pPr>
              <w:spacing w:after="0"/>
              <w:rPr>
                <w:sz w:val="17"/>
                <w:szCs w:val="17"/>
                <w:color w:val="auto"/>
              </w:rPr>
            </w:pPr>
          </w:p>
        </w:tc>
        <w:tc>
          <w:tcPr>
            <w:tcW w:w="78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color w:val="auto"/>
              </w:rPr>
              <w:t>Jan. 29,</w:t>
            </w:r>
          </w:p>
        </w:tc>
        <w:tc>
          <w:tcPr>
            <w:tcW w:w="280" w:type="dxa"/>
            <w:vAlign w:val="bottom"/>
          </w:tcPr>
          <w:p>
            <w:pPr>
              <w:spacing w:after="0"/>
              <w:rPr>
                <w:sz w:val="17"/>
                <w:szCs w:val="17"/>
                <w:color w:val="auto"/>
              </w:rPr>
            </w:pPr>
          </w:p>
        </w:tc>
        <w:tc>
          <w:tcPr>
            <w:tcW w:w="820" w:type="dxa"/>
            <w:vAlign w:val="bottom"/>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Jan. 28,</w:t>
            </w:r>
          </w:p>
        </w:tc>
        <w:tc>
          <w:tcPr>
            <w:tcW w:w="260" w:type="dxa"/>
            <w:vAlign w:val="bottom"/>
          </w:tcPr>
          <w:p>
            <w:pPr>
              <w:spacing w:after="0"/>
              <w:rPr>
                <w:sz w:val="17"/>
                <w:szCs w:val="17"/>
                <w:color w:val="auto"/>
              </w:rPr>
            </w:pPr>
          </w:p>
        </w:tc>
        <w:tc>
          <w:tcPr>
            <w:tcW w:w="80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Jan. 29,</w:t>
            </w:r>
          </w:p>
        </w:tc>
        <w:tc>
          <w:tcPr>
            <w:tcW w:w="200" w:type="dxa"/>
            <w:vAlign w:val="bottom"/>
          </w:tcPr>
          <w:p>
            <w:pPr>
              <w:spacing w:after="0"/>
              <w:rPr>
                <w:sz w:val="17"/>
                <w:szCs w:val="17"/>
                <w:color w:val="auto"/>
              </w:rPr>
            </w:pPr>
          </w:p>
        </w:tc>
        <w:tc>
          <w:tcPr>
            <w:tcW w:w="80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Jan. 28,</w:t>
            </w:r>
          </w:p>
        </w:tc>
        <w:tc>
          <w:tcPr>
            <w:tcW w:w="300" w:type="dxa"/>
            <w:vAlign w:val="bottom"/>
          </w:tcPr>
          <w:p>
            <w:pPr>
              <w:spacing w:after="0"/>
              <w:rPr>
                <w:sz w:val="17"/>
                <w:szCs w:val="17"/>
                <w:color w:val="auto"/>
              </w:rPr>
            </w:pPr>
          </w:p>
        </w:tc>
        <w:tc>
          <w:tcPr>
            <w:tcW w:w="740" w:type="dxa"/>
            <w:vAlign w:val="bottom"/>
          </w:tcPr>
          <w:p>
            <w:pPr>
              <w:jc w:val="right"/>
              <w:ind w:right="90"/>
              <w:spacing w:after="0" w:line="201" w:lineRule="exact"/>
              <w:rPr>
                <w:sz w:val="20"/>
                <w:szCs w:val="20"/>
                <w:color w:val="auto"/>
              </w:rPr>
            </w:pPr>
            <w:r>
              <w:rPr>
                <w:rFonts w:ascii="Times New Roman" w:cs="Times New Roman" w:eastAsia="Times New Roman" w:hAnsi="Times New Roman"/>
                <w:sz w:val="18"/>
                <w:szCs w:val="18"/>
                <w:color w:val="auto"/>
                <w:w w:val="97"/>
              </w:rPr>
              <w:t>Jan. 29,</w:t>
            </w:r>
          </w:p>
        </w:tc>
        <w:tc>
          <w:tcPr>
            <w:tcW w:w="200" w:type="dxa"/>
            <w:vAlign w:val="bottom"/>
          </w:tcPr>
          <w:p>
            <w:pPr>
              <w:spacing w:after="0"/>
              <w:rPr>
                <w:sz w:val="17"/>
                <w:szCs w:val="17"/>
                <w:color w:val="auto"/>
              </w:rPr>
            </w:pPr>
          </w:p>
        </w:tc>
        <w:tc>
          <w:tcPr>
            <w:tcW w:w="80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Jan. 28,</w:t>
            </w:r>
          </w:p>
        </w:tc>
        <w:tc>
          <w:tcPr>
            <w:tcW w:w="300" w:type="dxa"/>
            <w:vAlign w:val="bottom"/>
          </w:tcPr>
          <w:p>
            <w:pPr>
              <w:spacing w:after="0"/>
              <w:rPr>
                <w:sz w:val="17"/>
                <w:szCs w:val="17"/>
                <w:color w:val="auto"/>
              </w:rPr>
            </w:pPr>
          </w:p>
        </w:tc>
        <w:tc>
          <w:tcPr>
            <w:tcW w:w="780" w:type="dxa"/>
            <w:vAlign w:val="bottom"/>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Jan. 29,</w:t>
            </w:r>
          </w:p>
        </w:tc>
      </w:tr>
      <w:tr>
        <w:trPr>
          <w:trHeight w:val="245"/>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4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other intangibles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24,077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25,935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6,475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6,586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400</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30,952</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32,921</w:t>
            </w:r>
          </w:p>
        </w:tc>
      </w:tr>
      <w:tr>
        <w:trPr>
          <w:trHeight w:val="24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(3,122 )</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(2,666 )</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(3,522 )</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(3,066 )</w:t>
            </w:r>
          </w:p>
        </w:tc>
      </w:tr>
      <w:tr>
        <w:trPr>
          <w:trHeight w:val="276"/>
        </w:trPr>
        <w:tc>
          <w:tcPr>
            <w:tcW w:w="2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24,077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25,935</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3,353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3,920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27,430</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29,855</w:t>
            </w:r>
          </w:p>
        </w:tc>
      </w:tr>
    </w:tbl>
    <w:p>
      <w:pPr>
        <w:spacing w:after="0" w:line="159"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a $20.9 million trademark at January 28, 2023 related to Schuh Group and $3.2 million related to Journeys Group.</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$5.1 million for the Togast acquisition.</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Backlog for Togast.</w:t>
      </w:r>
    </w:p>
    <w:p>
      <w:pPr>
        <w:spacing w:after="0" w:line="17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amortization of intangibles was $0.6 million, $0.6 million and $0.9 million for Fiscal 2023, Fiscal 2022 and Fiscal 2021, respectively. Currently, amortization of intangibles is expected to be $0.6 million for each of the next five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 Impairments and Other Charges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Asset impairment charges are reflected as a reduction of the net carrying value of property and equipment and operating lease right of use assets, in asset impairment and other, net in the accompanying Consolidated Statements of Operations.</w:t>
      </w:r>
    </w:p>
    <w:p>
      <w:pPr>
        <w:spacing w:after="0" w:line="1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recorded a pretax charge to earnings of $0.9 million in Fiscal 2023, including $1.6 million for asset impairments, partially offset by a $0.7 million gain on the termination of our pension plan.</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recorded a pretax gain to earnings of $8.1 million in Fiscal 2022, including an $18.1 million gain on the sale of a distribution warehouse and a $0.6 million insurance gain, partially offset by $8.6 million for professional fees related to the actions of a shareholder activist and $2.0 million for asset impairments.</w:t>
      </w:r>
    </w:p>
    <w:p>
      <w:pPr>
        <w:spacing w:after="0" w:line="13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We recorded a pretax charge to earnings of $18.7 million in Fiscal 2021, including $13.8 million for asset impairments and $5.3 million for trademark impairment, partially offset by a $0.4 million gain for the release of an earnout related to the Togast acquisition.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1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4"/>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Inventories</w:t>
            </w:r>
          </w:p>
        </w:tc>
        <w:tc>
          <w:tcPr>
            <w:tcW w:w="436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72"/>
        </w:trPr>
        <w:tc>
          <w:tcPr>
            <w:tcW w:w="5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29, 2022</w:t>
            </w:r>
          </w:p>
        </w:tc>
      </w:tr>
      <w:tr>
        <w:trPr>
          <w:trHeight w:val="243"/>
        </w:trPr>
        <w:tc>
          <w:tcPr>
            <w:tcW w:w="5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finished goods</w:t>
            </w:r>
          </w:p>
        </w:tc>
        <w:tc>
          <w:tcPr>
            <w:tcW w:w="198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84,209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28,432</w:t>
            </w:r>
          </w:p>
        </w:tc>
      </w:tr>
      <w:tr>
        <w:trPr>
          <w:trHeight w:val="240"/>
        </w:trPr>
        <w:tc>
          <w:tcPr>
            <w:tcW w:w="5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Retail merchandise</w:t>
            </w:r>
          </w:p>
        </w:tc>
        <w:tc>
          <w:tcPr>
            <w:tcW w:w="1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373,808</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249,768</w:t>
            </w:r>
          </w:p>
        </w:tc>
      </w:tr>
      <w:tr>
        <w:trPr>
          <w:trHeight w:val="276"/>
        </w:trPr>
        <w:tc>
          <w:tcPr>
            <w:tcW w:w="5240" w:type="dxa"/>
            <w:vAlign w:val="bottom"/>
            <w:tcBorders>
              <w:bottom w:val="single" w:sz="8" w:color="auto"/>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98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458,017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spacing w:after="0"/>
              <w:rPr>
                <w:sz w:val="24"/>
                <w:szCs w:val="24"/>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278,200</w:t>
            </w:r>
          </w:p>
        </w:tc>
      </w:tr>
      <w:tr>
        <w:trPr>
          <w:trHeight w:val="590"/>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1"/>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and Other Current Accrued Liabilities</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61"/>
        </w:trPr>
        <w:tc>
          <w:tcPr>
            <w:tcW w:w="49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29, 2022</w:t>
            </w:r>
          </w:p>
        </w:tc>
      </w:tr>
      <w:tr>
        <w:trPr>
          <w:trHeight w:val="243"/>
        </w:trPr>
        <w:tc>
          <w:tcPr>
            <w:tcW w:w="5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7,046</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7,233</w:t>
            </w:r>
          </w:p>
        </w:tc>
      </w:tr>
      <w:tr>
        <w:trPr>
          <w:trHeight w:val="240"/>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 and building equipment</w:t>
            </w:r>
          </w:p>
        </w:tc>
        <w:tc>
          <w:tcPr>
            <w:tcW w:w="1980" w:type="dxa"/>
            <w:vAlign w:val="bottom"/>
          </w:tcPr>
          <w:p>
            <w:pPr>
              <w:spacing w:after="0"/>
              <w:rPr>
                <w:sz w:val="20"/>
                <w:szCs w:val="20"/>
                <w:color w:val="auto"/>
              </w:rPr>
            </w:pP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73,707</w:t>
            </w:r>
          </w:p>
        </w:tc>
        <w:tc>
          <w:tcPr>
            <w:tcW w:w="44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73,962</w:t>
            </w:r>
          </w:p>
        </w:tc>
      </w:tr>
      <w:tr>
        <w:trPr>
          <w:trHeight w:val="245"/>
        </w:trPr>
        <w:tc>
          <w:tcPr>
            <w:tcW w:w="5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hardware, software and equipment</w:t>
            </w:r>
          </w:p>
        </w:tc>
        <w:tc>
          <w:tcPr>
            <w:tcW w:w="19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158,152</w:t>
            </w:r>
          </w:p>
        </w:tc>
        <w:tc>
          <w:tcPr>
            <w:tcW w:w="44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152,075</w:t>
            </w:r>
          </w:p>
        </w:tc>
      </w:tr>
      <w:tr>
        <w:trPr>
          <w:trHeight w:val="240"/>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980" w:type="dxa"/>
            <w:vAlign w:val="bottom"/>
          </w:tcPr>
          <w:p>
            <w:pPr>
              <w:spacing w:after="0"/>
              <w:rPr>
                <w:sz w:val="20"/>
                <w:szCs w:val="20"/>
                <w:color w:val="auto"/>
              </w:rPr>
            </w:pP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128,163</w:t>
            </w:r>
          </w:p>
        </w:tc>
        <w:tc>
          <w:tcPr>
            <w:tcW w:w="44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124,536</w:t>
            </w:r>
          </w:p>
        </w:tc>
      </w:tr>
      <w:tr>
        <w:trPr>
          <w:trHeight w:val="245"/>
        </w:trPr>
        <w:tc>
          <w:tcPr>
            <w:tcW w:w="5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9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36,256</w:t>
            </w:r>
          </w:p>
        </w:tc>
        <w:tc>
          <w:tcPr>
            <w:tcW w:w="44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42,903</w:t>
            </w:r>
          </w:p>
        </w:tc>
      </w:tr>
      <w:tr>
        <w:trPr>
          <w:trHeight w:val="240"/>
        </w:trPr>
        <w:tc>
          <w:tcPr>
            <w:tcW w:w="5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Improvements to leased property</w:t>
            </w:r>
          </w:p>
        </w:tc>
        <w:tc>
          <w:tcPr>
            <w:tcW w:w="1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340,533</w:t>
            </w: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325,180</w:t>
            </w:r>
          </w:p>
        </w:tc>
      </w:tr>
      <w:tr>
        <w:trPr>
          <w:trHeight w:val="238"/>
        </w:trPr>
        <w:tc>
          <w:tcPr>
            <w:tcW w:w="5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9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743,857</w:t>
            </w:r>
          </w:p>
        </w:tc>
        <w:tc>
          <w:tcPr>
            <w:tcW w:w="44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725,889</w:t>
            </w:r>
          </w:p>
        </w:tc>
      </w:tr>
      <w:tr>
        <w:trPr>
          <w:trHeight w:val="240"/>
        </w:trPr>
        <w:tc>
          <w:tcPr>
            <w:tcW w:w="5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(510,124 )</w:t>
            </w: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(509,581 )</w:t>
            </w:r>
          </w:p>
        </w:tc>
      </w:tr>
      <w:tr>
        <w:trPr>
          <w:trHeight w:val="276"/>
        </w:trPr>
        <w:tc>
          <w:tcPr>
            <w:tcW w:w="5240" w:type="dxa"/>
            <w:vAlign w:val="bottom"/>
            <w:tcBorders>
              <w:bottom w:val="single" w:sz="8" w:color="auto"/>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233,733</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216,308</w:t>
            </w:r>
          </w:p>
        </w:tc>
      </w:tr>
      <w:tr>
        <w:trPr>
          <w:trHeight w:val="630"/>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59</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880" w:type="dxa"/>
            <w:vAlign w:val="bottom"/>
            <w:tcBorders>
              <w:bottom w:val="single" w:sz="8" w:color="9A9A9A"/>
            </w:tcBorders>
          </w:tcPr>
          <w:p>
            <w:pPr>
              <w:spacing w:after="0"/>
              <w:rPr>
                <w:sz w:val="7"/>
                <w:szCs w:val="7"/>
                <w:color w:val="auto"/>
              </w:rPr>
            </w:pPr>
          </w:p>
        </w:tc>
        <w:tc>
          <w:tcPr>
            <w:tcW w:w="40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and Other Current Accrued Liabilities, Continued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29, 2022</w:t>
            </w:r>
          </w:p>
        </w:tc>
      </w:tr>
      <w:tr>
        <w:trPr>
          <w:trHeight w:val="243"/>
        </w:trPr>
        <w:tc>
          <w:tcPr>
            <w:tcW w:w="5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Accrued employee compensation</w:t>
            </w:r>
            <w:r>
              <w:rPr>
                <w:rFonts w:ascii="Times New Roman" w:cs="Times New Roman" w:eastAsia="Times New Roman" w:hAnsi="Times New Roman"/>
                <w:sz w:val="24"/>
                <w:szCs w:val="24"/>
                <w:color w:val="auto"/>
                <w:vertAlign w:val="superscript"/>
              </w:rPr>
              <w:t>(1)</w:t>
            </w:r>
          </w:p>
        </w:tc>
        <w:tc>
          <w:tcPr>
            <w:tcW w:w="2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15,715</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60,575</w:t>
            </w:r>
          </w:p>
        </w:tc>
      </w:tr>
      <w:tr>
        <w:trPr>
          <w:trHeight w:val="2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taxes</w:t>
            </w:r>
          </w:p>
        </w:tc>
        <w:tc>
          <w:tcPr>
            <w:tcW w:w="242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11,551</w:t>
            </w:r>
          </w:p>
        </w:tc>
        <w:tc>
          <w:tcPr>
            <w:tcW w:w="40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17,631</w:t>
            </w:r>
          </w:p>
        </w:tc>
      </w:tr>
      <w:tr>
        <w:trPr>
          <w:trHeight w:val="24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42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2,296</w:t>
            </w: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2,385</w:t>
            </w:r>
          </w:p>
        </w:tc>
      </w:tr>
      <w:tr>
        <w:trPr>
          <w:trHeight w:val="2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discontinued operations</w:t>
            </w:r>
          </w:p>
        </w:tc>
        <w:tc>
          <w:tcPr>
            <w:tcW w:w="242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536</w:t>
            </w:r>
          </w:p>
        </w:tc>
        <w:tc>
          <w:tcPr>
            <w:tcW w:w="40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5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51,229</w:t>
            </w:r>
          </w:p>
        </w:tc>
        <w:tc>
          <w:tcPr>
            <w:tcW w:w="4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53,074</w:t>
            </w:r>
          </w:p>
        </w:tc>
      </w:tr>
      <w:tr>
        <w:trPr>
          <w:trHeight w:val="24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Accrued Liabilities</w:t>
            </w:r>
          </w:p>
        </w:tc>
        <w:tc>
          <w:tcPr>
            <w:tcW w:w="2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81,327</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134,156</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4"/>
          <w:szCs w:val="24"/>
          <w:u w:val="single" w:color="auto"/>
          <w:color w:val="auto"/>
          <w:vertAlign w:val="superscript"/>
        </w:rPr>
        <w: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Includes accrual for performance-based incentive compensation of $2.1 million and $48.1 million as of January 28, 2023 and January 29, 2022, respectively.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51"/>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carrying amounts and fair values of our financial instruments at January 28, 2023 and January 29, 2022 are:</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52"/>
        </w:trPr>
        <w:tc>
          <w:tcPr>
            <w:tcW w:w="3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January 29, 2022</w:t>
            </w:r>
          </w:p>
        </w:tc>
        <w:tc>
          <w:tcPr>
            <w:tcW w:w="680" w:type="dxa"/>
            <w:vAlign w:val="bottom"/>
            <w:tcBorders>
              <w:bottom w:val="single" w:sz="8" w:color="auto"/>
            </w:tcBorders>
          </w:tcPr>
          <w:p>
            <w:pPr>
              <w:spacing w:after="0"/>
              <w:rPr>
                <w:sz w:val="24"/>
                <w:szCs w:val="24"/>
                <w:color w:val="auto"/>
              </w:rPr>
            </w:pPr>
          </w:p>
        </w:tc>
      </w:tr>
      <w:tr>
        <w:trPr>
          <w:trHeight w:val="207"/>
        </w:trPr>
        <w:tc>
          <w:tcPr>
            <w:tcW w:w="8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72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400" w:type="dxa"/>
            <w:vAlign w:val="bottom"/>
          </w:tcPr>
          <w:p>
            <w:pPr>
              <w:spacing w:after="0"/>
              <w:rPr>
                <w:sz w:val="17"/>
                <w:szCs w:val="17"/>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Carrying</w:t>
            </w:r>
          </w:p>
        </w:tc>
        <w:tc>
          <w:tcPr>
            <w:tcW w:w="70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r>
      <w:tr>
        <w:trPr>
          <w:trHeight w:val="245"/>
        </w:trPr>
        <w:tc>
          <w:tcPr>
            <w:tcW w:w="8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7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revolver borrowings</w:t>
            </w:r>
          </w:p>
        </w:tc>
        <w:tc>
          <w:tcPr>
            <w:tcW w:w="2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30,000</w:t>
            </w:r>
          </w:p>
        </w:tc>
        <w:tc>
          <w:tcPr>
            <w:tcW w:w="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30,219</w:t>
            </w:r>
          </w:p>
        </w:tc>
        <w:tc>
          <w:tcPr>
            <w:tcW w:w="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15,679</w:t>
            </w:r>
          </w:p>
        </w:tc>
        <w:tc>
          <w:tcPr>
            <w:tcW w:w="7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15,679</w:t>
            </w:r>
          </w:p>
        </w:tc>
      </w:tr>
      <w:tr>
        <w:trPr>
          <w:trHeight w:val="240"/>
        </w:trPr>
        <w:tc>
          <w:tcPr>
            <w:tcW w:w="3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U.K. revolver borrowings</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14,858</w:t>
            </w:r>
          </w:p>
        </w:tc>
        <w:tc>
          <w:tcPr>
            <w:tcW w:w="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14,864</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Debt fair values were determined using a discount cash flow analysis based on current market interest rates for similar types of financial instruments and would be classified in Level 2 within the fair value hierarchy.</w:t>
      </w:r>
    </w:p>
    <w:p>
      <w:pPr>
        <w:spacing w:after="0" w:line="1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Carrying amounts reported on our Consolidated Balance Sheets for cash, receivables and accounts payable approximate fair value due to the short-term maturity of these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28, 2023, we have $4.6 million of long-lived assets held and used which were measured using Level 3 inputs within the fair value hierarchy.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28, 2023, we have $10.6 million of investments held and used which were measured using Level 1 inputs within the fair value hierarchy.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28, 2022, we entered into a Third Amendment (the “Third Amendment”) to our </w:t>
      </w:r>
      <w:r>
        <w:rPr>
          <w:rFonts w:ascii="Times New Roman" w:cs="Times New Roman" w:eastAsia="Times New Roman" w:hAnsi="Times New Roman"/>
          <w:sz w:val="18"/>
          <w:szCs w:val="18"/>
          <w:color w:val="222222"/>
        </w:rPr>
        <w:t>Fourth Amended and Restated Credit Agreement dated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January 31, 2018 between us, certain of our subsidiaries, the lenders party thereto and Bank of America, N.A. as agent (as amended, the “Credit Facility” or the “Credit Agreement”), to, </w:t>
      </w:r>
      <w:r>
        <w:rPr>
          <w:rFonts w:ascii="Times New Roman" w:cs="Times New Roman" w:eastAsia="Times New Roman" w:hAnsi="Times New Roman"/>
          <w:sz w:val="18"/>
          <w:szCs w:val="18"/>
          <w:color w:val="000000"/>
        </w:rPr>
        <w:t>among other things, (i) extend the maturity date to January 28, 2027, (ii) remove the first in-last out term loan that was in an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amount equal to $17.5 million and (iii) add certain in-transit inventory to the borrowing base, subject to customary eligibility requirements. In addition, the Third Amendment makes conforming changes to replace LIBOR with the Secured Overnight Financing Rate ("SOFR"), the Sterling Overnight Index Average ("SONIA") and EURIBOR. The Total Commitments (as defined in the Credit Agreement) for the revolving loans remains at $332.5 million.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Facility continues to be secured by certain assets of the Company and certain subsidiaries of the Company, including accounts receivable, inventory, payment intangibles and deposit accounts. Equity interests, certain equipment, intellectual property and most leasehold interests are specifically excluded. The Credit Facility continues to provide for the borrowing base to include real estate as those assets are added or maintained as collateral and contains customary real estate covenants. The current outstanding long-term debt balance of $44.9 million bears interest at an average rate of 6.74% and matures January 28, 2027.</w:t>
      </w:r>
    </w:p>
    <w:p>
      <w:pPr>
        <w:spacing w:after="0" w:line="14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Deferred financing costs incurred in Fiscal 2022 of $1.2 million related to the amended Credit Facility were capitalized and are being amortized over the term of the new agreement. The remaining balance of deferred financing costs incurred related to the previous Credit Facility are being amortized over the term of the new agreement. These costs are included in other non-current assets on the Consolidated Balance Sheets.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Facility is a revolving credit facility in the aggregate principal amount of $332.5 million, including (i) for the Company and other borrowers formed in the U.S., a $70.0 million sublimit for the issuance of letters of credit and a domestic swingline subfacility of up to $45.0 million, (ii) for GCO Canada ULC, a revolving credit subfacility in an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 for dollar basis. We have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 The aggregate amount of the loans made and letters of credit issued under the Credit Facility are limited to the lesser of the facility amount ($332.5 million or, if increased as described above, up to $532.5 million) or the "Borrowing Base", as defined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pay a commitment fee on the actual daily unused portions of the Credit Facility at a rate of 0.20% per annum.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 Continued</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Credit Facility also permits us to incur senior debt in an amount up to the greater of $500.0 million or an amount that would not cause our ratio of consolidated total indebtedness to consolidated EBITDA to exceed 5.0:1.0 provided that certain terms and conditions are met.</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Credit Facility does not require us to comply with any financial covenants unless Excess Availability, as defined in the Credit Agreement, is less than the greater of $22.5 million or 10% of the loan cap. If and during such time as Excess Availability is less than the greater of $22.5 million or 10% of the loan cap, the Credit Facility requires us to have a fixed charge coverage ratio of not less than 1.0:1.0. Excess Availability was $251.2 million at January 28, 2023.</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Credit Facility contains customary events of default, which if any of them occurs, would permit or require the principal of and interest on the Credit Facility to be declared due and payable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Credit Facility as of January 28,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Facility Agreement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 2022, Schuh entered into a facility agreement (the "Facility Agreement") with Lloyds Bank PLC (“Lloyds”) for a £19.0 million revolving credit facility. The Facility Agreement expires November 2, 2025, with options to request two one-year extensions to this termination date subject to lender approval, and bears interest at 2.35% over the Bank of England Base Rate. This Facility Agreement replaced Schuh's Facility Letter that would have expired in October 2023.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Facility Agreement as of January 28,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6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29, 2022</w:t>
            </w:r>
          </w:p>
        </w:tc>
      </w:tr>
      <w:tr>
        <w:trPr>
          <w:trHeight w:val="24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revolver borrowings</w:t>
            </w:r>
          </w:p>
        </w:tc>
        <w:tc>
          <w:tcPr>
            <w:tcW w:w="19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30,000</w:t>
            </w:r>
          </w:p>
        </w:tc>
        <w:tc>
          <w:tcPr>
            <w:tcW w:w="68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15,679</w:t>
            </w:r>
          </w:p>
        </w:tc>
      </w:tr>
      <w:tr>
        <w:trPr>
          <w:trHeight w:val="24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U.K. revolver borrowings</w:t>
            </w:r>
          </w:p>
        </w:tc>
        <w:tc>
          <w:tcPr>
            <w:tcW w:w="19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14,858</w:t>
            </w:r>
          </w:p>
        </w:tc>
        <w:tc>
          <w:tcPr>
            <w:tcW w:w="6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920" w:type="dxa"/>
            <w:vAlign w:val="bottom"/>
            <w:shd w:val="clear" w:color="auto" w:fill="CFF0FC"/>
          </w:tcPr>
          <w:p>
            <w:pPr>
              <w:spacing w:after="0"/>
              <w:rPr>
                <w:sz w:val="20"/>
                <w:szCs w:val="20"/>
                <w:color w:val="auto"/>
              </w:rPr>
            </w:pPr>
          </w:p>
        </w:tc>
        <w:tc>
          <w:tcPr>
            <w:tcW w:w="1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44,858</w:t>
            </w:r>
          </w:p>
        </w:tc>
        <w:tc>
          <w:tcPr>
            <w:tcW w:w="68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15,679</w:t>
            </w:r>
          </w:p>
        </w:tc>
      </w:tr>
      <w:tr>
        <w:trPr>
          <w:trHeight w:val="24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19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Portion of Long-Term Debt</w:t>
            </w:r>
          </w:p>
        </w:tc>
        <w:tc>
          <w:tcPr>
            <w:tcW w:w="19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44,858</w:t>
            </w:r>
          </w:p>
        </w:tc>
        <w:tc>
          <w:tcPr>
            <w:tcW w:w="68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15,679</w:t>
            </w:r>
          </w:p>
        </w:tc>
      </w:tr>
    </w:tbl>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revolver borrowings outstanding under the Credit Facility at January 28, 2023 included $30.0 million U.S. revolver borrowings and $14.9 million (£12.0 million) related to Genesco (UK) Limited. We had outstanding letters of credit of $9.7 million under the Credit Facility at January 28, 2023. These letters of credit support lease and insurance indemnifications.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our office space and all of our retail store locations, transportation equipment and other equipment under various noncancelable operating leases. The leases have varying terms and expire at various dates through 2037. The store leases in the United States, Puerto Rico and Canada typically have initial terms of approximately 10 years. The store leases in the U.K. and the ROI typically have initial terms of between 10 and 15 years. Our lease portfolio includes leases with fixed base rental payments, rental payments based on a percentage of retail sales over contractual amounts and others with predetermined fixed escalations of the minimum rentals based on a defined consumer price index or percentage. Generally, most of the leases require us to pay taxes, insurance, maintenance costs and contingent rentals based on sales. We evaluate renewal options and break options at lease inception and on an ongoing basis, and include renewal options and break options that we are reasonably certain to exercise in our expected lease terms for calculations of our right-of-use assets and liabilities. Approximately 3% of our leases contain renewal options. Our lease agreements do not contain any material residual value guarantees or material restrictive covenants.</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10, 2020, we announced plans for our new corporate headquarters in Nashville, Tennessee. We entered into a lease agreement, which was subsequently amended, for approximately 182,000 square feet of office space which replaced our previous corporate headquarters office lease. The term of the lease is 15 years, with two options to extend for an additional period of five years each. We moved to the new corporate headquarters beginning in April 2022.</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ASC 842, for store, office and equipment leases beginning in Fiscal 2020 and later, we have elected to not separate fixed lease components and non-lease components. Accordingly, we include fixed rental payments, common area maintenance costs, promotional advertising costs and other fixed costs in our measurement of lease liabilities.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leases do not provide an implicit rate, so the incremental borrowing rate, based on the information available at commencement or modification date, is used in determining the present value of lease payments. The incremental borrowing rate represents an estimate of the interest rate we would incur at lease commencement to borrow an amount equal to the lease payments on a collateralized basis over the term of a lease within a particular currency environment. For operating leases that commenced prior to the date of adoption of the new lease accounting guidance, we used the incremental borrowing rate that corresponded to the initial lease term as of the date of adoption.</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lease costs are included within selling and administrative expenses on the Consolidated Statements of Operations. The table below presents the components of lease cost for operating leases for the years ended January 28, 2023, January 29, 2022 and January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Fiscal 2022</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Fiscal 2021</w:t>
            </w:r>
          </w:p>
        </w:tc>
      </w:tr>
      <w:tr>
        <w:trPr>
          <w:trHeight w:val="24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166,617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174,127</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160,973</w:t>
            </w:r>
          </w:p>
        </w:tc>
      </w:tr>
      <w:tr>
        <w:trPr>
          <w:trHeight w:val="24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16,966</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21,540</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9,562</w:t>
            </w:r>
          </w:p>
        </w:tc>
      </w:tr>
      <w:tr>
        <w:trPr>
          <w:trHeight w:val="24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3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(314 )</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36"/>
        </w:trPr>
        <w:tc>
          <w:tcPr>
            <w:tcW w:w="3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34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183,269</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195,421</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170,370</w:t>
            </w:r>
          </w:p>
        </w:tc>
      </w:tr>
      <w:tr>
        <w:trPr>
          <w:trHeight w:val="643"/>
        </w:trPr>
        <w:tc>
          <w:tcPr>
            <w:tcW w:w="3620" w:type="dxa"/>
            <w:vAlign w:val="bottom"/>
          </w:tcPr>
          <w:p>
            <w:pPr>
              <w:spacing w:after="0"/>
              <w:rPr>
                <w:sz w:val="24"/>
                <w:szCs w:val="24"/>
                <w:color w:val="auto"/>
              </w:rPr>
            </w:pPr>
          </w:p>
        </w:tc>
        <w:tc>
          <w:tcPr>
            <w:tcW w:w="3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63</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maturities of undiscounted cash flows to our operating lease liabilities recorded on the Consolidated Balance Sheets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3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16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156,304</w:t>
            </w: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16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128,634</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105,033</w:t>
            </w: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16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77,331</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44,781</w:t>
            </w:r>
          </w:p>
        </w:tc>
      </w:tr>
      <w:tr>
        <w:trPr>
          <w:trHeight w:val="238"/>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103,100</w:t>
            </w:r>
          </w:p>
        </w:tc>
      </w:tr>
      <w:tr>
        <w:trPr>
          <w:trHeight w:val="24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3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615,183</w:t>
            </w:r>
          </w:p>
        </w:tc>
      </w:tr>
      <w:tr>
        <w:trPr>
          <w:trHeight w:val="238"/>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3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(79,611 )</w:t>
            </w:r>
          </w:p>
        </w:tc>
      </w:tr>
      <w:tr>
        <w:trPr>
          <w:trHeight w:val="278"/>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Present Value of Operating Lease Liabilities</w:t>
            </w:r>
          </w:p>
        </w:tc>
        <w:tc>
          <w:tcPr>
            <w:tcW w:w="316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535,572</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weighted-average remaining lease term and weighted-average discount rate for operating leases as of January 28, 2023 and January 29, 2022 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80" w:type="dxa"/>
            <w:vAlign w:val="bottom"/>
          </w:tcPr>
          <w:p>
            <w:pPr>
              <w:spacing w:after="0"/>
              <w:rPr>
                <w:sz w:val="20"/>
                <w:szCs w:val="20"/>
                <w:color w:val="auto"/>
              </w:rPr>
            </w:pPr>
          </w:p>
        </w:tc>
        <w:tc>
          <w:tcPr>
            <w:tcW w:w="2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January 29, 2022</w:t>
            </w: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0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5.5 years</w:t>
            </w:r>
          </w:p>
        </w:tc>
        <w:tc>
          <w:tcPr>
            <w:tcW w:w="146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98"/>
              </w:rPr>
              <w:t>5.8 years</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5.1%</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January 28, 2023, we have additional operating leases that have not yet commenced with estimated right of use liabilities of $12.1 million. These leases will commence in Fiscal 2024 with lease terms of 1 to 10 years.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Beginning in March 2020, as a result of the onset of the COVID-19 pandemic, we suspended rent payments under the leases for our temporarily closed stores and initiated discussions with landlords to obtain lease concessions. We considered the FASB’s guidance regarding lease concessions as a result of the effects of the COVID-19 pandemic and elected to account for lease concessions related to the effects of the COVID-19 pandemic received in Fiscal 2022 and Fiscal 2021 consistent with how those concessions would be accounted for under Topic 842 and Topic 840 as though enforceable rights and obligations for those concessions existed (regardless of whether those enforceable rights and obligations for the concessions explicitly exist in the contract). Also, in accordance with the FASB’s guidance, we applied this election for concessions related to the effects of the COVID-19 pandemic that did not result in a substantial increase in our obligations or in the rights of the landlord. We continued to recognize contractual rent expense while lease concessions were under negotiation with the respective landlord. The rent concessions were recognized in the period when the amendment was executed. COVID-19 related lease concessions decreased our contractual rent expense by approximately $17 million and $34 million during Fiscal 2022 and Fiscal 2021, respectively. As of January 29, 2022, we had an accrued liability for unpaid rent related to the closed stores of $2.1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Non-Redeemable Preferred Stock</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80" w:type="dxa"/>
            <w:vAlign w:val="bottom"/>
          </w:tcPr>
          <w:p>
            <w:pPr>
              <w:jc w:val="right"/>
              <w:ind w:right="70"/>
              <w:spacing w:after="0" w:line="205" w:lineRule="exact"/>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1"/>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Employees’ Subordinated Convertible</w:t>
            </w:r>
          </w:p>
        </w:tc>
        <w:tc>
          <w:tcPr>
            <w:tcW w:w="128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27,935</w:t>
            </w:r>
          </w:p>
        </w:tc>
        <w:tc>
          <w:tcPr>
            <w:tcW w:w="1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838</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5,000,000</w:t>
            </w: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28,325</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34,425</w:t>
            </w:r>
          </w:p>
        </w:tc>
        <w:tc>
          <w:tcPr>
            <w:tcW w:w="440" w:type="dxa"/>
            <w:vAlign w:val="bottom"/>
            <w:tcBorders>
              <w:bottom w:val="single" w:sz="8" w:color="auto"/>
            </w:tcBorders>
            <w:vMerge w:val="continue"/>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4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Stated Value of Issued Shares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838</w:t>
            </w:r>
          </w:p>
        </w:tc>
        <w:tc>
          <w:tcPr>
            <w:tcW w:w="40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4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3"/>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Employees’ Preferred Stock Purchase</w:t>
            </w:r>
          </w:p>
        </w:tc>
        <w:tc>
          <w:tcPr>
            <w:tcW w:w="1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w:t>
            </w:r>
          </w:p>
        </w:tc>
        <w:tc>
          <w:tcPr>
            <w:tcW w:w="12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7"/>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Non-Redeemable Preferred</w:t>
            </w: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815</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Serial Preferred Stock: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permits the Board of Directors to issue Subordinated Serial Preferred Stock (3,000,000 shares, in aggregate, are authorized) in as many series, each with as many shares and such rights and preferences as the Board may designate. We have shares authorized for $2.30 Series 1, $4.75 Series 3, $4.75 Series 4, Series 6 and $1.50 Subordinated Cumulative Preferred stocks in amounts of 64,368 shares, 40,449 shares, 53,764 shares, 800,000 shares and 5,000,000 shares, respectively. All of these preferred stocks were mandatorily redeemed by us in Fiscal 2014. As a result, there are no outstanding shares for any preferred issues of stock other than Employees' Subordinated Convertible Preferred stock shown in the table above.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Subordinated Convertible Preferred Stock:</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Common stock-$1 par value. Authorized: 80,000,000 shares; issued: January 28, 2023 – 13,088,782 shares; January 29, 2022 –14,256,408 shares. There were 488,464 shares held in treasury at January 28, 2023 and January 29, 2022. Each outstanding share is entitled to one vote. At January 28, 2023, common shares were reserved as follows: 27,935 shares for conversion of preferred stock and 704,556 shares for the 2020 Genesco Inc. Equity Incentive Plan (the "2020 Plan").</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January 28, 2023, 299,914 shares of common stock were issued as restricted shares as part of the 2020 Plan; 16,536 shares were issued to directors in exchange for their services; 73,137 shares were withheld for taxes on restricted stock vested in Fiscal 2023; 31,057 shares of restricted stock were forfeited in Fiscal 2023; and 390 shares were issued in miscellaneous conversions of Employees’ Subordinated Convertible Preferred Stock. In addition, the Company repurchased and retired 1,380,272 shares of common stock at an average weighted market price of $52.66 for a total of $72.7 million.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Continued</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January 29, 2022, 229,363 shares of common stock were issued as restricted shares as part of the 2020 Plan; 14,936 shares were issued to directors in exchange for their services; 64,535 shares were withheld for taxes on restricted stock vested in Fiscal 2022; 6,885 shares of restricted stock were forfeited in Fiscal 2022; and 6,100 shares were issued in miscellaneous conversions of Employees’ Subordinated Convertible Preferred Stock. In addition, we repurchased and retired 1,360,909 shares of common stock at an average weighted market price of $60.88 for a total of $82.8 million.</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January 30, 2021, 428,362 shares of common stock were issued as restricted shares as part of the Second Amended and Restated 2009 Genesco Inc. Equity Incentive Plan; 38,723 shares were issued to directors in exchange for their services; 64,382 shares were withheld for taxes on restricted stock vested in Fiscal 2021; 150,050 shares of restricted stock were forfeited in Fiscal 2021; and 15 shares were issued in miscellaneous conversions of Employees’ Subordinated Convertible Preferred Stock. We did not repurchase any shares of common stock in Fiscal 2021.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Dividends and Redemptions of Capital Stock:</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earnings from continuing operations before income taxes is comprised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4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r>
      <w:tr>
        <w:trPr>
          <w:trHeight w:val="238"/>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68,326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130,517</w:t>
            </w:r>
          </w:p>
        </w:tc>
        <w:tc>
          <w:tcPr>
            <w:tcW w:w="5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(3,123 )</w:t>
            </w:r>
          </w:p>
        </w:tc>
      </w:tr>
      <w:tr>
        <w:trPr>
          <w:trHeight w:val="240"/>
        </w:trPr>
        <w:tc>
          <w:tcPr>
            <w:tcW w:w="5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21,747</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22,474</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(108,546 )</w:t>
            </w:r>
          </w:p>
        </w:tc>
      </w:tr>
      <w:tr>
        <w:trPr>
          <w:trHeight w:val="276"/>
        </w:trPr>
        <w:tc>
          <w:tcPr>
            <w:tcW w:w="5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Earnings (Loss) from Continuing Operations before Income Taxes</w:t>
            </w:r>
          </w:p>
        </w:tc>
        <w:tc>
          <w:tcPr>
            <w:tcW w:w="1560" w:type="dxa"/>
            <w:vAlign w:val="bottom"/>
            <w:tcBorders>
              <w:bottom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90,073</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152,991</w:t>
            </w:r>
          </w:p>
        </w:tc>
        <w:tc>
          <w:tcPr>
            <w:tcW w:w="5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(111,669 )</w:t>
            </w:r>
          </w:p>
        </w:tc>
      </w:tr>
      <w:tr>
        <w:trPr>
          <w:trHeight w:val="630"/>
        </w:trPr>
        <w:tc>
          <w:tcPr>
            <w:tcW w:w="5540" w:type="dxa"/>
            <w:vAlign w:val="bottom"/>
          </w:tcPr>
          <w:p>
            <w:pPr>
              <w:spacing w:after="0"/>
              <w:rPr>
                <w:sz w:val="24"/>
                <w:szCs w:val="24"/>
                <w:color w:val="auto"/>
              </w:rPr>
            </w:pP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66</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1"/>
        </w:trPr>
        <w:tc>
          <w:tcPr>
            <w:tcW w:w="55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1"/>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Income Taxes, Continued</w:t>
            </w:r>
          </w:p>
        </w:tc>
        <w:tc>
          <w:tcPr>
            <w:tcW w:w="4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from continuing operations is comprised of the following:</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2"/>
        </w:trPr>
        <w:tc>
          <w:tcPr>
            <w:tcW w:w="19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40"/>
        </w:trPr>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r>
      <w:tr>
        <w:trPr>
          <w:trHeight w:val="238"/>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40"/>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49,354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(106,397 )</w:t>
            </w:r>
          </w:p>
        </w:tc>
      </w:tr>
      <w:tr>
        <w:trPr>
          <w:trHeight w:val="245"/>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2,984</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3,555</w:t>
            </w:r>
          </w:p>
        </w:tc>
        <w:tc>
          <w:tcPr>
            <w:tcW w:w="4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1,391</w:t>
            </w:r>
          </w:p>
        </w:tc>
      </w:tr>
      <w:tr>
        <w:trPr>
          <w:trHeight w:val="240"/>
        </w:trPr>
        <w:tc>
          <w:tcPr>
            <w:tcW w:w="6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3,808</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3,845</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10,223</w:t>
            </w:r>
          </w:p>
        </w:tc>
      </w:tr>
      <w:tr>
        <w:trPr>
          <w:trHeight w:val="236"/>
        </w:trPr>
        <w:tc>
          <w:tcPr>
            <w:tcW w:w="662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44,225</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56,754</w:t>
            </w:r>
          </w:p>
        </w:tc>
        <w:tc>
          <w:tcPr>
            <w:tcW w:w="4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(94,783 )</w:t>
            </w: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(25,704 )</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(22,542 )</w:t>
            </w:r>
          </w:p>
        </w:tc>
        <w:tc>
          <w:tcPr>
            <w:tcW w:w="4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48,511</w:t>
            </w:r>
          </w:p>
        </w:tc>
      </w:tr>
      <w:tr>
        <w:trPr>
          <w:trHeight w:val="240"/>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748</w:t>
            </w:r>
          </w:p>
        </w:tc>
        <w:tc>
          <w:tcPr>
            <w:tcW w:w="2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r>
      <w:tr>
        <w:trPr>
          <w:trHeight w:val="243"/>
        </w:trPr>
        <w:tc>
          <w:tcPr>
            <w:tcW w:w="6620" w:type="dxa"/>
            <w:vAlign w:val="bottom"/>
            <w:tcBorders>
              <w:bottom w:val="single" w:sz="8" w:color="auto"/>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(1,438 )</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3,778</w:t>
            </w:r>
          </w:p>
        </w:tc>
        <w:tc>
          <w:tcPr>
            <w:tcW w:w="4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(12,142 )</w:t>
            </w:r>
          </w:p>
        </w:tc>
      </w:tr>
      <w:tr>
        <w:trPr>
          <w:trHeight w:val="236"/>
        </w:trPr>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(26,394 )</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(18,710 )</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39,142</w:t>
            </w:r>
          </w:p>
        </w:tc>
      </w:tr>
      <w:tr>
        <w:trPr>
          <w:trHeight w:val="276"/>
        </w:trPr>
        <w:tc>
          <w:tcPr>
            <w:tcW w:w="662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 (Benefit) – Continuing Operations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17,831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38,044</w:t>
            </w:r>
          </w:p>
        </w:tc>
        <w:tc>
          <w:tcPr>
            <w:tcW w:w="4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(55,641 )</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United States federal statutory rate to our effective tax rate from continuing operations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45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20"/>
                <w:szCs w:val="20"/>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 S. federal statutory rate of tax</w:t>
            </w:r>
          </w:p>
        </w:tc>
        <w:tc>
          <w:tcPr>
            <w:tcW w:w="3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21.00 %</w:t>
            </w:r>
          </w:p>
        </w:tc>
        <w:tc>
          <w:tcPr>
            <w:tcW w:w="1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21.00 %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3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2.08</w:t>
            </w:r>
          </w:p>
        </w:tc>
        <w:tc>
          <w:tcPr>
            <w:tcW w:w="1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3.94</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21"/>
                <w:szCs w:val="21"/>
                <w:color w:val="auto"/>
              </w:rPr>
            </w:pP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8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(0.02 )</w:t>
            </w:r>
          </w:p>
        </w:tc>
        <w:tc>
          <w:tcPr>
            <w:tcW w:w="188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(0.11 )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60" w:type="dxa"/>
            <w:vAlign w:val="bottom"/>
          </w:tcPr>
          <w:p>
            <w:pPr>
              <w:spacing w:after="0"/>
              <w:rPr>
                <w:sz w:val="21"/>
                <w:szCs w:val="21"/>
                <w:color w:val="auto"/>
              </w:rPr>
            </w:pPr>
          </w:p>
        </w:tc>
      </w:tr>
      <w:tr>
        <w:trPr>
          <w:trHeight w:val="24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(1.12 )</w:t>
            </w:r>
          </w:p>
        </w:tc>
        <w:tc>
          <w:tcPr>
            <w:tcW w:w="1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(10.70 )</w:t>
            </w:r>
          </w:p>
        </w:tc>
        <w:tc>
          <w:tcPr>
            <w:tcW w:w="60" w:type="dxa"/>
            <w:vAlign w:val="bottom"/>
          </w:tcPr>
          <w:p>
            <w:pPr>
              <w:spacing w:after="0"/>
              <w:rPr>
                <w:sz w:val="20"/>
                <w:szCs w:val="20"/>
                <w:color w:val="auto"/>
              </w:rPr>
            </w:pPr>
          </w:p>
        </w:tc>
      </w:tr>
      <w:tr>
        <w:trPr>
          <w:trHeight w:val="245"/>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38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(1.18 )</w:t>
            </w:r>
          </w:p>
        </w:tc>
        <w:tc>
          <w:tcPr>
            <w:tcW w:w="188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(0.55 )</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60" w:type="dxa"/>
            <w:vAlign w:val="bottom"/>
          </w:tcPr>
          <w:p>
            <w:pPr>
              <w:spacing w:after="0"/>
              <w:rPr>
                <w:sz w:val="21"/>
                <w:szCs w:val="21"/>
                <w:color w:val="auto"/>
              </w:rPr>
            </w:pPr>
          </w:p>
        </w:tc>
      </w:tr>
      <w:tr>
        <w:trPr>
          <w:trHeight w:val="24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3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0.64</w:t>
            </w:r>
          </w:p>
        </w:tc>
        <w:tc>
          <w:tcPr>
            <w:tcW w:w="1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(0.05 )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60" w:type="dxa"/>
            <w:vAlign w:val="bottom"/>
          </w:tcPr>
          <w:p>
            <w:pPr>
              <w:spacing w:after="0"/>
              <w:rPr>
                <w:sz w:val="20"/>
                <w:szCs w:val="20"/>
                <w:color w:val="auto"/>
              </w:rPr>
            </w:pPr>
          </w:p>
        </w:tc>
      </w:tr>
      <w:tr>
        <w:trPr>
          <w:trHeight w:val="245"/>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CARES Act</w:t>
            </w:r>
          </w:p>
        </w:tc>
        <w:tc>
          <w:tcPr>
            <w:tcW w:w="20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41.53</w:t>
            </w:r>
          </w:p>
        </w:tc>
        <w:tc>
          <w:tcPr>
            <w:tcW w:w="60" w:type="dxa"/>
            <w:vAlign w:val="bottom"/>
          </w:tcPr>
          <w:p>
            <w:pPr>
              <w:spacing w:after="0"/>
              <w:rPr>
                <w:sz w:val="21"/>
                <w:szCs w:val="21"/>
                <w:color w:val="auto"/>
              </w:rPr>
            </w:pPr>
          </w:p>
        </w:tc>
      </w:tr>
      <w:tr>
        <w:trPr>
          <w:trHeight w:val="24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basis difference - IRC Section 165(g) 3</w:t>
            </w:r>
          </w:p>
        </w:tc>
        <w:tc>
          <w:tcPr>
            <w:tcW w:w="2080" w:type="dxa"/>
            <w:vAlign w:val="bottom"/>
          </w:tcPr>
          <w:p>
            <w:pPr>
              <w:spacing w:after="0"/>
              <w:rPr>
                <w:sz w:val="20"/>
                <w:szCs w:val="20"/>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c>
          <w:tcPr>
            <w:tcW w:w="60" w:type="dxa"/>
            <w:vAlign w:val="bottom"/>
          </w:tcPr>
          <w:p>
            <w:pPr>
              <w:spacing w:after="0"/>
              <w:rPr>
                <w:sz w:val="20"/>
                <w:szCs w:val="20"/>
                <w:color w:val="auto"/>
              </w:rPr>
            </w:pPr>
          </w:p>
        </w:tc>
      </w:tr>
      <w:tr>
        <w:trPr>
          <w:trHeight w:val="245"/>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0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60" w:type="dxa"/>
            <w:vAlign w:val="bottom"/>
          </w:tcPr>
          <w:p>
            <w:pPr>
              <w:spacing w:after="0"/>
              <w:rPr>
                <w:sz w:val="21"/>
                <w:szCs w:val="21"/>
                <w:color w:val="auto"/>
              </w:rPr>
            </w:pPr>
          </w:p>
        </w:tc>
      </w:tr>
      <w:tr>
        <w:trPr>
          <w:trHeight w:val="24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IRS interest</w:t>
            </w:r>
          </w:p>
        </w:tc>
        <w:tc>
          <w:tcPr>
            <w:tcW w:w="3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(1.46 )</w:t>
            </w:r>
          </w:p>
        </w:tc>
        <w:tc>
          <w:tcPr>
            <w:tcW w:w="1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4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(0.14 )</w:t>
            </w:r>
          </w:p>
        </w:tc>
        <w:tc>
          <w:tcPr>
            <w:tcW w:w="188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(0.94 )</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60" w:type="dxa"/>
            <w:vAlign w:val="bottom"/>
          </w:tcPr>
          <w:p>
            <w:pPr>
              <w:spacing w:after="0"/>
              <w:rPr>
                <w:sz w:val="21"/>
                <w:szCs w:val="21"/>
                <w:color w:val="auto"/>
              </w:rPr>
            </w:pPr>
          </w:p>
        </w:tc>
      </w:tr>
      <w:tr>
        <w:trPr>
          <w:trHeight w:val="23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3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19.80 %</w:t>
            </w:r>
          </w:p>
        </w:tc>
        <w:tc>
          <w:tcPr>
            <w:tcW w:w="1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24.87 %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49.83 %</w:t>
            </w:r>
          </w:p>
        </w:tc>
      </w:tr>
      <w:tr>
        <w:trPr>
          <w:trHeight w:val="20"/>
        </w:trPr>
        <w:tc>
          <w:tcPr>
            <w:tcW w:w="45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0"/>
        </w:trPr>
        <w:tc>
          <w:tcPr>
            <w:tcW w:w="4500" w:type="dxa"/>
            <w:vAlign w:val="bottom"/>
          </w:tcPr>
          <w:p>
            <w:pPr>
              <w:spacing w:after="0"/>
              <w:rPr>
                <w:sz w:val="24"/>
                <w:szCs w:val="24"/>
                <w:color w:val="auto"/>
              </w:rPr>
            </w:pPr>
          </w:p>
        </w:tc>
        <w:tc>
          <w:tcPr>
            <w:tcW w:w="2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67</w:t>
            </w:r>
          </w:p>
        </w:tc>
        <w:tc>
          <w:tcPr>
            <w:tcW w:w="1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50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49" w:right="2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subject to a tax on global intangible low-tax income (“GILTI”). GILTI taxes foreign income in excess of deemed return on tangible assets of a foreign corporation and we elected to treat this tax as a period cost. The impact from GILTI was not material for Fiscal 2023, 2022 or 2021.</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$54.1 million non-current prepaid income tax receivable on our Consolidated Balance Sheets as of January 28, 2023. This receivable relates to the remaining uncollected portion of our $107.2 million carryback of our Fiscal 2021 federal tax losses to prior tax periods under the CARES Act. The Internal Revenue Service ("IRS") is currently auditing the refund claim under the requirements of the Joint Committee on Taxation refund review process. We expect the examination process to extend greater than 12 months. We concluded that all positions in the refund claim met the more-likely-than-not standard based on the technical merits of the position and we recorded the benefit under the requirements of ASC 740. In addition, we recorded a $0.2 million unrecognized tax benefit related to the claim. It is possible the IRS could challenge our interpretation of the technical merits of the positions and the actual amount of the tax benefit may differ from the original refund claim.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and liabilities are comprised of the following:</w:t>
            </w:r>
          </w:p>
        </w:tc>
        <w:tc>
          <w:tcPr>
            <w:tcW w:w="1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2"/>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January 29, 2022</w:t>
            </w: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Pensions</w:t>
            </w:r>
          </w:p>
        </w:tc>
        <w:tc>
          <w:tcPr>
            <w:tcW w:w="134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502</w:t>
            </w:r>
          </w:p>
        </w:tc>
        <w:tc>
          <w:tcPr>
            <w:tcW w:w="6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w:t>
            </w:r>
          </w:p>
        </w:tc>
      </w:tr>
      <w:tr>
        <w:trPr>
          <w:trHeight w:val="24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obligation</w:t>
            </w:r>
          </w:p>
        </w:tc>
        <w:tc>
          <w:tcPr>
            <w:tcW w:w="1340" w:type="dxa"/>
            <w:vAlign w:val="bottom"/>
          </w:tcPr>
          <w:p>
            <w:pPr>
              <w:spacing w:after="0"/>
              <w:rPr>
                <w:sz w:val="20"/>
                <w:szCs w:val="20"/>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139,486</w:t>
            </w:r>
          </w:p>
        </w:tc>
        <w:tc>
          <w:tcPr>
            <w:tcW w:w="6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159,411</w:t>
            </w:r>
          </w:p>
        </w:tc>
      </w:tr>
      <w:tr>
        <w:trPr>
          <w:trHeight w:val="24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 tax depreciation</w:t>
            </w:r>
          </w:p>
        </w:tc>
        <w:tc>
          <w:tcPr>
            <w:tcW w:w="1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16,430</w:t>
            </w:r>
          </w:p>
        </w:tc>
        <w:tc>
          <w:tcPr>
            <w:tcW w:w="6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17,369</w:t>
            </w:r>
          </w:p>
        </w:tc>
      </w:tr>
      <w:tr>
        <w:trPr>
          <w:trHeight w:val="24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accruals</w:t>
            </w:r>
          </w:p>
        </w:tc>
        <w:tc>
          <w:tcPr>
            <w:tcW w:w="1340" w:type="dxa"/>
            <w:vAlign w:val="bottom"/>
          </w:tcPr>
          <w:p>
            <w:pPr>
              <w:spacing w:after="0"/>
              <w:rPr>
                <w:sz w:val="20"/>
                <w:szCs w:val="20"/>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9,471</w:t>
            </w:r>
          </w:p>
        </w:tc>
        <w:tc>
          <w:tcPr>
            <w:tcW w:w="6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11,965</w:t>
            </w:r>
          </w:p>
        </w:tc>
      </w:tr>
      <w:tr>
        <w:trPr>
          <w:trHeight w:val="24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Uniform capitalization costs</w:t>
            </w:r>
          </w:p>
        </w:tc>
        <w:tc>
          <w:tcPr>
            <w:tcW w:w="1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8,381</w:t>
            </w:r>
          </w:p>
        </w:tc>
        <w:tc>
          <w:tcPr>
            <w:tcW w:w="6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4,844</w:t>
            </w:r>
          </w:p>
        </w:tc>
      </w:tr>
      <w:tr>
        <w:trPr>
          <w:trHeight w:val="24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discontinued operations and restructurings</w:t>
            </w:r>
          </w:p>
        </w:tc>
        <w:tc>
          <w:tcPr>
            <w:tcW w:w="1340" w:type="dxa"/>
            <w:vAlign w:val="bottom"/>
          </w:tcPr>
          <w:p>
            <w:pPr>
              <w:spacing w:after="0"/>
              <w:rPr>
                <w:sz w:val="20"/>
                <w:szCs w:val="20"/>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662</w:t>
            </w:r>
          </w:p>
        </w:tc>
        <w:tc>
          <w:tcPr>
            <w:tcW w:w="6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w:t>
            </w:r>
          </w:p>
        </w:tc>
      </w:tr>
      <w:tr>
        <w:trPr>
          <w:trHeight w:val="24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valuation</w:t>
            </w:r>
          </w:p>
        </w:tc>
        <w:tc>
          <w:tcPr>
            <w:tcW w:w="1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706</w:t>
            </w:r>
          </w:p>
        </w:tc>
        <w:tc>
          <w:tcPr>
            <w:tcW w:w="6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r>
      <w:tr>
        <w:trPr>
          <w:trHeight w:val="24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net operating loss and credit carryforwards</w:t>
            </w:r>
          </w:p>
        </w:tc>
        <w:tc>
          <w:tcPr>
            <w:tcW w:w="1340" w:type="dxa"/>
            <w:vAlign w:val="bottom"/>
          </w:tcPr>
          <w:p>
            <w:pPr>
              <w:spacing w:after="0"/>
              <w:rPr>
                <w:sz w:val="20"/>
                <w:szCs w:val="20"/>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23,146</w:t>
            </w:r>
          </w:p>
        </w:tc>
        <w:tc>
          <w:tcPr>
            <w:tcW w:w="6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31,646</w:t>
            </w:r>
          </w:p>
        </w:tc>
      </w:tr>
      <w:tr>
        <w:trPr>
          <w:trHeight w:val="24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for bad debts and notes</w:t>
            </w:r>
          </w:p>
        </w:tc>
        <w:tc>
          <w:tcPr>
            <w:tcW w:w="1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760</w:t>
            </w:r>
          </w:p>
        </w:tc>
        <w:tc>
          <w:tcPr>
            <w:tcW w:w="6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r>
      <w:tr>
        <w:trPr>
          <w:trHeight w:val="24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and restricted stock</w:t>
            </w:r>
          </w:p>
        </w:tc>
        <w:tc>
          <w:tcPr>
            <w:tcW w:w="1340" w:type="dxa"/>
            <w:vAlign w:val="bottom"/>
          </w:tcPr>
          <w:p>
            <w:pPr>
              <w:spacing w:after="0"/>
              <w:rPr>
                <w:sz w:val="20"/>
                <w:szCs w:val="20"/>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3,012</w:t>
            </w:r>
          </w:p>
        </w:tc>
        <w:tc>
          <w:tcPr>
            <w:tcW w:w="6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2,736</w:t>
            </w:r>
          </w:p>
        </w:tc>
      </w:tr>
      <w:tr>
        <w:trPr>
          <w:trHeight w:val="24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Identified intangibles</w:t>
            </w:r>
          </w:p>
        </w:tc>
        <w:tc>
          <w:tcPr>
            <w:tcW w:w="1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1,162</w:t>
            </w:r>
          </w:p>
        </w:tc>
        <w:tc>
          <w:tcPr>
            <w:tcW w:w="6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r>
      <w:tr>
        <w:trPr>
          <w:trHeight w:val="240"/>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33</w:t>
            </w: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38"/>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340" w:type="dxa"/>
            <w:vAlign w:val="bottom"/>
            <w:shd w:val="clear" w:color="auto" w:fill="CFF0FC"/>
          </w:tcPr>
          <w:p>
            <w:pPr>
              <w:spacing w:after="0"/>
              <w:rPr>
                <w:sz w:val="20"/>
                <w:szCs w:val="20"/>
                <w:color w:val="auto"/>
              </w:rPr>
            </w:pPr>
          </w:p>
        </w:tc>
        <w:tc>
          <w:tcPr>
            <w:tcW w:w="1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203,751</w:t>
            </w:r>
          </w:p>
        </w:tc>
        <w:tc>
          <w:tcPr>
            <w:tcW w:w="62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231,821</w:t>
            </w:r>
          </w:p>
        </w:tc>
      </w:tr>
      <w:tr>
        <w:trPr>
          <w:trHeight w:val="240"/>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(36,482 )</w:t>
            </w: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(42,195 )</w:t>
            </w:r>
          </w:p>
        </w:tc>
      </w:tr>
      <w:tr>
        <w:trPr>
          <w:trHeight w:val="236"/>
        </w:trPr>
        <w:tc>
          <w:tcPr>
            <w:tcW w:w="5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net of valuation allowance</w:t>
            </w:r>
          </w:p>
        </w:tc>
        <w:tc>
          <w:tcPr>
            <w:tcW w:w="1340" w:type="dxa"/>
            <w:vAlign w:val="bottom"/>
            <w:tcBorders>
              <w:bottom w:val="single" w:sz="8" w:color="auto"/>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167,269</w:t>
            </w:r>
          </w:p>
        </w:tc>
        <w:tc>
          <w:tcPr>
            <w:tcW w:w="62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189,626</w:t>
            </w:r>
          </w:p>
        </w:tc>
      </w:tr>
      <w:tr>
        <w:trPr>
          <w:trHeight w:val="23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intangibles</w:t>
            </w:r>
          </w:p>
        </w:tc>
        <w:tc>
          <w:tcPr>
            <w:tcW w:w="134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(6,288 )</w:t>
            </w:r>
          </w:p>
        </w:tc>
        <w:tc>
          <w:tcPr>
            <w:tcW w:w="6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(6,333 )</w:t>
            </w:r>
          </w:p>
        </w:tc>
      </w:tr>
      <w:tr>
        <w:trPr>
          <w:trHeight w:val="24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Prepaids</w:t>
            </w:r>
          </w:p>
        </w:tc>
        <w:tc>
          <w:tcPr>
            <w:tcW w:w="1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(2,045 )</w:t>
            </w:r>
          </w:p>
        </w:tc>
        <w:tc>
          <w:tcPr>
            <w:tcW w:w="6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(1,784 )</w:t>
            </w:r>
          </w:p>
        </w:tc>
      </w:tr>
      <w:tr>
        <w:trPr>
          <w:trHeight w:val="24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34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(132,050 )</w:t>
            </w:r>
          </w:p>
        </w:tc>
        <w:tc>
          <w:tcPr>
            <w:tcW w:w="6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(150,554 )</w:t>
            </w:r>
          </w:p>
        </w:tc>
      </w:tr>
      <w:tr>
        <w:trPr>
          <w:trHeight w:val="24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(30,421 )</w:t>
            </w:r>
          </w:p>
        </w:tc>
      </w:tr>
      <w:tr>
        <w:trPr>
          <w:trHeight w:val="240"/>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(832 )</w:t>
            </w: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(1,051 )</w:t>
            </w:r>
          </w:p>
        </w:tc>
      </w:tr>
      <w:tr>
        <w:trPr>
          <w:trHeight w:val="236"/>
        </w:trPr>
        <w:tc>
          <w:tcPr>
            <w:tcW w:w="5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340" w:type="dxa"/>
            <w:vAlign w:val="bottom"/>
            <w:tcBorders>
              <w:bottom w:val="single" w:sz="8" w:color="auto"/>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(141,215 )</w:t>
            </w:r>
          </w:p>
        </w:tc>
        <w:tc>
          <w:tcPr>
            <w:tcW w:w="62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(190,143 )</w:t>
            </w:r>
          </w:p>
        </w:tc>
      </w:tr>
      <w:tr>
        <w:trPr>
          <w:trHeight w:val="236"/>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26,054</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(517 )</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balances have been classified in our Consolidated Balance Sheets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Fiscal Year Ended</w:t>
            </w:r>
          </w:p>
        </w:tc>
        <w:tc>
          <w:tcPr>
            <w:tcW w:w="740" w:type="dxa"/>
            <w:vAlign w:val="bottom"/>
            <w:tcBorders>
              <w:bottom w:val="single" w:sz="8" w:color="auto"/>
            </w:tcBorders>
          </w:tcPr>
          <w:p>
            <w:pPr>
              <w:spacing w:after="0"/>
              <w:rPr>
                <w:sz w:val="21"/>
                <w:szCs w:val="21"/>
                <w:color w:val="auto"/>
              </w:rPr>
            </w:pPr>
          </w:p>
        </w:tc>
      </w:tr>
      <w:tr>
        <w:trPr>
          <w:trHeight w:val="24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3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non-current asset</w:t>
            </w:r>
          </w:p>
        </w:tc>
        <w:tc>
          <w:tcPr>
            <w:tcW w:w="33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28,563</w:t>
            </w:r>
          </w:p>
        </w:tc>
        <w:tc>
          <w:tcPr>
            <w:tcW w:w="104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1,466</w:t>
            </w:r>
          </w:p>
        </w:tc>
      </w:tr>
      <w:tr>
        <w:trPr>
          <w:trHeight w:val="24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non-current liability</w:t>
            </w:r>
          </w:p>
        </w:tc>
        <w:tc>
          <w:tcPr>
            <w:tcW w:w="3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(2,509 )</w:t>
            </w:r>
          </w:p>
        </w:tc>
        <w:tc>
          <w:tcPr>
            <w:tcW w:w="10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(1,983 )</w:t>
            </w:r>
          </w:p>
        </w:tc>
      </w:tr>
      <w:tr>
        <w:trPr>
          <w:trHeight w:val="276"/>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3980" w:type="dxa"/>
            <w:vAlign w:val="bottom"/>
            <w:tcBorders>
              <w:bottom w:val="single" w:sz="8" w:color="auto"/>
            </w:tcBorders>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26,054</w:t>
            </w:r>
          </w:p>
        </w:tc>
        <w:tc>
          <w:tcPr>
            <w:tcW w:w="104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(517 )</w:t>
            </w:r>
          </w:p>
        </w:tc>
      </w:tr>
      <w:tr>
        <w:trPr>
          <w:trHeight w:val="630"/>
        </w:trPr>
        <w:tc>
          <w:tcPr>
            <w:tcW w:w="4180" w:type="dxa"/>
            <w:vAlign w:val="bottom"/>
          </w:tcPr>
          <w:p>
            <w:pPr>
              <w:spacing w:after="0"/>
              <w:rPr>
                <w:sz w:val="24"/>
                <w:szCs w:val="24"/>
                <w:color w:val="auto"/>
              </w:rPr>
            </w:pPr>
          </w:p>
        </w:tc>
        <w:tc>
          <w:tcPr>
            <w:tcW w:w="334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January 28, 2023 and January 29, 2022, we had state net operating loss carryforwards of $9.0 million and $13.9 million, respectively. We provided a valuation allowance against these attributes of $3.2 million as of both January 28, 2023 and January 29, 2022. The attributes expire in fiscal years 2024 through 2039.</w:t>
      </w:r>
    </w:p>
    <w:p>
      <w:pPr>
        <w:spacing w:after="0" w:line="1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of January 28, 2023 and January 29, 2022, we had state tax credits of $0.6 million and $0.5 million, respectively. These credits expire in fiscal years 2024 through 2026.</w:t>
      </w:r>
    </w:p>
    <w:p>
      <w:pPr>
        <w:spacing w:after="0" w:line="1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January 28, 2023 and January 29, 2022, we had foreign net operating loss carryforwards of $39.8 million and $50.6 million, respectively, which have a carryforward period at least 17 years.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January 28, 2023, we have provided a total valuation allowance of approximately $36.5 million on deferred tax assets associated primarily with foreign and state net operating losses for which management has determined it is more likely than not that the deferred tax assets will not be realized. The $5.7 million net decrease in valuation allowance during Fiscal 2023 from the $42.2 million provided for as of January 29, 2022 relates primarily to foreign tax attributes. We removed $2.4 million of German deferred tax assets and an equivalent amount of valuation allowance and our entity operating in Germany was merged out of existence in the period ended January 28, 2023. Management believes that it is more likely than not that the remaining deferred tax assets will be fully realized.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January 28, 2023, no deferred taxes have been provided on the accumulated undistributed earnings of our foreign operations beyond the amounts recorded for deemed repatriation of such earnings, as required in the Tax Cuts and Jobs Act (the "Act"). An actual repatriation of earnings from our foreign operations could still be subject to additional foreign withholding and U.S. state taxes. Based upon evaluation of our foreign operations, undistributed earnings are intended to remain permanently reinvested to finance anticipated future growth and expansion, and accordingly, deferred taxes have not been provided. If undistributed earnings of our foreign operations were not considered permanently reinvested as of January 28, 2023, an immaterial amount of additional deferred taxes would have been provided.</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January 28, 2023, foreign tax credit carryforwards of approximately $4.0 million were available to reduce possible future U.S. income taxes and which expire from 2028 to 2031. As a result of the Act, we may no longer utilize certain U.S. foreign tax credit carryforwards. A valuation allowance of $3.8 million has been established against these credits.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4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r>
      <w:tr>
        <w:trPr>
          <w:trHeight w:val="238"/>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 – Beginning of Period</w:t>
            </w:r>
          </w:p>
        </w:tc>
        <w:tc>
          <w:tcPr>
            <w:tcW w:w="20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6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r>
        <w:trPr>
          <w:trHeight w:val="24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(Decreases) – Tax Positions in a Current Period</w:t>
            </w: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Lapse of Statutes of Limitations</w:t>
            </w:r>
          </w:p>
        </w:tc>
        <w:tc>
          <w:tcPr>
            <w:tcW w:w="1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 End of Period</w:t>
            </w:r>
          </w:p>
        </w:tc>
        <w:tc>
          <w:tcPr>
            <w:tcW w:w="2080" w:type="dxa"/>
            <w:vAlign w:val="bottom"/>
            <w:tcBorders>
              <w:bottom w:val="single" w:sz="8" w:color="auto"/>
            </w:tcBorders>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68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r>
        <w:trPr>
          <w:trHeight w:val="846"/>
        </w:trPr>
        <w:tc>
          <w:tcPr>
            <w:tcW w:w="5080" w:type="dxa"/>
            <w:vAlign w:val="bottom"/>
          </w:tcPr>
          <w:p>
            <w:pPr>
              <w:spacing w:after="0"/>
              <w:rPr>
                <w:sz w:val="24"/>
                <w:szCs w:val="24"/>
                <w:color w:val="auto"/>
              </w:rPr>
            </w:pP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amount of unrecognized tax benefits as of January 28, 2023, January 29, 2022 and January 30, 2021, which would impact the annual effective rate if recognized were $0.2 million each year. The amount of unrecognized tax benefits may change during the next twelve months but we do not believe the change, if any, will be material to our consolidated financial position or results of operations.</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recognize interest expense and penalties related to the above unrecognized tax benefits within income tax expense on the Consolidated Statements of Operations and it was not material for Fiscal 2023, 2022 or 2021. We recorded $1.7 million of interest income within income tax expense, net on the Consolidated Statements of Operations for the year ended January 28, 2023 related to our outstanding federal refund request.</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file income tax returns in federal and in many state and local jurisdictions as well as foreign jurisdictions. With few exceptions, our state and local income tax returns for fiscal years ended February 1, 2020 and beyond remain subject to examination. In addition, we have subsidiaries in various foreign jurisdictions that have statutes of limitation generally ranging from two to six years. As part of the IRS audit of our federal income tax return for the fiscal year end January 30, 2021, we have extended the statute of limitations for our fiscal years February 1, 2020, forward.</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CHIPS and Science Act of 2022 ("CHIPS") and the Inflation Reduction Act of 2022 ("IRA") were signed into law on August 9, 2022 and August 16, 2022, respectively. The legislation introduces new options for monetizing certain credits, a corporate alternative minimum tax and a stock repurchase excise tax. The stock repurchase excise tax is the principal provision that may be applicable to us and was effective for stock repurchases after December 31, 2022. We did not make any stock repurchases from January 1, 2023 to our fiscal year-end on January 28, 2023. We are still evaluating the overall impact of the CHIPS and IRA laws, but reported no impact from the new legislation for our fiscal year ended January 28,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Postretirement Benefit Plans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provide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We accrue such benefits during the period in which the employee renders service.</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December 31, 2018, the early retiree medical plan was frozen to new entrants. The grandfathered group of employees as of December 31, 2018 were those that had reached age 45 and had at least 10 years of service with the Company and retire at age 55 or older and have at least 15 years of service with the Company.</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measurement date of the assets and liabilities for postretirement medical and life insurance plans is the month-end date that is closest to our fiscal year end.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Postretirement Benefit Plans, Continued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Balance Sheets include other postretirement medical and life insurance liabilities of $5.2 million and $6.1 million as of January 28, 2023 and January 29, 2022, respectively. The amount recognized in accumulated other comprehensive loss on the Consolidated Balance Sheets was $1.3 million and $1.7 million as of January 28, 2023 and January 29, 2022, respectively. Our Consolidated Statement of Operations includes net periodic benefit cost for other postretirement benefits of $0.3 million and $0.2 million in Fiscal 2023 and 2022, respectively, and net periodic benefit income of $0.6 million in Fiscal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401(k) Savings Plan</w:t>
      </w:r>
    </w:p>
    <w:p>
      <w:pPr>
        <w:spacing w:after="0" w:line="19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a Section 401(k) Savings Plan available to all employees, including retail employees who have completed 500 hours of service within the first six months of employment, and are age 18 or older.</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January 1, 2005, we began matching 100% of each employee’s contribution of up to 3% of salary and 50% of the next 2% of salary. In addition, for those employees hired before December 31, 2004, who were eligible for our cash balance retirement plan before it was frozen, we annually make an additional contribution of 2.5% of salary to each employee’s account. Participants are immediately vested in their contributions and our matching contribution plus actual earnings thereon. Our contribution expense for the matching program was approximately $5.2 million for Fiscal 2023, $5.9 million for Fiscal 2022 and $2.9 million for Fiscal 2021. As a result of the COVID-19 pandemic, we suspended our match of employee contributions as of May 1, 2020. The match was reinstated on January 1,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earnings available to common shareholders by the weighted average number of common shares outstanding for the period. Diluted earnings per share reflects the potential dilution that could occur if securities to issue common stock were exercised or converted to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number of shares used for earnings per share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Fiscal Year</w:t>
            </w:r>
          </w:p>
        </w:tc>
        <w:tc>
          <w:tcPr>
            <w:tcW w:w="1160" w:type="dxa"/>
            <w:vAlign w:val="bottom"/>
            <w:tcBorders>
              <w:bottom w:val="single" w:sz="8" w:color="auto"/>
            </w:tcBorders>
          </w:tcPr>
          <w:p>
            <w:pPr>
              <w:spacing w:after="0"/>
              <w:rPr>
                <w:sz w:val="20"/>
                <w:szCs w:val="20"/>
                <w:color w:val="auto"/>
              </w:rPr>
            </w:pPr>
          </w:p>
        </w:tc>
      </w:tr>
      <w:tr>
        <w:trPr>
          <w:trHeight w:val="240"/>
        </w:trPr>
        <w:tc>
          <w:tcPr>
            <w:tcW w:w="5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in thousands)</w:t>
            </w:r>
          </w:p>
        </w:tc>
        <w:tc>
          <w:tcPr>
            <w:tcW w:w="29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 basic</w:t>
            </w:r>
          </w:p>
        </w:tc>
        <w:tc>
          <w:tcPr>
            <w:tcW w:w="2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12,457</w:t>
            </w:r>
          </w:p>
        </w:tc>
        <w:tc>
          <w:tcPr>
            <w:tcW w:w="1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14,170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14,216</w:t>
            </w:r>
          </w:p>
        </w:tc>
      </w:tr>
      <w:tr>
        <w:trPr>
          <w:trHeight w:val="243"/>
        </w:trPr>
        <w:tc>
          <w:tcPr>
            <w:tcW w:w="5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9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250</w:t>
            </w:r>
          </w:p>
        </w:tc>
        <w:tc>
          <w:tcPr>
            <w:tcW w:w="180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339</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 diluted</w:t>
            </w:r>
          </w:p>
        </w:tc>
        <w:tc>
          <w:tcPr>
            <w:tcW w:w="2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12,707</w:t>
            </w:r>
          </w:p>
        </w:tc>
        <w:tc>
          <w:tcPr>
            <w:tcW w:w="1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14,509</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14,216</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equivalents are excluded in Fiscal 2021 due to the loss from continuing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Share, Continued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repurchased 1,380,272 shares during Fiscal 2023 at a cost of $72.7 million or an average of $52.66 per share. The Consolidated Statements of Cash Flows include an additional $4.8 million of share repurchases in Fiscal 2023 for accruals made as of January 29, 2022 due to timing of the cash settlement. We were operating under a $100.0 million repurchase authorization from September 2019. In February 2022, we announced a $100.0 million increase to the existing $100.0 million share repurchase authorization. As of January 28, 2023, we have $34.1 million remaining under the expanded share repurchase authorization. We repurchased 1,360,909 shares during Fiscal 2022 at a cost of $82.8 million or an average of $60.88 per share. We did not repurchase any shares in Fiscal 2021. During the first quarter of Fiscal 2024, through March 22, 2023, we repurchased 135,000 shares at a cost of $5.0 million or an average of $36.67 per share.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w:t>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share-based compensation covering certain members of management and non-employee directors. The fair value of employee restricted stock is determined based on the closing price of our stock on the date of grant. Forfeitures for restricted stock are recognized as they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Cash Incentive Plans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2020 Plan, which became effective June 25, 2020, we may grant options, restricted shares, performance awards and other stock-based awards to our key employees, non-employee directors and consultants for up to 1.8 million shares of common stock. The 2020 Plan replaced our Second Amended and Restated 2009 Equity Incentive Plan (the “2009 Plan”). There will be no future awards under the 2009 Plan. Under both plans, the exercise price of each option equals the market price of our stock on the date of grant, and an option’s maximum term is 10 years. Options granted under the plan primarily vest 25% per year over four years. Restricted share grants deplete the shares available for future grants at a ratio of 2.0 shares per restricted share grant.</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established the 2020 Restricted Cash Incentive Program (the “Program”) in Fiscal 2021 to attract and retain executive officers and key employees. Total cash of $2.7 million was granted in June 2020 under this Program. Cash granted under the Program will primarily vest 25% per year over four years. Only employees that were employed as of the grant date were eligible for the Program. The compensation paid under the Program is taxable and subject to applicable tax withholding requirements. Compensation expense recognized in selling and administrative expenses in the accompanying Consolidated Statements of Operations, for this cash grant was $0.6 million, $0.7 million and $0.4 million for Fiscal 2023, Fiscal 2022 and Fiscal 2021, respectively.</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5, 2020, our chief executive officer was issued a one-time grant of stock options under the 2009 Plan of 26,620 shares with a grant date fair value of $500,000. The fair value of the one-time stock option is recognized as compensation expense ratably over the vesting period. We estimated the fair value of the stock option award as of the date of the grant by applying a </w:t>
      </w:r>
      <w:r>
        <w:rPr>
          <w:rFonts w:ascii="Times New Roman" w:cs="Times New Roman" w:eastAsia="Times New Roman" w:hAnsi="Times New Roman"/>
          <w:sz w:val="18"/>
          <w:szCs w:val="18"/>
          <w:i w:val="1"/>
          <w:iCs w:val="1"/>
          <w:color w:val="auto"/>
        </w:rPr>
        <w:t>Black-Scholes</w:t>
      </w:r>
      <w:r>
        <w:rPr>
          <w:rFonts w:ascii="Times New Roman" w:cs="Times New Roman" w:eastAsia="Times New Roman" w:hAnsi="Times New Roman"/>
          <w:sz w:val="18"/>
          <w:szCs w:val="18"/>
          <w:color w:val="auto"/>
        </w:rPr>
        <w:t xml:space="preserve"> pricing valuation model. The application of this valuation model involves assumptions that are judgmental and highly sensitive in the determination of compensation expense. The key assumptions used in determining the fair value of the stock option award granted during Fiscal 2021 were expected price volatility of 45.0%, a risk-free rate of 1.52% and a weighted average term of 6.25 years. This resulted in a fair value of $18.78 per share for this one-time stock option.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recognized $0.1 million of stock option related share-based compensation in each of Fiscal 2023, Fiscal 2022 and Fiscal 2021 in selling and administrative expenses in the accompanying Consolidated Statements of Operations. As of January 28, 2023, there was $0.1 million of unrecognized compensation expense related to these stock options under the 2009 Plan. We did not capitalize any share-based compensation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Incentive Plans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Restricted Stock</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2020 Plan permits grants to non-employee directors on such terms as the Board of Directors may approve. Restricted stock awards were made to independent directors on the date of the annual meeting of shareholders in each of Fiscal 2023, 2022 and 2021. The shares granted in each award vested on the earlier of the first anniversary of the grant date and the date of the next annual meeting of shareholders, subject to the director's continued service through that date. For awards made prior to Fiscal 2021, the director is restricted from selling, transferring, pledging or assigning the shares for three years from the grant date unless he or she earlier leaves the Board.</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grants for Fiscal 2023 were valued at $120,000 per director, the grants for Fiscal 2022 were valued at $107,500 per director and the grants for Fiscal 2021 were valued at $91,375 per director. For Fiscal 2023, 2022 and 2021, we issued 16,536 shares, 14,936 shares and 28,266 shares, respectively, of director restricted stock. In addition, we issued 504 shares and 1,338 shares to newly elected directors in Fiscal 2022 and Fiscal 2021, respectively. We did not issue any shares to new directors in Fiscal 2023.</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2009 Plan permitted an outside director to elect irrevocably to receive all or a specified portion of his or her annual retainers for Board membership and any committee chairmanship for the following fiscal year in a number of shares of restricted stock (the "Retainer Stock"). Shares of the Retainer Stock were granted as of the first business day of the fiscal year as to which the election was effective, subject to forfeiture to the extent not earned upon the outside director's ceasing to serve as a director or committee chairman during such fiscal year. Once the shares were earned, the director is restricted from selling, transferring, pledging or assigning the shares for an additional three years. The 2020 Plan does not permit the issuance of retainer stock. For Fiscal 2021, we issued 10,457 shares of Retainer Stock. Director retainer fees were reduced during Fiscal 2021 primarily related to the COVID-19 pandemic. In connection with the fee reduction, 2,965 shares of Retainer Stock were forfeited during Fiscal 2021.</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recognized $1.0 million, $0.7 million and $0.9 million of director restricted stock related share-based compensation in Fiscal 2023, 2022 and 2021 in selling and administrative expenses in the accompanying Consolidated Statements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Restricted Stock</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2020 Plan, we issued 221,581 shares and 228,444 shares of employee restricted stock in Fiscal 2023 and Fiscal 2022, respectively. Under the 2009 Plan, we issued 427,741 shares of employee restricted stock in Fiscal 2021. Shares of employee restricted stock issued in Fiscal 2023, 2022 and 2021 primarily vest 25% per year over four years, provided that on such date the grantee has remained continuously employed by the Company since the date of grant. In addition, we issued 77,487 shares of restricted stock to certain executive employees in lieu of a portion of their performance-based compensation in Fiscal 2023. These restricted shares vest two-thirds in Fiscal 2024 and one-third in Fiscal 2025. Total restricted shares issued in Fiscal 2023, including the annual grant to certain employees and performance-based compensation shares, were 299,068 restricted shares. Additionally, we issued 846, 919 and 621 restricted stock units in Fiscal 2023, 2022 and 2021, respectively, to certain employees at no cost that vest over three years. The fair value of employee restricted stock is charged against income as compensation expense over the vesting period. Compensation expense recognized in selling and administrative expenses in the accompanying Consolidated Statements of Operations for these shares was $12.9 million, $8.3 million and $7.4 million for Fiscal 2023, 2022 and 2021,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our nonvested shares of our employee restricted stock as of January 28, 2023 is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Shares</w:t>
            </w: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Grant-Date</w:t>
            </w:r>
          </w:p>
        </w:tc>
        <w:tc>
          <w:tcPr>
            <w:tcW w:w="0" w:type="dxa"/>
            <w:vAlign w:val="bottom"/>
          </w:tcPr>
          <w:p>
            <w:pPr>
              <w:spacing w:after="0"/>
              <w:rPr>
                <w:sz w:val="1"/>
                <w:szCs w:val="1"/>
                <w:color w:val="auto"/>
              </w:rPr>
            </w:pPr>
          </w:p>
        </w:tc>
      </w:tr>
      <w:tr>
        <w:trPr>
          <w:trHeight w:val="241"/>
        </w:trPr>
        <w:tc>
          <w:tcPr>
            <w:tcW w:w="5320" w:type="dxa"/>
            <w:vAlign w:val="bottom"/>
            <w:tcBorders>
              <w:bottom w:val="single" w:sz="8" w:color="auto"/>
            </w:tcBorders>
            <w:vMerge w:val="continue"/>
          </w:tcPr>
          <w:p>
            <w:pPr>
              <w:spacing w:after="0"/>
              <w:rPr>
                <w:sz w:val="20"/>
                <w:szCs w:val="20"/>
                <w:color w:val="auto"/>
              </w:rPr>
            </w:pPr>
          </w:p>
        </w:tc>
        <w:tc>
          <w:tcPr>
            <w:tcW w:w="4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February 1, 2020</w:t>
            </w:r>
          </w:p>
        </w:tc>
        <w:tc>
          <w:tcPr>
            <w:tcW w:w="4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589,778</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427,741</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(139,962 )</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4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(64,382 )</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(147,085 )</w:t>
            </w:r>
          </w:p>
        </w:tc>
        <w:tc>
          <w:tcPr>
            <w:tcW w:w="3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Nonvested at January 30, 2021</w:t>
            </w:r>
          </w:p>
        </w:tc>
        <w:tc>
          <w:tcPr>
            <w:tcW w:w="4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666,090</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4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228,444</w:t>
            </w:r>
          </w:p>
        </w:tc>
        <w:tc>
          <w:tcPr>
            <w:tcW w:w="3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63.40</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(162,205 )</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4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(64,535 )</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(6,885 )</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29, 2022</w:t>
            </w:r>
          </w:p>
        </w:tc>
        <w:tc>
          <w:tcPr>
            <w:tcW w:w="4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660,909</w:t>
            </w:r>
          </w:p>
        </w:tc>
        <w:tc>
          <w:tcPr>
            <w:tcW w:w="3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4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299,068</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57.91</w:t>
            </w:r>
          </w:p>
        </w:tc>
        <w:tc>
          <w:tcPr>
            <w:tcW w:w="0" w:type="dxa"/>
            <w:vAlign w:val="bottom"/>
          </w:tcPr>
          <w:p>
            <w:pPr>
              <w:spacing w:after="0"/>
              <w:rPr>
                <w:sz w:val="1"/>
                <w:szCs w:val="1"/>
                <w:color w:val="auto"/>
              </w:rPr>
            </w:pPr>
          </w:p>
        </w:tc>
      </w:tr>
      <w:tr>
        <w:trPr>
          <w:trHeight w:val="245"/>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4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(166,638 )</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38.03</w:t>
            </w:r>
          </w:p>
        </w:tc>
        <w:tc>
          <w:tcPr>
            <w:tcW w:w="0" w:type="dxa"/>
            <w:vAlign w:val="bottom"/>
          </w:tcPr>
          <w:p>
            <w:pPr>
              <w:spacing w:after="0"/>
              <w:rPr>
                <w:sz w:val="1"/>
                <w:szCs w:val="1"/>
                <w:color w:val="auto"/>
              </w:rPr>
            </w:pPr>
          </w:p>
        </w:tc>
      </w:tr>
      <w:tr>
        <w:trPr>
          <w:trHeight w:val="24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Withheld for federal taxes</w:t>
            </w:r>
          </w:p>
        </w:tc>
        <w:tc>
          <w:tcPr>
            <w:tcW w:w="4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(73,137 )</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37.74</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4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(31,057 )</w:t>
            </w:r>
          </w:p>
        </w:tc>
        <w:tc>
          <w:tcPr>
            <w:tcW w:w="3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42.86</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28, 2023</w:t>
            </w:r>
          </w:p>
        </w:tc>
        <w:tc>
          <w:tcPr>
            <w:tcW w:w="4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689,145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47.85</w:t>
            </w: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January 28, 2023, we had $23.7 million of total unrecognized compensation expense related to nonvested share-based compensation arrangements for restricted stock discussed above. That cost is expected to be recognized over a weighted average period of 1.69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legacy obligations including environmental monitoring and reporting costs related to: (i) a 2016 Consent Judgment entered into with the United States Environmental Protection Agency involving the site of a knitting mill operated by a former subsidiary of ours from 1965 to 1969 in Garden City, New York; and (ii) a 2010 Consent Decree with the Michigan Department of Natural Resources and Environment relating to our former Volunteer Leather Company facility in Whitehall, Michigan. We do not expect that future obligations related to either of these sites will have a material effect on our financial condition or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 for Environmental Contingencies</w:t>
      </w:r>
    </w:p>
    <w:p>
      <w:pPr>
        <w:spacing w:after="0" w:line="2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Related to all outstanding environmental contingencies, we had accrued $1.7 million as of January 28, 2023, $1.4 million as of January 29, 2022 and $1.5 million as of January 30, 2021.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approximately $0.4 million in Fiscal 2023, $0.2 million in Fiscal 2022 and $0.3 million in Fiscal 2021. These charges are included in loss from discontinued operations, net in the Consolidated Statements of Operations and represent changes in estimates.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Related to Discontinued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Lids Sports Group sales transaction, the purchaser has agreed to indemnify and hold us harmless in connection with continuing obligations and any guarantees of ours in place as of February 2, 2019 in respect of post-closing or assumed liabilities or obligations of the Lids Sports Group business. The purchaser has agreed to use commercially reasonable efforts to have any guarantees by, or continuing obligations of, the Company released. However, we are contingently liable in the event of a breach by the purchaser of any such obligation to a third-party. In addition, we are a guarantor for seven Lids Sports Group leases with lease expirations through May 2025 and estimated maximum future payments totaling $5.9 million as of January 28, 2023. We do not believe the fair value of the guarantees is material to our Consolidated Financial Statements.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Genesco Brands Group sell primarily our owned and licensed brands.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assets include cash, domestic prepaid rent expense, prepaid income taxes, deferred income taxes, deferred note expense on revolver debt, corporate fixed assets, corporate operating lease right of use assets and miscellaneous investments. We do not allocate certain costs to each segment in order to make decisions and assess performance. These costs include corporate overhead, bank fees, interest expense, interest income, goodwill impairment, asset impairment charges and other, including a gain on the termination of the pension plan, a gain on the sale of a distribution warehouse, a pension settlement charge, major litigation and major lease terminations.</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Johnston</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02"/>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89"/>
              </w:rPr>
              <w:t>&amp;</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40" w:type="dxa"/>
            <w:vAlign w:val="bottom"/>
          </w:tcPr>
          <w:p>
            <w:pPr>
              <w:spacing w:after="0"/>
              <w:rPr>
                <w:sz w:val="17"/>
                <w:szCs w:val="17"/>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Murphy</w:t>
            </w:r>
          </w:p>
        </w:tc>
        <w:tc>
          <w:tcPr>
            <w:tcW w:w="22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160" w:type="dxa"/>
            <w:vAlign w:val="bottom"/>
          </w:tcPr>
          <w:p>
            <w:pPr>
              <w:spacing w:after="0"/>
              <w:rPr>
                <w:sz w:val="17"/>
                <w:szCs w:val="17"/>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Group</w:t>
            </w: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9"/>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1,482,203</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432,002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314,759</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158,684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2,387,648</w:t>
            </w: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Intercompany sales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(2,760 )</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(2,760 )</w:t>
            </w:r>
          </w:p>
        </w:tc>
      </w:tr>
      <w:tr>
        <w:trPr>
          <w:trHeight w:val="229"/>
        </w:trPr>
        <w:tc>
          <w:tcPr>
            <w:tcW w:w="3800" w:type="dxa"/>
            <w:vAlign w:val="bottom"/>
            <w:tcBorders>
              <w:bottom w:val="single" w:sz="8" w:color="auto"/>
            </w:tcBorders>
            <w:shd w:val="clear" w:color="auto" w:fill="CFF0FC"/>
          </w:tcPr>
          <w:p>
            <w:pPr>
              <w:ind w:left="20"/>
              <w:spacing w:after="0" w:line="229" w:lineRule="exact"/>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1,482,203</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432,002</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314,759</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155,924</w:t>
            </w: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2,384,888</w:t>
            </w:r>
          </w:p>
        </w:tc>
      </w:tr>
      <w:tr>
        <w:trPr>
          <w:trHeight w:val="214"/>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17,601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14,364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(678 )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(31,595 )</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94,096</w:t>
            </w:r>
          </w:p>
        </w:tc>
      </w:tr>
      <w:tr>
        <w:trPr>
          <w:trHeight w:val="238"/>
        </w:trPr>
        <w:tc>
          <w:tcPr>
            <w:tcW w:w="3800" w:type="dxa"/>
            <w:vAlign w:val="bottom"/>
            <w:tcBorders>
              <w:bottom w:val="single" w:sz="8" w:color="auto"/>
            </w:tcBorders>
            <w:shd w:val="clear" w:color="auto" w:fill="CFF0FC"/>
          </w:tcPr>
          <w:p>
            <w:pPr>
              <w:ind w:left="20"/>
              <w:spacing w:after="0" w:line="238"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855</w:t>
            </w:r>
          </w:p>
        </w:tc>
        <w:tc>
          <w:tcPr>
            <w:tcW w:w="1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855</w:t>
            </w:r>
          </w:p>
        </w:tc>
      </w:tr>
      <w:tr>
        <w:trPr>
          <w:trHeight w:val="214"/>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17,601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14,364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(678 )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(32,450 )</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93,241</w:t>
            </w:r>
          </w:p>
        </w:tc>
      </w:tr>
      <w:tr>
        <w:trPr>
          <w:trHeight w:val="23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248</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248</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expense,net</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2,920</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2,920</w:t>
            </w:r>
          </w:p>
        </w:tc>
      </w:tr>
      <w:tr>
        <w:trPr>
          <w:trHeight w:val="193"/>
        </w:trPr>
        <w:tc>
          <w:tcPr>
            <w:tcW w:w="38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continuing operations before income</w:t>
            </w:r>
          </w:p>
        </w:tc>
        <w:tc>
          <w:tcPr>
            <w:tcW w:w="18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CFF0FC"/>
            </w:tcBorders>
            <w:shd w:val="clear" w:color="auto" w:fill="CFF0FC"/>
          </w:tcPr>
          <w:p>
            <w:pPr>
              <w:spacing w:after="0"/>
              <w:rPr>
                <w:sz w:val="16"/>
                <w:szCs w:val="16"/>
                <w:color w:val="auto"/>
              </w:rPr>
            </w:pPr>
          </w:p>
        </w:tc>
      </w:tr>
      <w:tr>
        <w:trPr>
          <w:trHeight w:val="225"/>
        </w:trPr>
        <w:tc>
          <w:tcPr>
            <w:tcW w:w="3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94,404</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17,601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14,364</w:t>
            </w: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(678 ) $</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(35,618 ) $</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90,073</w:t>
            </w:r>
          </w:p>
        </w:tc>
      </w:tr>
      <w:tr>
        <w:trPr>
          <w:trHeight w:val="229"/>
        </w:trPr>
        <w:tc>
          <w:tcPr>
            <w:tcW w:w="3800" w:type="dxa"/>
            <w:vAlign w:val="bottom"/>
          </w:tcPr>
          <w:p>
            <w:pPr>
              <w:ind w:left="20"/>
              <w:spacing w:after="0" w:line="229"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732,124</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198,813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194,417</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74,526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256,546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1,456,426</w:t>
            </w:r>
          </w:p>
        </w:tc>
      </w:tr>
      <w:tr>
        <w:trPr>
          <w:trHeight w:val="229"/>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28,107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6,134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4,352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898</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3,327</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42,818</w:t>
            </w: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27,237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10,330</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8,154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1,429</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12,784</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59,934</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80" w:hanging="372"/>
        <w:spacing w:after="0" w:line="223" w:lineRule="auto"/>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sales in North America and in the United Kingdom, which includes the Republic of Ireland, accounted for 82% and 18%, respectively, of our net sales for Fiscal 2023.</w:t>
      </w:r>
    </w:p>
    <w:p>
      <w:pPr>
        <w:spacing w:after="0" w:line="1" w:lineRule="exact"/>
        <w:rPr>
          <w:rFonts w:ascii="Times New Roman" w:cs="Times New Roman" w:eastAsia="Times New Roman" w:hAnsi="Times New Roman"/>
          <w:sz w:val="24"/>
          <w:szCs w:val="24"/>
          <w:color w:val="auto"/>
          <w:vertAlign w:val="superscript"/>
        </w:rPr>
      </w:pPr>
    </w:p>
    <w:p>
      <w:pPr>
        <w:jc w:val="both"/>
        <w:ind w:left="380" w:hanging="372"/>
        <w:spacing w:after="0" w:line="225" w:lineRule="auto"/>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Asset impairments and other includes a $1.6 million charge for asset impairments, of which $0.8 million is in the Journeys Group, $0.5 million is in the Johnston &amp; Murphy Group, $0.2 million is in the Schuh Group and $0.1 million is in Genesco Brands Group, partially offset by a $0.7 million gain on the termination of the pension plan.</w:t>
      </w:r>
    </w:p>
    <w:p>
      <w:pPr>
        <w:spacing w:after="0" w:line="115" w:lineRule="exact"/>
        <w:rPr>
          <w:rFonts w:ascii="Times New Roman" w:cs="Times New Roman" w:eastAsia="Times New Roman" w:hAnsi="Times New Roman"/>
          <w:sz w:val="24"/>
          <w:szCs w:val="24"/>
          <w:color w:val="auto"/>
          <w:vertAlign w:val="superscript"/>
        </w:rPr>
      </w:pPr>
    </w:p>
    <w:p>
      <w:pPr>
        <w:ind w:left="380" w:hanging="372"/>
        <w:spacing w:after="0"/>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$704.7 million of long-lived assets, $93.3 million and $18.8 million relate to long-lived assets in the U.K. and Canada, respectively.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Johnston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2"/>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0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&amp; Murphy</w:t>
            </w:r>
          </w:p>
        </w:tc>
        <w:tc>
          <w:tcPr>
            <w:tcW w:w="16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160" w:type="dxa"/>
            <w:vAlign w:val="bottom"/>
          </w:tcPr>
          <w:p>
            <w:pPr>
              <w:spacing w:after="0"/>
              <w:rPr>
                <w:sz w:val="17"/>
                <w:szCs w:val="17"/>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1,576,475</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423,560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252,855</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170,619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2,423,509</w:t>
            </w: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Intercompany sales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(1,425 )</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(1,425 )</w:t>
            </w:r>
          </w:p>
        </w:tc>
      </w:tr>
      <w:tr>
        <w:trPr>
          <w:trHeight w:val="229"/>
        </w:trPr>
        <w:tc>
          <w:tcPr>
            <w:tcW w:w="3680" w:type="dxa"/>
            <w:vAlign w:val="bottom"/>
            <w:tcBorders>
              <w:bottom w:val="single" w:sz="8" w:color="auto"/>
            </w:tcBorders>
            <w:shd w:val="clear" w:color="auto" w:fill="CFF0FC"/>
          </w:tcPr>
          <w:p>
            <w:pPr>
              <w:ind w:left="20"/>
              <w:spacing w:after="0" w:line="229" w:lineRule="exact"/>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1,576,475</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423,560</w:t>
            </w: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252,855</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169,194</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2,422,084</w:t>
            </w: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165,336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2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7,029</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(50,694 )</w:t>
            </w:r>
          </w:p>
        </w:tc>
        <w:tc>
          <w:tcPr>
            <w:tcW w:w="1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147,511</w:t>
            </w:r>
          </w:p>
        </w:tc>
      </w:tr>
      <w:tr>
        <w:trPr>
          <w:trHeight w:val="239"/>
        </w:trPr>
        <w:tc>
          <w:tcPr>
            <w:tcW w:w="3680" w:type="dxa"/>
            <w:vAlign w:val="bottom"/>
            <w:tcBorders>
              <w:bottom w:val="single" w:sz="8" w:color="auto"/>
            </w:tcBorders>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(8,056 )</w:t>
            </w: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(8,056 )</w:t>
            </w: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165,336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2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7,029</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(42,638 )</w:t>
            </w:r>
          </w:p>
        </w:tc>
        <w:tc>
          <w:tcPr>
            <w:tcW w:w="1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155,567</w:t>
            </w:r>
          </w:p>
        </w:tc>
      </w:tr>
      <w:tr>
        <w:trPr>
          <w:trHeight w:val="238"/>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2,448</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2,448</w:t>
            </w:r>
          </w:p>
        </w:tc>
      </w:tr>
      <w:tr>
        <w:trPr>
          <w:trHeight w:val="20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continuing operations before income</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25"/>
        </w:trPr>
        <w:tc>
          <w:tcPr>
            <w:tcW w:w="3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165,336</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7,029</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6,583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(45,214 ) $</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152,991</w:t>
            </w:r>
          </w:p>
        </w:tc>
      </w:tr>
      <w:tr>
        <w:trPr>
          <w:trHeight w:val="229"/>
        </w:trPr>
        <w:tc>
          <w:tcPr>
            <w:tcW w:w="3680" w:type="dxa"/>
            <w:vAlign w:val="bottom"/>
          </w:tcPr>
          <w:p>
            <w:pPr>
              <w:ind w:left="20"/>
              <w:spacing w:after="0" w:line="229"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(3)</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678,680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207,495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128,187</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67,658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480,079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1,562,099</w:t>
            </w:r>
          </w:p>
        </w:tc>
      </w:tr>
      <w:tr>
        <w:trPr>
          <w:trHeight w:val="22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4,612</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1,081</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1,431</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42,969</w:t>
            </w: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4,647</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22,687</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53,905</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line="223" w:lineRule="auto"/>
        <w:tabs>
          <w:tab w:leader="none" w:pos="38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sales in North America and in the United Kingdom, which includes the Republic of Ireland, accounted for 83% and 17%, respectively, of our net sales for Fiscal 2022.</w:t>
      </w:r>
    </w:p>
    <w:p>
      <w:pPr>
        <w:spacing w:after="0" w:line="1" w:lineRule="exact"/>
        <w:rPr>
          <w:rFonts w:ascii="Times New Roman" w:cs="Times New Roman" w:eastAsia="Times New Roman" w:hAnsi="Times New Roman"/>
          <w:sz w:val="24"/>
          <w:szCs w:val="24"/>
          <w:color w:val="auto"/>
          <w:vertAlign w:val="superscript"/>
        </w:rPr>
      </w:pPr>
    </w:p>
    <w:p>
      <w:pPr>
        <w:jc w:val="both"/>
        <w:ind w:left="380" w:hanging="372"/>
        <w:spacing w:after="0" w:line="225" w:lineRule="auto"/>
        <w:tabs>
          <w:tab w:leader="none" w:pos="38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Asset impairments and other includes an $18.1 million gain on the sale of a distribution warehouse and a $0.6 million insurance gain, partially offset by $8.6 million for professional fees related to the actions of a shareholder activist and a $2.0 million charge for asset impairments, of which $1.0 million is in the Journeys Group, $0.8 million is in the Schuh Group and $0.2 million is in the Johnston &amp; Murphy Group.</w:t>
      </w:r>
    </w:p>
    <w:p>
      <w:pPr>
        <w:spacing w:after="0" w:line="115" w:lineRule="exact"/>
        <w:rPr>
          <w:rFonts w:ascii="Times New Roman" w:cs="Times New Roman" w:eastAsia="Times New Roman" w:hAnsi="Times New Roman"/>
          <w:sz w:val="24"/>
          <w:szCs w:val="24"/>
          <w:color w:val="auto"/>
          <w:vertAlign w:val="superscript"/>
        </w:rPr>
      </w:pPr>
    </w:p>
    <w:p>
      <w:pPr>
        <w:ind w:left="380" w:hanging="372"/>
        <w:spacing w:after="0"/>
        <w:tabs>
          <w:tab w:leader="none" w:pos="38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$760.1 million of long-lived assets, $113.9 million and $26.0 million relate to long-lived assets in the U.K. and Canada,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Johnston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2"/>
        </w:trPr>
        <w:tc>
          <w:tcPr>
            <w:tcW w:w="3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60" w:type="dxa"/>
            <w:vAlign w:val="bottom"/>
          </w:tcPr>
          <w:p>
            <w:pPr>
              <w:spacing w:after="0"/>
              <w:rPr>
                <w:sz w:val="17"/>
                <w:szCs w:val="17"/>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40" w:type="dxa"/>
            <w:vAlign w:val="bottom"/>
          </w:tcPr>
          <w:p>
            <w:pPr>
              <w:spacing w:after="0"/>
              <w:rPr>
                <w:sz w:val="17"/>
                <w:szCs w:val="17"/>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140" w:type="dxa"/>
            <w:vAlign w:val="bottom"/>
          </w:tcPr>
          <w:p>
            <w:pPr>
              <w:spacing w:after="0"/>
              <w:rPr>
                <w:sz w:val="17"/>
                <w:szCs w:val="17"/>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6"/>
              </w:rPr>
              <w:t>Group</w:t>
            </w:r>
          </w:p>
        </w:tc>
        <w:tc>
          <w:tcPr>
            <w:tcW w:w="116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1,227,954</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305,941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152,941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101,287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1,788,123</w:t>
            </w:r>
          </w:p>
        </w:tc>
      </w:tr>
      <w:tr>
        <w:trPr>
          <w:trHeight w:val="223"/>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Intercompany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(1,593 )</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(1,593 )</w:t>
            </w:r>
          </w:p>
        </w:tc>
      </w:tr>
      <w:tr>
        <w:trPr>
          <w:trHeight w:val="229"/>
        </w:trPr>
        <w:tc>
          <w:tcPr>
            <w:tcW w:w="3600" w:type="dxa"/>
            <w:vAlign w:val="bottom"/>
            <w:tcBorders>
              <w:bottom w:val="single" w:sz="8" w:color="auto"/>
            </w:tcBorders>
            <w:shd w:val="clear" w:color="auto" w:fill="CFF0FC"/>
          </w:tcPr>
          <w:p>
            <w:pPr>
              <w:ind w:left="20"/>
              <w:spacing w:after="0" w:line="229" w:lineRule="exact"/>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1,227,954</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305,941</w:t>
            </w: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152,941</w:t>
            </w: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99,694</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1,786,530</w:t>
            </w: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76,896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(11,602 )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(47,624 )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(21,548 )</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(9,308 )</w:t>
            </w:r>
          </w:p>
        </w:tc>
      </w:tr>
      <w:tr>
        <w:trPr>
          <w:trHeight w:val="239"/>
        </w:trPr>
        <w:tc>
          <w:tcPr>
            <w:tcW w:w="360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 xml:space="preserve">Goodwill impairment </w:t>
            </w:r>
            <w:r>
              <w:rPr>
                <w:rFonts w:ascii="Times New Roman" w:cs="Times New Roman" w:eastAsia="Times New Roman" w:hAnsi="Times New Roman"/>
                <w:sz w:val="21"/>
                <w:szCs w:val="21"/>
                <w:color w:val="auto"/>
                <w:vertAlign w:val="superscript"/>
              </w:rPr>
              <w:t>(2)</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79,259</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79,259</w:t>
            </w:r>
          </w:p>
        </w:tc>
      </w:tr>
      <w:tr>
        <w:trPr>
          <w:trHeight w:val="229"/>
        </w:trPr>
        <w:tc>
          <w:tcPr>
            <w:tcW w:w="3600" w:type="dxa"/>
            <w:vAlign w:val="bottom"/>
            <w:tcBorders>
              <w:bottom w:val="single" w:sz="8" w:color="auto"/>
            </w:tcBorders>
          </w:tcPr>
          <w:p>
            <w:pPr>
              <w:ind w:left="20"/>
              <w:spacing w:after="0" w:line="229"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18,682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18,682</w:t>
            </w:r>
          </w:p>
        </w:tc>
      </w:tr>
      <w:tr>
        <w:trPr>
          <w:trHeight w:val="22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76,896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(11,602 )</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(47,624 )</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(5,430 )</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(119,489 )</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(107,249 )</w:t>
            </w: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(670 )</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(670 )</w:t>
            </w:r>
          </w:p>
        </w:tc>
      </w:tr>
      <w:tr>
        <w:trPr>
          <w:trHeight w:val="232"/>
        </w:trPr>
        <w:tc>
          <w:tcPr>
            <w:tcW w:w="3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5,090</w:t>
            </w: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5,090</w:t>
            </w: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from continuing operations before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76,896</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(11,602 ) $</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(47,624 ) $</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(5,430 ) $</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(123,909 )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(111,669 )</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6"/>
        </w:trPr>
        <w:tc>
          <w:tcPr>
            <w:tcW w:w="36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(4)</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767,535</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232,681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159,027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58,320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369,805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1,587,368</w:t>
            </w: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29,326</w:t>
            </w: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8,885</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5,487</w:t>
            </w: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1,317</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1,484</w:t>
            </w:r>
          </w:p>
        </w:tc>
        <w:tc>
          <w:tcPr>
            <w:tcW w:w="1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46,499</w:t>
            </w:r>
          </w:p>
        </w:tc>
      </w:tr>
      <w:tr>
        <w:trPr>
          <w:trHeight w:val="272"/>
        </w:trPr>
        <w:tc>
          <w:tcPr>
            <w:tcW w:w="3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16,188</w:t>
            </w:r>
          </w:p>
        </w:tc>
        <w:tc>
          <w:tcPr>
            <w:tcW w:w="260" w:type="dxa"/>
            <w:vAlign w:val="bottom"/>
            <w:tcBorders>
              <w:bottom w:val="single" w:sz="8" w:color="auto"/>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2,794</w:t>
            </w:r>
          </w:p>
        </w:tc>
        <w:tc>
          <w:tcPr>
            <w:tcW w:w="16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4,064</w:t>
            </w:r>
          </w:p>
        </w:tc>
        <w:tc>
          <w:tcPr>
            <w:tcW w:w="14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728</w:t>
            </w:r>
          </w:p>
        </w:tc>
        <w:tc>
          <w:tcPr>
            <w:tcW w:w="14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24,130</w:t>
            </w:r>
          </w:p>
        </w:tc>
      </w:tr>
    </w:tbl>
    <w:p>
      <w:pPr>
        <w:spacing w:after="0" w:line="197" w:lineRule="exact"/>
        <w:rPr>
          <w:sz w:val="20"/>
          <w:szCs w:val="20"/>
          <w:color w:val="auto"/>
        </w:rPr>
      </w:pPr>
    </w:p>
    <w:p>
      <w:pPr>
        <w:ind w:left="380" w:hanging="372"/>
        <w:spacing w:after="0" w:line="223"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sales in North America and in the United Kingdom, which includes the Republic of Ireland, accounted for 83% and 17%, respectively, of our net sales for Fiscal 2021.</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Goodwill impairment of $79.3 million is related to Schuh Group.</w:t>
      </w:r>
    </w:p>
    <w:p>
      <w:pPr>
        <w:spacing w:after="0" w:line="2" w:lineRule="exact"/>
        <w:rPr>
          <w:rFonts w:ascii="Times New Roman" w:cs="Times New Roman" w:eastAsia="Times New Roman" w:hAnsi="Times New Roman"/>
          <w:sz w:val="24"/>
          <w:szCs w:val="24"/>
          <w:color w:val="auto"/>
          <w:vertAlign w:val="superscript"/>
        </w:rPr>
      </w:pPr>
    </w:p>
    <w:p>
      <w:pPr>
        <w:jc w:val="both"/>
        <w:ind w:left="380" w:hanging="372"/>
        <w:spacing w:after="0" w:line="224"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Asset impairments and other includes a $13.8 million charge for asset impairments, of which $7.0 million is in the Johnston &amp; Murphy Group, $4.1 million is in the Journeys Group and $2.7 million is in the Schuh Group, and a $5.3 million charge for trademark impairment, partially offset by a $0.4 million gain for the release of an earnout related to the Togast acquisition.</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$829.6 million of long-lived assets, $140.9 million and $35.1 million relate to long-lived assets in the U.K. and Canada,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8" w:name="page79"/>
    <w:bookmarkEnd w:id="78"/>
    <w:p>
      <w:pPr>
        <w:ind w:right="1040"/>
        <w:spacing w:after="0" w:line="461"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material information relating to us, including our consolidated subsidiaries, is made known to the officers who certify our financial reports and to other members of senior management and Board of Directors.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their evaluation as of January 28, 2023, the principal executive officer and principal financial officer of the Company have concluded that our disclosure controls and procedures as defined in Rules 13a-15(e) and 15d-15(e) under the Securities Exchange Act of 1934, as amended (the "Exchange Act"), were effective to ensure that the information required to be disclosed by us in the reports that we file or submit under the Exchange Act is (i) recorded, processed, summarized and reported, within the time periods specified in the SEC’s rules and forms, and (ii) accumulated and communicated to our management, including the principal executive and principal financial officers, or persons performing similar functions, as appropriate, to allow timely decisions regarding required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January 28, 2023. In making this assessment, management used the criteria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drafted by the Committee of Sponsoring Organizations of the Treadway Commission (COSO). Based on this assessment, management believes that, as of January 28, 2023, our internal control over financial reporting was effective based on those criteria.</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who also audited our Consolidated Financial Statements, has issued an attestation report on the Company’s effectiveness of internal control over financial reporting which is included herein. The report by Ernst &amp; Young LLP is included in Item 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9" w:name="page80"/>
    <w:bookmarkEnd w:id="7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sections entitled “Election of Directors,” “Corporate Governance” and “Delinquent Section 16(a) Reports” in our definitive proxy statement for our annual meeting of shareholders to be held June 22, 2023, to be filed with the Securities and Exchange Commission. Pursuant to General Instruction G(3), certain information concerning our executive officers appears under Part I, Item 4A, “Information about Our Executive Officers” in this report.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have a code of ethics (the “Code of Ethics”) that applies to all of our directors, officers (including our chief executive officer, chief financial officer and chief accounting officer) and employees. We have made the Code of Ethics available and intend to post any legally required amendments to, or waivers of, such Code of Ethics on our website at </w:t>
      </w:r>
      <w:r>
        <w:rPr>
          <w:rFonts w:ascii="Times New Roman" w:cs="Times New Roman" w:eastAsia="Times New Roman" w:hAnsi="Times New Roman"/>
          <w:sz w:val="18"/>
          <w:szCs w:val="18"/>
          <w:u w:val="single" w:color="auto"/>
          <w:color w:val="auto"/>
        </w:rPr>
        <w:t>http://www.genesco.com</w:t>
      </w:r>
      <w:r>
        <w:rPr>
          <w:rFonts w:ascii="Times New Roman" w:cs="Times New Roman" w:eastAsia="Times New Roman" w:hAnsi="Times New Roman"/>
          <w:sz w:val="18"/>
          <w:szCs w:val="18"/>
          <w:color w:val="auto"/>
        </w:rPr>
        <w:t>. Our website address is provided as an inactive textual reference only. The information provided on our website is not a part of this report, and therefore is not incorporated herein by reference.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“Compensation Committee Report” and “Executive Compensation” in our definitive proxy statement for our annual meeting of shareholders to be held June 22, 2023, to be filed with the Securities and Exchange Commission.</w:t>
      </w:r>
    </w:p>
    <w:p>
      <w:pPr>
        <w:spacing w:after="0" w:line="13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 entitled “Security Ownership of Officers, Directors and Principal Shareholders” in our definitive proxy statement for our annual meeting of shareholders to be held June 22, 2023, to be filed with the Securities and Exchange Commission.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as of January 28, 2023 with respect to our equity compensation plans: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2"/>
        </w:trPr>
        <w:tc>
          <w:tcPr>
            <w:tcW w:w="5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2"/>
        </w:trPr>
        <w:tc>
          <w:tcPr>
            <w:tcW w:w="5060" w:type="dxa"/>
            <w:vAlign w:val="bottom"/>
          </w:tcPr>
          <w:p>
            <w:pPr>
              <w:spacing w:after="0"/>
              <w:rPr>
                <w:sz w:val="17"/>
                <w:szCs w:val="17"/>
                <w:color w:val="auto"/>
              </w:rPr>
            </w:pPr>
          </w:p>
        </w:tc>
        <w:tc>
          <w:tcPr>
            <w:tcW w:w="22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(a)</w:t>
            </w: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2"/>
        </w:trPr>
        <w:tc>
          <w:tcPr>
            <w:tcW w:w="5060" w:type="dxa"/>
            <w:vAlign w:val="bottom"/>
          </w:tcPr>
          <w:p>
            <w:pPr>
              <w:spacing w:after="0"/>
              <w:rPr>
                <w:sz w:val="17"/>
                <w:szCs w:val="17"/>
                <w:color w:val="auto"/>
              </w:rPr>
            </w:pPr>
          </w:p>
        </w:tc>
        <w:tc>
          <w:tcPr>
            <w:tcW w:w="22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remaining available</w:t>
            </w:r>
          </w:p>
        </w:tc>
      </w:tr>
      <w:tr>
        <w:trPr>
          <w:trHeight w:val="202"/>
        </w:trPr>
        <w:tc>
          <w:tcPr>
            <w:tcW w:w="5060" w:type="dxa"/>
            <w:vAlign w:val="bottom"/>
          </w:tcPr>
          <w:p>
            <w:pPr>
              <w:spacing w:after="0"/>
              <w:rPr>
                <w:sz w:val="17"/>
                <w:szCs w:val="17"/>
                <w:color w:val="auto"/>
              </w:rPr>
            </w:pPr>
          </w:p>
        </w:tc>
        <w:tc>
          <w:tcPr>
            <w:tcW w:w="22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securities to</w:t>
            </w:r>
          </w:p>
        </w:tc>
        <w:tc>
          <w:tcPr>
            <w:tcW w:w="44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(b)</w:t>
            </w: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for future issuance</w:t>
            </w:r>
          </w:p>
        </w:tc>
      </w:tr>
      <w:tr>
        <w:trPr>
          <w:trHeight w:val="202"/>
        </w:trPr>
        <w:tc>
          <w:tcPr>
            <w:tcW w:w="5060" w:type="dxa"/>
            <w:vAlign w:val="bottom"/>
          </w:tcPr>
          <w:p>
            <w:pPr>
              <w:spacing w:after="0"/>
              <w:rPr>
                <w:sz w:val="17"/>
                <w:szCs w:val="17"/>
                <w:color w:val="auto"/>
              </w:rPr>
            </w:pPr>
          </w:p>
        </w:tc>
        <w:tc>
          <w:tcPr>
            <w:tcW w:w="22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be issued</w:t>
            </w:r>
          </w:p>
        </w:tc>
        <w:tc>
          <w:tcPr>
            <w:tcW w:w="44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202"/>
        </w:trPr>
        <w:tc>
          <w:tcPr>
            <w:tcW w:w="5060" w:type="dxa"/>
            <w:vAlign w:val="bottom"/>
          </w:tcPr>
          <w:p>
            <w:pPr>
              <w:spacing w:after="0"/>
              <w:rPr>
                <w:sz w:val="17"/>
                <w:szCs w:val="17"/>
                <w:color w:val="auto"/>
              </w:rPr>
            </w:pPr>
          </w:p>
        </w:tc>
        <w:tc>
          <w:tcPr>
            <w:tcW w:w="22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upon exercise of</w:t>
            </w:r>
          </w:p>
        </w:tc>
        <w:tc>
          <w:tcPr>
            <w:tcW w:w="44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02"/>
        </w:trPr>
        <w:tc>
          <w:tcPr>
            <w:tcW w:w="5060" w:type="dxa"/>
            <w:vAlign w:val="bottom"/>
          </w:tcPr>
          <w:p>
            <w:pPr>
              <w:spacing w:after="0"/>
              <w:rPr>
                <w:sz w:val="17"/>
                <w:szCs w:val="17"/>
                <w:color w:val="auto"/>
              </w:rPr>
            </w:pPr>
          </w:p>
        </w:tc>
        <w:tc>
          <w:tcPr>
            <w:tcW w:w="22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44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202"/>
        </w:trPr>
        <w:tc>
          <w:tcPr>
            <w:tcW w:w="5060" w:type="dxa"/>
            <w:vAlign w:val="bottom"/>
          </w:tcPr>
          <w:p>
            <w:pPr>
              <w:spacing w:after="0"/>
              <w:rPr>
                <w:sz w:val="17"/>
                <w:szCs w:val="17"/>
                <w:color w:val="auto"/>
              </w:rPr>
            </w:pPr>
          </w:p>
        </w:tc>
        <w:tc>
          <w:tcPr>
            <w:tcW w:w="22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44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securities reflected</w:t>
            </w:r>
          </w:p>
        </w:tc>
      </w:tr>
      <w:tr>
        <w:trPr>
          <w:trHeight w:val="22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Plan Category</w:t>
            </w:r>
          </w:p>
        </w:tc>
        <w:tc>
          <w:tcPr>
            <w:tcW w:w="2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rights(1)</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1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in column (a)) (2)</w:t>
            </w:r>
          </w:p>
        </w:tc>
      </w:tr>
      <w:tr>
        <w:trPr>
          <w:trHeight w:val="243"/>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846</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704,556</w:t>
            </w:r>
          </w:p>
        </w:tc>
      </w:tr>
      <w:tr>
        <w:trPr>
          <w:trHeight w:val="238"/>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846</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704,556</w:t>
            </w:r>
          </w:p>
        </w:tc>
      </w:tr>
    </w:tbl>
    <w:p>
      <w:pPr>
        <w:spacing w:after="0" w:line="215"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Restricted stock units issued to certain employees at no cost.</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Such shares may be issued as restricted shares or other forms of stock-based compensation pursuant to our stock incentive plans.</w:t>
      </w:r>
    </w:p>
    <w:p>
      <w:pPr>
        <w:spacing w:after="0" w:line="180" w:lineRule="exact"/>
        <w:rPr>
          <w:sz w:val="20"/>
          <w:szCs w:val="20"/>
          <w:color w:val="auto"/>
        </w:rPr>
      </w:pPr>
    </w:p>
    <w:p>
      <w:pPr>
        <w:ind w:left="5540" w:right="1220" w:hanging="5532"/>
        <w:spacing w:after="0" w:line="531" w:lineRule="auto"/>
        <w:tabs>
          <w:tab w:leader="none" w:pos="1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concerning our equity compensation plans, see the discussion in Note 14, "Share-Based Compensation Plans".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“Election of Directors” in our definitive proxy statement for our annual meeting of shareholders to be held June 22, 2023, to be filed with the Securities and Exchange Commission.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“Audit Matters” in our definitive proxy statement for our annual meeting of shareholders to be held June 22, 2023, to be filed with the Securities and Exchange Commission.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81" w:name="page82"/>
    <w:bookmarkEnd w:id="8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202"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following consolidated financial statements of Genesco Inc. and Subsidiaries are filed as part of this report under Item 8, Financial Statements and Supplementary Data</w:t>
      </w:r>
    </w:p>
    <w:p>
      <w:pPr>
        <w:spacing w:after="0" w:line="122" w:lineRule="exact"/>
        <w:rPr>
          <w:sz w:val="20"/>
          <w:szCs w:val="20"/>
          <w:color w:val="auto"/>
        </w:rPr>
      </w:pPr>
    </w:p>
    <w:p>
      <w:pPr>
        <w:ind w:right="3720"/>
        <w:spacing w:after="0" w:line="461" w:lineRule="auto"/>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 Report of Independent Registered Public Accounting Firm</w:t>
      </w:r>
    </w:p>
    <w:p>
      <w:pPr>
        <w:spacing w:after="0"/>
        <w:rPr>
          <w:sz w:val="20"/>
          <w:szCs w:val="20"/>
          <w:color w:val="auto"/>
        </w:rPr>
      </w:pPr>
      <w:r>
        <w:rPr>
          <w:rFonts w:ascii="Times New Roman" w:cs="Times New Roman" w:eastAsia="Times New Roman" w:hAnsi="Times New Roman"/>
          <w:sz w:val="18"/>
          <w:szCs w:val="18"/>
          <w:color w:val="auto"/>
        </w:rPr>
        <w:t>Consolidated Balance Sheets, January 28, 2023 and January 29,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each of the three fiscal years ended 2023, 2022 and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each of the three fiscal years ended 2023, 2022 and 2021</w:t>
      </w:r>
    </w:p>
    <w:p>
      <w:pPr>
        <w:spacing w:after="0" w:line="198" w:lineRule="exact"/>
        <w:rPr>
          <w:sz w:val="20"/>
          <w:szCs w:val="20"/>
          <w:color w:val="auto"/>
        </w:rPr>
      </w:pPr>
    </w:p>
    <w:p>
      <w:pPr>
        <w:ind w:right="4140"/>
        <w:spacing w:after="0" w:line="457" w:lineRule="auto"/>
        <w:rPr>
          <w:sz w:val="20"/>
          <w:szCs w:val="20"/>
          <w:color w:val="auto"/>
        </w:rPr>
      </w:pPr>
      <w:r>
        <w:rPr>
          <w:rFonts w:ascii="Times New Roman" w:cs="Times New Roman" w:eastAsia="Times New Roman" w:hAnsi="Times New Roman"/>
          <w:sz w:val="18"/>
          <w:szCs w:val="18"/>
          <w:color w:val="auto"/>
        </w:rPr>
        <w:t>Consolidated Statements of Cash Flows, each of the three fiscal years ended 2023, 2022 and 2021 Consolidated Statements of Equity, each of the three fiscal years ended 2023, 2022 and 2021 Notes to Consolidated Financial Statements</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 Schedules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Valuation and Qualifying Accounts, each of the three fiscal years ended 2023, 2022 and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 required information is either not applicable or is presented in the financial statements or related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schedules begin on page 88.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42" w:lineRule="exact"/>
        <w:rPr>
          <w:sz w:val="20"/>
          <w:szCs w:val="20"/>
          <w:color w:val="auto"/>
        </w:rPr>
      </w:pPr>
    </w:p>
    <w:p>
      <w:pPr>
        <w:ind w:left="2340" w:right="300" w:hanging="1644"/>
        <w:spacing w:after="0" w:line="257" w:lineRule="auto"/>
        <w:tabs>
          <w:tab w:leader="none" w:pos="1760" w:val="left"/>
        </w:tabs>
        <w:numPr>
          <w:ilvl w:val="0"/>
          <w:numId w:val="2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3">
        <w:r>
          <w:rPr>
            <w:rFonts w:ascii="Times New Roman" w:cs="Times New Roman" w:eastAsia="Times New Roman" w:hAnsi="Times New Roman"/>
            <w:sz w:val="18"/>
            <w:szCs w:val="18"/>
            <w:u w:val="single" w:color="auto"/>
            <w:color w:val="0000FF"/>
          </w:rPr>
          <w:t>Purchase Agreement dated December 14, 2018, among Hat World, Inc., GCO Canada Inc., Flagg Bros. of Puerto Rico,</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Inc., Hat World Corporation, Hat World Services Co., Inc., LSG Guam, Inc., Genesco Inc., Fanzzlids Holding, LLC,</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Fanatics, Inc. and Fanzz Holding, Inc. Incorporated by reference to Exhibit 2.1 to the current report on Form 8-K file</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December 14, 2018 (File No. 1-3083).*</w:t>
        </w:r>
      </w:hyperlink>
    </w:p>
    <w:p>
      <w:pPr>
        <w:spacing w:after="0" w:line="3" w:lineRule="exact"/>
        <w:rPr>
          <w:rFonts w:ascii="Times New Roman" w:cs="Times New Roman" w:eastAsia="Times New Roman" w:hAnsi="Times New Roman"/>
          <w:sz w:val="18"/>
          <w:szCs w:val="18"/>
          <w:u w:val="single" w:color="auto"/>
          <w:color w:val="0000FF"/>
        </w:rPr>
      </w:pPr>
    </w:p>
    <w:p>
      <w:pPr>
        <w:ind w:left="2340" w:right="220" w:hanging="579"/>
        <w:spacing w:after="0" w:line="260" w:lineRule="auto"/>
        <w:tabs>
          <w:tab w:leader="none" w:pos="2340" w:val="left"/>
        </w:tabs>
        <w:numPr>
          <w:ilvl w:val="1"/>
          <w:numId w:val="23"/>
        </w:numPr>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Asset Purchase Agreement dated December 18, 2019, by and among Genesco Brands NY, LLC, Togast LLC, Togast</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Direct, LLC, TGB Design, LLC, Quanzhou TGB Footwear Co. Ltd and Anthony LoConte. Incorporated by reference to</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Exhibit 2.1 to the current report on Form 8-K filed December 18, 2019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60" w:hanging="579"/>
        <w:spacing w:after="0" w:line="257" w:lineRule="auto"/>
        <w:tabs>
          <w:tab w:leader="none" w:pos="2340" w:val="left"/>
        </w:tabs>
        <w:numPr>
          <w:ilvl w:val="1"/>
          <w:numId w:val="23"/>
        </w:numPr>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Amendment to Asset Purchase Agreement dated September 30, 2020, by and among Genesco Brands NY, LLC, Togast</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LLC, Togast Direct, LLC, TGB Design, LLC, Quanzhou TGB Footwear Co. Ltd and Anthony LoConte. Incorporated by</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reference to Exhibit (2)c to the Company's Annual Report on Form 10-K for the fiscal year ended January 30, 2021 (File</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No. 1-3083).</w:t>
        </w:r>
      </w:hyperlink>
    </w:p>
    <w:p>
      <w:pPr>
        <w:spacing w:after="0" w:line="3" w:lineRule="exact"/>
        <w:rPr>
          <w:rFonts w:ascii="Times New Roman" w:cs="Times New Roman" w:eastAsia="Times New Roman" w:hAnsi="Times New Roman"/>
          <w:sz w:val="18"/>
          <w:szCs w:val="18"/>
          <w:u w:val="single" w:color="auto"/>
          <w:color w:val="0000FF"/>
        </w:rPr>
      </w:pPr>
    </w:p>
    <w:p>
      <w:pPr>
        <w:ind w:left="2340" w:right="320" w:hanging="1644"/>
        <w:spacing w:after="0" w:line="265" w:lineRule="auto"/>
        <w:tabs>
          <w:tab w:leader="none" w:pos="1760" w:val="left"/>
        </w:tabs>
        <w:numPr>
          <w:ilvl w:val="0"/>
          <w:numId w:val="2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6">
        <w:r>
          <w:rPr>
            <w:rFonts w:ascii="Times New Roman" w:cs="Times New Roman" w:eastAsia="Times New Roman" w:hAnsi="Times New Roman"/>
            <w:sz w:val="18"/>
            <w:szCs w:val="18"/>
            <w:u w:val="single" w:color="auto"/>
            <w:color w:val="0000FF"/>
          </w:rPr>
          <w:t>Second Amended and Restate Bylaws of Genesco Inc. Incorporated by reference to Exhibit 3.1 to the current report on</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Form 8-K filed November 1, 2022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hanging="579"/>
        <w:spacing w:after="0" w:line="265" w:lineRule="auto"/>
        <w:tabs>
          <w:tab w:leader="none" w:pos="2340" w:val="left"/>
        </w:tabs>
        <w:numPr>
          <w:ilvl w:val="1"/>
          <w:numId w:val="23"/>
        </w:numPr>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Restated Charter of Genesco Inc., as amended. Incorporated by reference to Exhibit 3.3 to the Company's Quarterly Report</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on Form 10-Q filed on December 8, 2022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580" w:hanging="1644"/>
        <w:spacing w:after="0" w:line="265" w:lineRule="auto"/>
        <w:tabs>
          <w:tab w:leader="none" w:pos="1760" w:val="left"/>
        </w:tabs>
        <w:numPr>
          <w:ilvl w:val="0"/>
          <w:numId w:val="2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8">
        <w:r>
          <w:rPr>
            <w:rFonts w:ascii="Times New Roman" w:cs="Times New Roman" w:eastAsia="Times New Roman" w:hAnsi="Times New Roman"/>
            <w:sz w:val="18"/>
            <w:szCs w:val="18"/>
            <w:u w:val="single" w:color="auto"/>
            <w:color w:val="0000FF"/>
          </w:rPr>
          <w:t>Form of Certificate for the Common Stock. Incorporated by reference to Exhibit 3 to the Genesco Inc. Registration</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Statement on Form 8-A/A filed with the SEC on May 1, 2003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340" w:hanging="579"/>
        <w:spacing w:after="0"/>
        <w:tabs>
          <w:tab w:leader="none" w:pos="2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Description of Securities.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1486535</wp:posOffset>
            </wp:positionH>
            <wp:positionV relativeFrom="paragraph">
              <wp:posOffset>-2439670</wp:posOffset>
            </wp:positionV>
            <wp:extent cx="54641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546417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-2302510</wp:posOffset>
            </wp:positionV>
            <wp:extent cx="53473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534733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-2165350</wp:posOffset>
            </wp:positionV>
            <wp:extent cx="54000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54000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-2028825</wp:posOffset>
            </wp:positionV>
            <wp:extent cx="1812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181292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-1874520</wp:posOffset>
            </wp:positionV>
            <wp:extent cx="53505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535051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-1737360</wp:posOffset>
            </wp:positionV>
            <wp:extent cx="5517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551751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-1600200</wp:posOffset>
            </wp:positionV>
            <wp:extent cx="40913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40913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-1446530</wp:posOffset>
            </wp:positionV>
            <wp:extent cx="54762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54762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-1309370</wp:posOffset>
            </wp:positionV>
            <wp:extent cx="55511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555117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-1172210</wp:posOffset>
            </wp:positionV>
            <wp:extent cx="55410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554101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-1035050</wp:posOffset>
            </wp:positionV>
            <wp:extent cx="5861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5861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-881380</wp:posOffset>
            </wp:positionV>
            <wp:extent cx="54533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545338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-744220</wp:posOffset>
            </wp:positionV>
            <wp:extent cx="24307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243078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-589915</wp:posOffset>
            </wp:positionV>
            <wp:extent cx="56280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-453390</wp:posOffset>
            </wp:positionV>
            <wp:extent cx="27603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-299085</wp:posOffset>
            </wp:positionV>
            <wp:extent cx="52793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527939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-161925</wp:posOffset>
            </wp:positionV>
            <wp:extent cx="36512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365125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-7620</wp:posOffset>
            </wp:positionV>
            <wp:extent cx="1163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spacing w:after="0" w:line="218"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82" w:name="page83"/>
    <w:bookmarkEnd w:id="82"/>
    <w:p>
      <w:pPr>
        <w:ind w:left="1644" w:right="60" w:hanging="1644"/>
        <w:spacing w:after="0" w:line="257" w:lineRule="auto"/>
        <w:tabs>
          <w:tab w:leader="none" w:pos="1064"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38">
        <w:r>
          <w:rPr>
            <w:rFonts w:ascii="Times New Roman" w:cs="Times New Roman" w:eastAsia="Times New Roman" w:hAnsi="Times New Roman"/>
            <w:sz w:val="18"/>
            <w:szCs w:val="18"/>
            <w:u w:val="single" w:color="auto"/>
            <w:color w:val="0000FF"/>
          </w:rPr>
          <w:t>Fourth Amended and Restated Credit Agreement, dated as of January 31, 2018, by and among Genesco Inc., certain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subsidiaries of Genesco Inc. party thereto, as other Other Domestic Borrowers, GCO Canada Inc., Genesco (UK) Limited,</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the Lenders party thereto and Bank of America, N.A., as Agent.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report on Form 8-K filed February 3, 2018.</w:t>
        </w:r>
      </w:hyperlink>
    </w:p>
    <w:p>
      <w:pPr>
        <w:spacing w:after="0" w:line="3" w:lineRule="exact"/>
        <w:rPr>
          <w:rFonts w:ascii="Times New Roman" w:cs="Times New Roman" w:eastAsia="Times New Roman" w:hAnsi="Times New Roman"/>
          <w:sz w:val="18"/>
          <w:szCs w:val="18"/>
          <w:u w:val="single" w:color="auto"/>
          <w:color w:val="0000FF"/>
        </w:rPr>
      </w:pPr>
    </w:p>
    <w:p>
      <w:pPr>
        <w:ind w:left="1644" w:right="260" w:hanging="579"/>
        <w:spacing w:after="0" w:line="257"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First Amendment to Fourth Amended and Restated Credit Agreement, dated as of February 1, 2019, by and among</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Genesco Inc., certain subsidiaries of Genesco Inc. party thereto, as other Other Domestic Borrowers, GCO Canada Inc.,</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Genesco (UK) Limited, the Lender party thereto and Bank of America, N.A., as Agent. Incorporated by reference to</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Exhibit 10.1 to the current report on Form 8-K filed February 5, 2019 (File No. 1-3083).</w:t>
        </w:r>
      </w:hyperlink>
    </w:p>
    <w:p>
      <w:pPr>
        <w:spacing w:after="0" w:line="3" w:lineRule="exact"/>
        <w:rPr>
          <w:rFonts w:ascii="Times New Roman" w:cs="Times New Roman" w:eastAsia="Times New Roman" w:hAnsi="Times New Roman"/>
          <w:sz w:val="18"/>
          <w:szCs w:val="18"/>
          <w:u w:val="single" w:color="auto"/>
          <w:color w:val="0000FF"/>
        </w:rPr>
      </w:pPr>
    </w:p>
    <w:p>
      <w:pPr>
        <w:ind w:left="1644" w:hanging="579"/>
        <w:spacing w:after="0" w:line="257"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Second Amendment to Fourth Amended and Restated Credit Agreement, dated as of June 5, 2020, by and among Genesco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Inc., certain subsidiaries of Genesco Inc. party thereto, as other Other Domestic Borrowers, GCO Canada Inc., Genesco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(UK) Limited, the Lender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the current report on Form 8-K filed June 9, 2020. (File No. 1-3083).</w:t>
        </w:r>
      </w:hyperlink>
    </w:p>
    <w:p>
      <w:pPr>
        <w:spacing w:after="0" w:line="3" w:lineRule="exact"/>
        <w:rPr>
          <w:rFonts w:ascii="Times New Roman" w:cs="Times New Roman" w:eastAsia="Times New Roman" w:hAnsi="Times New Roman"/>
          <w:sz w:val="18"/>
          <w:szCs w:val="18"/>
          <w:u w:val="single" w:color="auto"/>
          <w:color w:val="0000FF"/>
        </w:rPr>
      </w:pPr>
    </w:p>
    <w:p>
      <w:pPr>
        <w:ind w:left="1644" w:hanging="579"/>
        <w:spacing w:after="0" w:line="257"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Third Amendment to Fourth Amended and Restated Credit Agreement, dated as of January 28, 2022 by and among</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Genesco Inc., certain subsidiaries of Genesco Inc. party thereto, as Other Domestic Borrowers, GCO Canada Inc., Genesco</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(UK) Limited, the Lender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the current report on Form 8-K filed February 3, 2022. (File No. 1-3083).</w:t>
        </w:r>
      </w:hyperlink>
    </w:p>
    <w:p>
      <w:pPr>
        <w:spacing w:after="0" w:line="3" w:lineRule="exact"/>
        <w:rPr>
          <w:rFonts w:ascii="Times New Roman" w:cs="Times New Roman" w:eastAsia="Times New Roman" w:hAnsi="Times New Roman"/>
          <w:sz w:val="18"/>
          <w:szCs w:val="18"/>
          <w:u w:val="single" w:color="auto"/>
          <w:color w:val="0000FF"/>
        </w:rPr>
      </w:pPr>
    </w:p>
    <w:p>
      <w:pPr>
        <w:ind w:left="1644" w:right="44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Form of Split-Dollar Insurance Agreement with Executive Officers. Incorporated by reference to Exhibit (10)a to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Company’s Annual Report on Form 10-K for the fiscal year ended February 1, 1997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12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Genesco Inc. Second Amended and Restated 2009 Equity Incentive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Company’s current report on Form 8-K, filed June 28, 2016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8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Genesco Inc. Third Amended and Restated EVA Incentive Compensation Plan. Incorporated by reference to Exhibit (10)h</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to the Company’s Annual Report on Form 10-K for the fiscal 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644" w:right="80" w:hanging="579"/>
        <w:spacing w:after="0" w:line="276" w:lineRule="auto"/>
        <w:tabs>
          <w:tab w:leader="none" w:pos="1644" w:val="left"/>
        </w:tabs>
        <w:numPr>
          <w:ilvl w:val="1"/>
          <w:numId w:val="24"/>
        </w:numPr>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First Amendment to the Third Amended and Restated EVA Incentive Compensation Plan of Genesco Inc. Incorporated by</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reference to Exhibit (10)a to the Company's Quarterly Report on Form 10-Q for the quarter ended May 1, 2021. (File No.</w:t>
        </w:r>
      </w:hyperlink>
    </w:p>
    <w:p>
      <w:pPr>
        <w:ind w:left="1644"/>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1-3083).</w:t>
        </w:r>
      </w:hyperlink>
    </w:p>
    <w:p>
      <w:pPr>
        <w:spacing w:after="0" w:line="17" w:lineRule="exact"/>
        <w:rPr>
          <w:rFonts w:ascii="Times New Roman" w:cs="Times New Roman" w:eastAsia="Times New Roman" w:hAnsi="Times New Roman"/>
          <w:sz w:val="18"/>
          <w:szCs w:val="18"/>
          <w:u w:val="single" w:color="auto"/>
          <w:color w:val="0000FF"/>
        </w:rPr>
      </w:pPr>
    </w:p>
    <w:p>
      <w:pPr>
        <w:ind w:left="1644" w:right="100" w:hanging="579"/>
        <w:spacing w:after="0" w:line="260"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Second Amendment to the Third Amended and Restated EVA Incentive Compensation Plan of Genesco Inc. Incorporated</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by reference to Exhibit (10)a to the Company's Quarterly Report on Form 10-Q for the quarter ended October 30, 2021.</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36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Genesco Inc. 2020 Equity Incentive Pan. Incorporated by reference to Appendix A to Genesco Inc.’s Definitive Proxy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Statement on Schedule 14A, filed May 15, 2020.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2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Form of Incentive Stock Option Agreement. Incorporated by reference to Exhibit (10)c to the Company’s Quarterly Report</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16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Form of Non-Qualified Stock Option Agreement. Incorporated by reference to Exhibit (10)d to the Company’s Quarterly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46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Form of Restricted Share Award Agreement for Executive Officers. Incorporated by reference to Exhibit (10)e to the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10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Form of Restricted Share Award Agreement for Officers and Employees. Incorporated by reference to Exhibit (10)f to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52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Form of Restricted Share Award Agreement. Incorporated by reference to Exhibit (10)a to the Company’s Quarterly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Report on Form 10-Q for the quarter ended August 1,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160" w:hanging="579"/>
        <w:spacing w:after="0" w:line="265" w:lineRule="auto"/>
        <w:tabs>
          <w:tab w:leader="none" w:pos="1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For Directors. Incorporated by reference to Exhibit (10)m to the Company’s Annual Report on Form 10-K for the fiscal year ended January 31, 1993 (File No.1-3083). (P)</w:t>
      </w:r>
    </w:p>
    <w:p>
      <w:pPr>
        <w:spacing w:after="0" w:line="1" w:lineRule="exact"/>
        <w:rPr>
          <w:rFonts w:ascii="Times New Roman" w:cs="Times New Roman" w:eastAsia="Times New Roman" w:hAnsi="Times New Roman"/>
          <w:sz w:val="18"/>
          <w:szCs w:val="18"/>
          <w:color w:val="auto"/>
        </w:rPr>
      </w:pPr>
    </w:p>
    <w:p>
      <w:pPr>
        <w:ind w:left="1644" w:right="280" w:hanging="579"/>
        <w:spacing w:after="0" w:line="265"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Form of Non-Executive Director Indemnification Agreement.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report on Form 8-K filed November 3, 2008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4" w:right="440" w:hanging="579"/>
        <w:spacing w:after="0" w:line="281" w:lineRule="auto"/>
        <w:tabs>
          <w:tab w:leader="none" w:pos="1644" w:val="left"/>
        </w:tabs>
        <w:numPr>
          <w:ilvl w:val="1"/>
          <w:numId w:val="24"/>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Form of Officer Indemnification Agreement. Incorporated by reference to Exhibit (10.2) to the Company’s Quarterly</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Report on Form 10-Q for the quarter ended November 1, 2008 (File No.1-3083).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1044575</wp:posOffset>
            </wp:positionH>
            <wp:positionV relativeFrom="paragraph">
              <wp:posOffset>-6503035</wp:posOffset>
            </wp:positionV>
            <wp:extent cx="5327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532701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-6366510</wp:posOffset>
            </wp:positionV>
            <wp:extent cx="56121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561213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-6229350</wp:posOffset>
            </wp:positionV>
            <wp:extent cx="5529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55295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-6092190</wp:posOffset>
            </wp:positionV>
            <wp:extent cx="19742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197421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-5937885</wp:posOffset>
            </wp:positionV>
            <wp:extent cx="52832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528320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-5801360</wp:posOffset>
            </wp:positionV>
            <wp:extent cx="54946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549465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-5664200</wp:posOffset>
            </wp:positionV>
            <wp:extent cx="53644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53644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-5527040</wp:posOffset>
            </wp:positionV>
            <wp:extent cx="40347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403479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-5372735</wp:posOffset>
            </wp:positionV>
            <wp:extent cx="56280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-5236210</wp:posOffset>
            </wp:positionV>
            <wp:extent cx="54946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549465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-5099050</wp:posOffset>
            </wp:positionV>
            <wp:extent cx="56280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-4961890</wp:posOffset>
            </wp:positionV>
            <wp:extent cx="31502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315023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-4807585</wp:posOffset>
            </wp:positionV>
            <wp:extent cx="52990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529907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-4671060</wp:posOffset>
            </wp:positionV>
            <wp:extent cx="56280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-4533900</wp:posOffset>
            </wp:positionV>
            <wp:extent cx="56248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562483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-4396740</wp:posOffset>
            </wp:positionV>
            <wp:extent cx="33528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335280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-4243070</wp:posOffset>
            </wp:positionV>
            <wp:extent cx="53689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536892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-4105910</wp:posOffset>
            </wp:positionV>
            <wp:extent cx="46780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467804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-3951605</wp:posOffset>
            </wp:positionV>
            <wp:extent cx="55803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-3814445</wp:posOffset>
            </wp:positionV>
            <wp:extent cx="35591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355917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-3660775</wp:posOffset>
            </wp:positionV>
            <wp:extent cx="5607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560705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-3523615</wp:posOffset>
            </wp:positionV>
            <wp:extent cx="50203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502031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-3369310</wp:posOffset>
            </wp:positionV>
            <wp:extent cx="56070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560705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-3232150</wp:posOffset>
            </wp:positionV>
            <wp:extent cx="5572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557276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-3095625</wp:posOffset>
            </wp:positionV>
            <wp:extent cx="389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8989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-2941320</wp:posOffset>
            </wp:positionV>
            <wp:extent cx="55911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559117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-2804160</wp:posOffset>
            </wp:positionV>
            <wp:extent cx="5490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549021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-2667000</wp:posOffset>
            </wp:positionV>
            <wp:extent cx="830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8305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-2513330</wp:posOffset>
            </wp:positionV>
            <wp:extent cx="54190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541909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-2376170</wp:posOffset>
            </wp:positionV>
            <wp:extent cx="30899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308991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-2221865</wp:posOffset>
            </wp:positionV>
            <wp:extent cx="56280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-2085340</wp:posOffset>
            </wp:positionV>
            <wp:extent cx="32899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328993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-1931035</wp:posOffset>
            </wp:positionV>
            <wp:extent cx="55556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555561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-1793875</wp:posOffset>
            </wp:positionV>
            <wp:extent cx="36290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362902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-1639570</wp:posOffset>
            </wp:positionV>
            <wp:extent cx="53619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536194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-1503045</wp:posOffset>
            </wp:positionV>
            <wp:extent cx="46431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464312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-1348740</wp:posOffset>
            </wp:positionV>
            <wp:extent cx="55930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55930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-1211580</wp:posOffset>
            </wp:positionV>
            <wp:extent cx="46431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464312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-1057275</wp:posOffset>
            </wp:positionV>
            <wp:extent cx="53289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532892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-920750</wp:posOffset>
            </wp:positionV>
            <wp:extent cx="35623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356235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-475615</wp:posOffset>
            </wp:positionV>
            <wp:extent cx="54787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5478780"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-338455</wp:posOffset>
            </wp:positionV>
            <wp:extent cx="28746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287464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-184150</wp:posOffset>
            </wp:positionV>
            <wp:extent cx="53689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5368925" cy="825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-46990</wp:posOffset>
            </wp:positionV>
            <wp:extent cx="36855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368554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auto"/>
        </w:rPr>
      </w:pPr>
    </w:p>
    <w:p>
      <w:pPr>
        <w:ind w:left="4844"/>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-448945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4"/>
          </w:cols>
          <w:pgMar w:left="1016" w:top="566" w:right="379" w:bottom="1440" w:gutter="0" w:footer="0" w:header="0"/>
        </w:sectPr>
      </w:pPr>
    </w:p>
    <w:bookmarkStart w:id="83" w:name="page84"/>
    <w:bookmarkEnd w:id="83"/>
    <w:p>
      <w:pPr>
        <w:jc w:val="both"/>
        <w:ind w:left="2340" w:right="120" w:hanging="579"/>
        <w:spacing w:after="0" w:line="260" w:lineRule="auto"/>
        <w:tabs>
          <w:tab w:leader="none" w:pos="2340" w:val="left"/>
        </w:tabs>
        <w:numPr>
          <w:ilvl w:val="0"/>
          <w:numId w:val="25"/>
        </w:numPr>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 February 26,</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1997. Incorporated by reference to Exhibit (10)p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February 1, 1997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660" w:hanging="579"/>
        <w:spacing w:after="0" w:line="265" w:lineRule="auto"/>
        <w:tabs>
          <w:tab w:leader="none" w:pos="2340" w:val="left"/>
        </w:tabs>
        <w:numPr>
          <w:ilvl w:val="0"/>
          <w:numId w:val="25"/>
        </w:numPr>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First Amendment to Form of Employment Protection Agreement. Incorporated by reference to Exhibit (10)s to the</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Company’s Annual Report on Form 10-K for the fiscal year ended January 30, 2010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80" w:hanging="579"/>
        <w:spacing w:after="0" w:line="260" w:lineRule="auto"/>
        <w:tabs>
          <w:tab w:leader="none" w:pos="2340" w:val="left"/>
        </w:tabs>
        <w:numPr>
          <w:ilvl w:val="0"/>
          <w:numId w:val="25"/>
        </w:numPr>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 October 30,</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2019. Incorporated by reference to Exhibit 10.1 to the current report on Form 8-K filed October 31, 2019 (File No. 1-</w:t>
        </w:r>
      </w:hyperlink>
      <w:hyperlink r:id="rId201">
        <w:r>
          <w:rPr>
            <w:rFonts w:ascii="Times New Roman" w:cs="Times New Roman" w:eastAsia="Times New Roman" w:hAnsi="Times New Roman"/>
            <w:sz w:val="18"/>
            <w:szCs w:val="18"/>
            <w:u w:val="single" w:color="auto"/>
            <w:color w:val="0000FF"/>
          </w:rPr>
          <w:t>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20" w:hanging="579"/>
        <w:spacing w:after="0" w:line="257" w:lineRule="auto"/>
        <w:tabs>
          <w:tab w:leader="none" w:pos="2340" w:val="left"/>
        </w:tabs>
        <w:numPr>
          <w:ilvl w:val="0"/>
          <w:numId w:val="25"/>
        </w:numPr>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Genesco Inc. Deferred Income Plan dated as of July 1, 2000. Incorporated by reference to Exhibit (10)p to the Company’s</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Annual Report on Form 10-K for the fiscal year ended January 29, 2005. Amended and Restated Deferred Income Plan</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dated August 22, 2007. Incorporated by reference to Exhibit (10)r to the Company’s Annual Report on Form 10-K for the</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fiscal year ended February 2, 2008 (File No.1-3083).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1486535</wp:posOffset>
            </wp:positionH>
            <wp:positionV relativeFrom="paragraph">
              <wp:posOffset>-1586865</wp:posOffset>
            </wp:positionV>
            <wp:extent cx="56070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560705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-1449705</wp:posOffset>
            </wp:positionV>
            <wp:extent cx="55994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559943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-1312545</wp:posOffset>
            </wp:positionV>
            <wp:extent cx="16129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161290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-1158875</wp:posOffset>
            </wp:positionV>
            <wp:extent cx="5264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526415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-1021715</wp:posOffset>
            </wp:positionV>
            <wp:extent cx="46780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467804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-867410</wp:posOffset>
            </wp:positionV>
            <wp:extent cx="55626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556260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-730250</wp:posOffset>
            </wp:positionV>
            <wp:extent cx="53619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53619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-593725</wp:posOffset>
            </wp:positionV>
            <wp:extent cx="2946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2946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-439420</wp:posOffset>
            </wp:positionV>
            <wp:extent cx="55994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559943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-302260</wp:posOffset>
            </wp:positionV>
            <wp:extent cx="54794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547941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-165100</wp:posOffset>
            </wp:positionV>
            <wp:extent cx="55841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558419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-28575</wp:posOffset>
            </wp:positionV>
            <wp:extent cx="24149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ind w:left="2340" w:right="60" w:hanging="579"/>
        <w:spacing w:after="0" w:line="265" w:lineRule="auto"/>
        <w:tabs>
          <w:tab w:leader="none" w:pos="2340" w:val="left"/>
        </w:tabs>
        <w:numPr>
          <w:ilvl w:val="0"/>
          <w:numId w:val="26"/>
        </w:numPr>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The Schuh Group Limited 2015 Management Bonus Scheme. Incorporated by reference to Exhibit (10)a to the Company’s</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Quarterly Report on Form 10-Q for the quarter ended July 30, 2011 (File No.1-3083).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1486535</wp:posOffset>
            </wp:positionH>
            <wp:positionV relativeFrom="paragraph">
              <wp:posOffset>-166370</wp:posOffset>
            </wp:positionV>
            <wp:extent cx="56280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56280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-29845</wp:posOffset>
            </wp:positionV>
            <wp:extent cx="391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3912870" cy="8255"/>
                    </a:xfrm>
                    <a:prstGeom prst="rect">
                      <a:avLst/>
                    </a:prstGeom>
                    <a:noFill/>
                  </pic:spPr>
                </pic:pic>
              </a:graphicData>
            </a:graphic>
          </wp:anchor>
        </w:drawing>
      </w:r>
    </w:p>
    <w:p>
      <w:pPr>
        <w:ind w:left="2340" w:right="160" w:hanging="579"/>
        <w:spacing w:after="0" w:line="265" w:lineRule="auto"/>
        <w:tabs>
          <w:tab w:leader="none" w:pos="2340" w:val="left"/>
        </w:tabs>
        <w:numPr>
          <w:ilvl w:val="0"/>
          <w:numId w:val="27"/>
        </w:numPr>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Basic Form of Exchange Agreement (Restricted Stock).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Form 8-K filed April 29,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220" w:hanging="579"/>
        <w:spacing w:after="0" w:line="265" w:lineRule="auto"/>
        <w:tabs>
          <w:tab w:leader="none" w:pos="2340" w:val="left"/>
        </w:tabs>
        <w:numPr>
          <w:ilvl w:val="0"/>
          <w:numId w:val="27"/>
        </w:numPr>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Basic Form of Exchange Agreement (Unrestricted Stock). Incorporated by reference to Exhibit 10.2 to the current report</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on Form 8-K filed April 29,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700" w:hanging="579"/>
        <w:spacing w:after="0" w:line="265" w:lineRule="auto"/>
        <w:tabs>
          <w:tab w:leader="none" w:pos="2340" w:val="left"/>
        </w:tabs>
        <w:numPr>
          <w:ilvl w:val="0"/>
          <w:numId w:val="27"/>
        </w:numPr>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November 2, 2009 (File No. 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1486535</wp:posOffset>
            </wp:positionH>
            <wp:positionV relativeFrom="paragraph">
              <wp:posOffset>-748665</wp:posOffset>
            </wp:positionV>
            <wp:extent cx="55772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557720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-612140</wp:posOffset>
            </wp:positionV>
            <wp:extent cx="22472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22472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-457835</wp:posOffset>
            </wp:positionV>
            <wp:extent cx="55359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553593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-320675</wp:posOffset>
            </wp:positionV>
            <wp:extent cx="23901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23901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-166370</wp:posOffset>
            </wp:positionV>
            <wp:extent cx="52349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-29845</wp:posOffset>
            </wp:positionV>
            <wp:extent cx="1711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1711325" cy="8255"/>
                    </a:xfrm>
                    <a:prstGeom prst="rect">
                      <a:avLst/>
                    </a:prstGeom>
                    <a:noFill/>
                  </pic:spPr>
                </pic:pic>
              </a:graphicData>
            </a:graphic>
          </wp:anchor>
        </w:drawing>
      </w:r>
    </w:p>
    <w:p>
      <w:pPr>
        <w:ind w:left="2340" w:right="700" w:hanging="579"/>
        <w:spacing w:after="0" w:line="265" w:lineRule="auto"/>
        <w:tabs>
          <w:tab w:leader="none" w:pos="2340" w:val="left"/>
        </w:tabs>
        <w:numPr>
          <w:ilvl w:val="0"/>
          <w:numId w:val="28"/>
        </w:numPr>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November 6,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240" w:hanging="579"/>
        <w:spacing w:after="0" w:line="260" w:lineRule="auto"/>
        <w:tabs>
          <w:tab w:leader="none" w:pos="2340" w:val="left"/>
        </w:tabs>
        <w:numPr>
          <w:ilvl w:val="0"/>
          <w:numId w:val="28"/>
        </w:numPr>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Terms and Conditions to Trademark License Agreement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Genesco Inc.* Incorporated by reference to Exhibit (10)bb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340" w:right="240" w:hanging="579"/>
        <w:spacing w:after="0" w:line="260" w:lineRule="auto"/>
        <w:tabs>
          <w:tab w:leader="none" w:pos="2340" w:val="left"/>
        </w:tabs>
        <w:numPr>
          <w:ilvl w:val="0"/>
          <w:numId w:val="28"/>
        </w:numPr>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Schedule to Trademark License Agreement (Levi’s® Brand)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Genesco Inc.* Incorporated by reference to Exhibit (10)cc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00" w:hanging="579"/>
        <w:spacing w:after="0" w:line="260" w:lineRule="auto"/>
        <w:tabs>
          <w:tab w:leader="none" w:pos="2340" w:val="left"/>
        </w:tabs>
        <w:numPr>
          <w:ilvl w:val="0"/>
          <w:numId w:val="28"/>
        </w:numPr>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Schedule to Trademark License Agreement (Dockers® Brand)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Genesco Inc.* Incorporated by reference to Exhibit (10)dd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340" w:right="100" w:hanging="579"/>
        <w:spacing w:after="0" w:line="260" w:lineRule="auto"/>
        <w:tabs>
          <w:tab w:leader="none" w:pos="2340" w:val="left"/>
        </w:tabs>
        <w:numPr>
          <w:ilvl w:val="0"/>
          <w:numId w:val="28"/>
        </w:numPr>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Amendment No. 1 to Trademark License Agreement, dated December 17, 2019, between Levi Strauss &amp; Co. and Genesco</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Inc.* Incorporated by reference to Exhibit (10)ee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February 1, 2020. (File No. 1-3083).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1486535</wp:posOffset>
            </wp:positionH>
            <wp:positionV relativeFrom="paragraph">
              <wp:posOffset>-1878965</wp:posOffset>
            </wp:positionV>
            <wp:extent cx="52349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-1741805</wp:posOffset>
            </wp:positionV>
            <wp:extent cx="1711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171132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-1588135</wp:posOffset>
            </wp:positionV>
            <wp:extent cx="53308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533082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-1450975</wp:posOffset>
            </wp:positionV>
            <wp:extent cx="55270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55270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-1313815</wp:posOffset>
            </wp:positionV>
            <wp:extent cx="21964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21964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-1159510</wp:posOffset>
            </wp:positionV>
            <wp:extent cx="55270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55270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-1022985</wp:posOffset>
            </wp:positionV>
            <wp:extent cx="55143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55143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-885825</wp:posOffset>
            </wp:positionV>
            <wp:extent cx="21964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21964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-731520</wp:posOffset>
            </wp:positionV>
            <wp:extent cx="56216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56216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-594995</wp:posOffset>
            </wp:positionV>
            <wp:extent cx="55270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552704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-457835</wp:posOffset>
            </wp:positionV>
            <wp:extent cx="21964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219646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-303530</wp:posOffset>
            </wp:positionV>
            <wp:extent cx="56210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562102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-166370</wp:posOffset>
            </wp:positionV>
            <wp:extent cx="56184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561848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-29845</wp:posOffset>
            </wp:positionV>
            <wp:extent cx="1670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2360" w:type="dxa"/>
            <w:vAlign w:val="bottom"/>
          </w:tcPr>
          <w:p>
            <w:pPr>
              <w:ind w:left="700"/>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88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(23)</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included on page 86.</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(24)</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(31.1)</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(31.2)</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Sarbanes-Oxley Act of 2002.</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3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(32.1)</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 Section 1350, as Adopted Pursuant to Section 906 of the</w:t>
            </w:r>
          </w:p>
        </w:tc>
      </w:tr>
      <w:tr>
        <w:trPr>
          <w:trHeight w:val="20"/>
        </w:trPr>
        <w:tc>
          <w:tcPr>
            <w:tcW w:w="2360" w:type="dxa"/>
            <w:vAlign w:val="bottom"/>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67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676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(32.2)</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w:t>
            </w:r>
          </w:p>
        </w:tc>
      </w:tr>
      <w:tr>
        <w:trPr>
          <w:trHeight w:val="20"/>
        </w:trPr>
        <w:tc>
          <w:tcPr>
            <w:tcW w:w="2360" w:type="dxa"/>
            <w:vAlign w:val="bottom"/>
          </w:tcPr>
          <w:p>
            <w:pPr>
              <w:spacing w:after="0" w:line="20" w:lineRule="exact"/>
              <w:rPr>
                <w:sz w:val="1"/>
                <w:szCs w:val="1"/>
                <w:color w:val="auto"/>
              </w:rPr>
            </w:pPr>
          </w:p>
        </w:tc>
        <w:tc>
          <w:tcPr>
            <w:tcW w:w="88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6800" w:type="dxa"/>
            <w:vAlign w:val="bottom"/>
            <w:tcBorders>
              <w:left w:val="single" w:sz="8" w:color="0000EE"/>
            </w:tcBorders>
            <w:gridSpan w:val="4"/>
          </w:tcPr>
          <w:p>
            <w:pPr>
              <w:spacing w:after="0" w:line="20" w:lineRule="exact"/>
              <w:rPr>
                <w:sz w:val="1"/>
                <w:szCs w:val="1"/>
                <w:color w:val="auto"/>
              </w:rPr>
            </w:pPr>
          </w:p>
        </w:tc>
      </w:tr>
      <w:tr>
        <w:trPr>
          <w:trHeight w:val="245"/>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34"/>
        </w:trPr>
        <w:tc>
          <w:tcPr>
            <w:tcW w:w="2360" w:type="dxa"/>
            <w:vAlign w:val="bottom"/>
          </w:tcPr>
          <w:p>
            <w:pPr>
              <w:spacing w:after="0"/>
              <w:rPr>
                <w:sz w:val="20"/>
                <w:szCs w:val="20"/>
                <w:color w:val="auto"/>
              </w:rPr>
            </w:pP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4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45"/>
        </w:trPr>
        <w:tc>
          <w:tcPr>
            <w:tcW w:w="2360" w:type="dxa"/>
            <w:vAlign w:val="bottom"/>
          </w:tcPr>
          <w:p>
            <w:pPr>
              <w:spacing w:after="0"/>
              <w:rPr>
                <w:sz w:val="24"/>
                <w:szCs w:val="24"/>
                <w:color w:val="auto"/>
              </w:rPr>
            </w:pPr>
          </w:p>
        </w:tc>
        <w:tc>
          <w:tcPr>
            <w:tcW w:w="7360" w:type="dxa"/>
            <w:vAlign w:val="bottom"/>
            <w:gridSpan w:val="3"/>
          </w:tcPr>
          <w:p>
            <w:pPr>
              <w:jc w:val="right"/>
              <w:ind w:right="400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84" w:name="page85"/>
    <w:bookmarkEnd w:id="84"/>
    <w:p>
      <w:pPr>
        <w:spacing w:after="0" w:line="281" w:lineRule="auto"/>
        <w:rPr>
          <w:sz w:val="20"/>
          <w:szCs w:val="20"/>
          <w:color w:val="auto"/>
        </w:rPr>
      </w:pPr>
      <w:r>
        <w:rPr>
          <w:rFonts w:ascii="Times New Roman" w:cs="Times New Roman" w:eastAsia="Times New Roman" w:hAnsi="Times New Roman"/>
          <w:sz w:val="18"/>
          <w:szCs w:val="18"/>
          <w:color w:val="auto"/>
        </w:rPr>
        <w:t>Exhibits (10)e through (10)o and (10)s through (10)w are Management Contracts or Compensatory Plans or Arrangements required to be filed as Exhibits to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have been omitted pursuant to a request for confidential treatment.</w:t>
      </w:r>
    </w:p>
    <w:p>
      <w:pPr>
        <w:spacing w:after="0" w:line="198"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auto"/>
        </w:rPr>
        <w:t>A copy of any of the above described exhibits will be furnished to the shareholders upon written request, addressed to Director, Corporate Relations, Genesco Inc., 535 Marriott Drive, 12th Floor, Nashville, Tennessee 37215, accompanied by a check in the amount of $15.00 payable to Genesco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85" w:name="page86"/>
    <w:bookmarkEnd w:id="85"/>
    <w:p>
      <w:pPr>
        <w:ind w:right="2760" w:firstLine="3322"/>
        <w:spacing w:after="0" w:line="463"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333-08463)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333-104908)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333-40249) of Genesco Inc.,</w:t>
      </w:r>
    </w:p>
    <w:p>
      <w:pPr>
        <w:spacing w:after="0" w:line="19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333-128201)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333-160339)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333-180463) of Genesco Inc.,</w:t>
      </w:r>
    </w:p>
    <w:p>
      <w:pPr>
        <w:spacing w:after="0" w:line="19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333-218670) of Genesco Inc., and</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333-248715) of Genesco Inc.,</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of our reports dated March 22, 2023, with respect to the consolidated financial statements of Genesco Inc. and Subsidiaries and the effectiveness of internal control over financial reporting of Genesco Inc. and Subsidiaries and included in this Annual Report (Form 10-K) of Genesco Inc. for the year ended January 28, 2023, and the financial statement schedule of Genesco Inc. included herein.</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22, 2023</w:t>
      </w: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49" w:right="89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GENESCO INC.</w:t>
            </w:r>
          </w:p>
        </w:tc>
      </w:tr>
      <w:tr>
        <w:trPr>
          <w:trHeight w:val="49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/s/Thomas A. George</w:t>
            </w: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A. George</w:t>
            </w:r>
          </w:p>
        </w:tc>
      </w:tr>
      <w:tr>
        <w:trPr>
          <w:trHeight w:val="238"/>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20th day of February,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/s/Mimi Eckel Vaughn</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Board Chair, President, Chief Executive Officer</w:t>
            </w:r>
          </w:p>
        </w:tc>
      </w:tr>
      <w:tr>
        <w:trPr>
          <w:trHeight w:val="234"/>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Mimi Eckel Vaughn</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7"/>
        </w:trPr>
        <w:tc>
          <w:tcPr>
            <w:tcW w:w="5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/s/Thomas A. George</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234"/>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A. George</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2"/>
        </w:trPr>
        <w:tc>
          <w:tcPr>
            <w:tcW w:w="5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/s/Brently G. Baxter</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4"/>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Brently G. Baxter</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81"/>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3560" w:type="dxa"/>
            <w:vAlign w:val="bottom"/>
          </w:tcPr>
          <w:p>
            <w:pPr>
              <w:spacing w:after="0"/>
              <w:rPr>
                <w:sz w:val="24"/>
                <w:szCs w:val="24"/>
                <w:color w:val="auto"/>
              </w:rPr>
            </w:pPr>
          </w:p>
        </w:tc>
      </w:tr>
      <w:tr>
        <w:trPr>
          <w:trHeight w:val="243"/>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Joanna Barsh*</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Angel R. Martinez *</w:t>
            </w:r>
          </w:p>
        </w:tc>
      </w:tr>
      <w:tr>
        <w:trPr>
          <w:trHeight w:val="485"/>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Matthew Bilunas*</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P. McDermott*</w:t>
            </w:r>
          </w:p>
        </w:tc>
      </w:tr>
      <w:tr>
        <w:trPr>
          <w:trHeight w:val="485"/>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Carolyn Bojanowski *</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Mary Meixelsperger*</w:t>
            </w:r>
          </w:p>
        </w:tc>
      </w:tr>
      <w:tr>
        <w:trPr>
          <w:trHeight w:val="485"/>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Matthew C. Diamond*</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Gregory A. Sandfort*</w:t>
            </w:r>
          </w:p>
        </w:tc>
      </w:tr>
      <w:tr>
        <w:trPr>
          <w:trHeight w:val="485"/>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F. Lambros.*</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Mimi E. Vaughn*</w:t>
            </w:r>
          </w:p>
        </w:tc>
      </w:tr>
      <w:tr>
        <w:trPr>
          <w:trHeight w:val="485"/>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Thurgood Marshall, Jr.*</w:t>
            </w:r>
          </w:p>
        </w:tc>
        <w:tc>
          <w:tcPr>
            <w:tcW w:w="3560" w:type="dxa"/>
            <w:vAlign w:val="bottom"/>
          </w:tcPr>
          <w:p>
            <w:pPr>
              <w:spacing w:after="0"/>
              <w:rPr>
                <w:sz w:val="24"/>
                <w:szCs w:val="24"/>
                <w:color w:val="auto"/>
              </w:rPr>
            </w:pPr>
          </w:p>
        </w:tc>
      </w:tr>
      <w:tr>
        <w:trPr>
          <w:trHeight w:val="465"/>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/s/Scott E. Becker</w:t>
            </w:r>
          </w:p>
        </w:tc>
        <w:tc>
          <w:tcPr>
            <w:tcW w:w="356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 E. Becker</w:t>
            </w:r>
          </w:p>
        </w:tc>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38"/>
        </w:trPr>
        <w:tc>
          <w:tcPr>
            <w:tcW w:w="68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35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ind w:left="452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27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Financial Statement Schedule</w:t>
      </w:r>
    </w:p>
    <w:p>
      <w:pPr>
        <w:spacing w:after="0" w:line="2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January 28, 2023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Schedule 2</w:t>
            </w:r>
          </w:p>
        </w:tc>
      </w:tr>
      <w:tr>
        <w:trPr>
          <w:trHeight w:val="369"/>
        </w:trPr>
        <w:tc>
          <w:tcPr>
            <w:tcW w:w="2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Genesco Inc.</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Valuation and Qualifying Accounts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January 28, 2023</w:t>
            </w: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3"/>
        </w:trPr>
        <w:tc>
          <w:tcPr>
            <w:tcW w:w="22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45"/>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43"/>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17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40"/>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Allowances</w:t>
            </w: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4,656</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(868 )</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3,710</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5"/>
        </w:trPr>
        <w:tc>
          <w:tcPr>
            <w:tcW w:w="4140" w:type="dxa"/>
            <w:vAlign w:val="bottom"/>
            <w:tcBorders>
              <w:bottom w:val="single" w:sz="8" w:color="auto"/>
            </w:tcBorders>
            <w:gridSpan w:val="2"/>
            <w:shd w:val="clear" w:color="auto" w:fill="CFF0FC"/>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Markdown Allowance </w:t>
            </w:r>
            <w:r>
              <w:rPr>
                <w:rFonts w:ascii="Times New Roman" w:cs="Times New Roman" w:eastAsia="Times New Roman" w:hAnsi="Times New Roman"/>
                <w:sz w:val="24"/>
                <w:szCs w:val="24"/>
                <w:b w:val="1"/>
                <w:bCs w:val="1"/>
                <w:color w:val="auto"/>
                <w:vertAlign w:val="superscript"/>
              </w:rPr>
              <w:t>(1)</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3,159</w:t>
            </w:r>
          </w:p>
        </w:tc>
        <w:tc>
          <w:tcPr>
            <w:tcW w:w="4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4,275</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(1,416 )</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6,018</w:t>
            </w:r>
          </w:p>
        </w:tc>
      </w:tr>
      <w:tr>
        <w:trPr>
          <w:trHeight w:val="37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January 29, 2022</w:t>
            </w: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3"/>
        </w:trPr>
        <w:tc>
          <w:tcPr>
            <w:tcW w:w="22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45"/>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43"/>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17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5,015</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(378 )</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4,656</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7"/>
        </w:trPr>
        <w:tc>
          <w:tcPr>
            <w:tcW w:w="4140" w:type="dxa"/>
            <w:vAlign w:val="bottom"/>
            <w:tcBorders>
              <w:bottom w:val="single" w:sz="8" w:color="auto"/>
            </w:tcBorders>
            <w:gridSpan w:val="2"/>
            <w:shd w:val="clear" w:color="auto" w:fill="CFF0FC"/>
          </w:tcPr>
          <w:p>
            <w:pPr>
              <w:ind w:left="20"/>
              <w:spacing w:after="0" w:line="227" w:lineRule="exact"/>
              <w:rPr>
                <w:sz w:val="20"/>
                <w:szCs w:val="20"/>
                <w:color w:val="auto"/>
              </w:rPr>
            </w:pPr>
            <w:r>
              <w:rPr>
                <w:rFonts w:ascii="Times New Roman" w:cs="Times New Roman" w:eastAsia="Times New Roman" w:hAnsi="Times New Roman"/>
                <w:sz w:val="18"/>
                <w:szCs w:val="18"/>
                <w:color w:val="auto"/>
              </w:rPr>
              <w:t xml:space="preserve">Markdown Allowance </w:t>
            </w:r>
            <w:r>
              <w:rPr>
                <w:rFonts w:ascii="Times New Roman" w:cs="Times New Roman" w:eastAsia="Times New Roman" w:hAnsi="Times New Roman"/>
                <w:sz w:val="24"/>
                <w:szCs w:val="24"/>
                <w:color w:val="auto"/>
                <w:vertAlign w:val="superscript"/>
              </w:rPr>
              <w:t>(1)</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14,951</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(11,792 )</w:t>
            </w: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3,159</w:t>
            </w:r>
          </w:p>
        </w:tc>
      </w:tr>
      <w:tr>
        <w:trPr>
          <w:trHeight w:val="37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January 30, 2021</w:t>
            </w: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3"/>
        </w:trPr>
        <w:tc>
          <w:tcPr>
            <w:tcW w:w="22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45"/>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43"/>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17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2,940</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2,606</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(531 )</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5,015</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7"/>
        </w:trPr>
        <w:tc>
          <w:tcPr>
            <w:tcW w:w="4140" w:type="dxa"/>
            <w:vAlign w:val="bottom"/>
            <w:tcBorders>
              <w:bottom w:val="single" w:sz="8" w:color="auto"/>
            </w:tcBorders>
            <w:gridSpan w:val="2"/>
            <w:shd w:val="clear" w:color="auto" w:fill="CFF0FC"/>
          </w:tcPr>
          <w:p>
            <w:pPr>
              <w:ind w:left="20"/>
              <w:spacing w:after="0" w:line="227" w:lineRule="exact"/>
              <w:rPr>
                <w:sz w:val="20"/>
                <w:szCs w:val="20"/>
                <w:color w:val="auto"/>
              </w:rPr>
            </w:pPr>
            <w:r>
              <w:rPr>
                <w:rFonts w:ascii="Times New Roman" w:cs="Times New Roman" w:eastAsia="Times New Roman" w:hAnsi="Times New Roman"/>
                <w:sz w:val="18"/>
                <w:szCs w:val="18"/>
                <w:color w:val="auto"/>
              </w:rPr>
              <w:t xml:space="preserve">Markdown Allowance </w:t>
            </w:r>
            <w:r>
              <w:rPr>
                <w:rFonts w:ascii="Times New Roman" w:cs="Times New Roman" w:eastAsia="Times New Roman" w:hAnsi="Times New Roman"/>
                <w:sz w:val="24"/>
                <w:szCs w:val="24"/>
                <w:color w:val="auto"/>
                <w:vertAlign w:val="superscript"/>
              </w:rPr>
              <w:t>(1)</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5,559</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11,080</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(1,688 )</w:t>
            </w: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14,951</w:t>
            </w:r>
          </w:p>
        </w:tc>
      </w:tr>
    </w:tbl>
    <w:p>
      <w:pPr>
        <w:spacing w:after="0" w:line="197" w:lineRule="exact"/>
        <w:rPr>
          <w:sz w:val="20"/>
          <w:szCs w:val="20"/>
          <w:color w:val="auto"/>
        </w:rPr>
      </w:pPr>
    </w:p>
    <w:p>
      <w:pPr>
        <w:ind w:left="380" w:hanging="372"/>
        <w:spacing w:after="0" w:line="223" w:lineRule="auto"/>
        <w:tabs>
          <w:tab w:leader="none" w:pos="38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Exhibit (4)b.</w:t>
      </w:r>
    </w:p>
    <w:p>
      <w:pPr>
        <w:spacing w:after="0" w:line="23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Exhibit (4)b.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January 28, 2023, Genesco Inc. had two classes of securities registered under Section 12 of the Securities Exchange Act of 1934, as amended: our common stock, par value $1.00 per share (“Common Stock”), and our Employees’ Subordinated Convertible Preferred Stock, without nominal or par value (“Employees’ Subordinated Convertible Preferred Stock”).</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this Exhibit (4)b, when we refer to the “Company,” “we,” “us” or “our” or when we otherwise refer to ourselves, we mean Genesco Inc., excluding, unless otherwise expressly stated, our subsidiaries and affiliates.</w:t>
      </w:r>
    </w:p>
    <w:p>
      <w:pPr>
        <w:spacing w:after="0" w:line="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following description is a summary of the material terms of our Restated Charter, as amended (the “Charter”), and our Second Amended and Restated Bylaws (the “Bylaws”), as currently in effect. This description is subject to, and qualified in its entirety by reference to, our Charter and our Bylaws, each of which are incorporated by reference as an exhibit to the Annual Report on Form 10-K of which this Exhibit (4)b is a part. We encourage you to read our Charter, our Bylaws and the applicable provisions of the Tennessee Business Corporation Act (“TBCA”), for additional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3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January 28, 2023, our authorized capital stock consisted of 80,000,000 shares of Common Stock, 5,000,000 shares of Employees' Subordinated Convertible Preferred Stock, 3,705 shares of Cumulative Convertible Preferred Stock, without nominal or par value, 499,610 shares of Subordinated Cumulative Convertible Preference Stock, without nominal or par value, 3,000,000 shares of Subordinated Serial Preferred Stock, without nominal or par value, and 5,000,000 shares of Subordinated Cumulative Preferred Stock, without nominal or par value.</w:t>
      </w:r>
    </w:p>
    <w:p>
      <w:pPr>
        <w:spacing w:after="0" w:line="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January 28, 2023, 12,600,318 shares of Common Stock were issued and outstanding, 27,935 shares of Employees’ Subordinated Convertible Preferred Stock were issued and outstanding and no shares of Cumulative Convertible Preferred Stock, Subordinated Cumulative Convertible Preference Stock, Subordinated Serial Preferred Stock or Subordinated Cumulative Preferred Stock were issued and outstanding.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 to be voted on by shareholders and, if a quorum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exists, action on any matter, other than the election of directors and except as otherwise required by our Charter or applicable law, is approved if the votes cast in favor of the action exceed the votes cast opposing the action. Should a nominee to serve as a director that is nominated in an uncontested election fail to receive an affirmative vote of a majority of the votes cast at the meeting at which the nominee is up for election, in person or by proxy, then that nominee, if that individual is an incumbent director, must tender his or her resignation to the chairman of our board of directors following the shareholder vote pursuant to our corporate governance guidelines. Subsequently, the nominating and corporate governance committee of our board of directors will consider the relevant facts and circumstances, including the factors that may have given rise to the resulting shareholder vote and the service and qualifications of the impacted director(s), and recommend to the board of directors within ninety days of the shareholder vote as to whether to accept or reject the resignation of the impacted director(s). Our board of directors will also consider the relevant facts and circumstances when considering whether to accept or reject the nominating and corporate governance committee’s recommendation. Subsequently, we will describe a full explanation of the above process and the decisions regarding the impacted director(s) continued service on the board of directors in a Form 8-K filing with the Securities and Exchange Commission (the</w:t>
      </w:r>
    </w:p>
    <w:p>
      <w:pPr>
        <w:spacing w:after="0" w:line="323"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“SEC”). Any director who tenders his resignation in the manner described in this paragraph will not participate in any discussion or recommendation related to the above process.</w:t>
      </w:r>
    </w:p>
    <w:p>
      <w:pPr>
        <w:spacing w:after="0" w:line="16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After payment, or declaration and setting aside for payment, of the full cumulative dividends for all prior and then current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on all outstanding shares of our preferred stock (other than our Employees’ Subordinated Convertible Preferred Stock) and after setting aside all stock purchase funds or sinking funds required to be set aside with respect to our preferred stock, cash dividends on our Common Stock may be declared and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Exhibit (4)b.</w:t>
      </w:r>
    </w:p>
    <w:p>
      <w:pPr>
        <w:spacing w:after="0" w:line="200" w:lineRule="exact"/>
        <w:rPr>
          <w:sz w:val="20"/>
          <w:szCs w:val="20"/>
          <w:color w:val="auto"/>
        </w:rPr>
      </w:pPr>
    </w:p>
    <w:p>
      <w:pPr>
        <w:spacing w:after="0" w:line="25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when and as determined by the board of directors, subject to certain restrictions imposed by our Charter and certain other agreements. The holders of our Common Stock are entitled to share equally on a per share basis in any dividends or distributions declared by our board of directors in its discretion from legally available funds, subject to any dividend preferences that may be attributable to our preferred stock. Dividends may be payable in shares of Common Stock.</w:t>
      </w:r>
    </w:p>
    <w:p>
      <w:pPr>
        <w:spacing w:after="0" w:line="180" w:lineRule="exact"/>
        <w:rPr>
          <w:sz w:val="20"/>
          <w:szCs w:val="20"/>
          <w:color w:val="auto"/>
        </w:rPr>
      </w:pPr>
    </w:p>
    <w:p>
      <w:pPr>
        <w:ind w:right="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our liquidation, dissolution, or winding up, holders of Common Stock are entitled to share equally on a per share basis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assets remaining after all prior claims are satisfied and any liquidation preference on our outstanding preferred stock is paid in full.</w:t>
      </w:r>
    </w:p>
    <w:p>
      <w:pPr>
        <w:spacing w:after="0" w:line="159"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Rights and Preferences</w:t>
      </w:r>
      <w:r>
        <w:rPr>
          <w:rFonts w:ascii="Times New Roman" w:cs="Times New Roman" w:eastAsia="Times New Roman" w:hAnsi="Times New Roman"/>
          <w:sz w:val="18"/>
          <w:szCs w:val="18"/>
          <w:color w:val="auto"/>
        </w:rPr>
        <w:t>. The holders of our Common Stock do not have any preemptive or similar rights to subscribe for shares of our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Our Charter does not contain any provisions providing for the redemption of our Common Stock or the conversion of our Common Stock into other securities. All of our outstanding shares of Common Stock are fully paid and non-assessable.</w:t>
      </w:r>
    </w:p>
    <w:p>
      <w:pPr>
        <w:spacing w:after="0" w:line="17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Effect of Issuance of Preferred Stock</w:t>
      </w:r>
      <w:r>
        <w:rPr>
          <w:rFonts w:ascii="Times New Roman" w:cs="Times New Roman" w:eastAsia="Times New Roman" w:hAnsi="Times New Roman"/>
          <w:sz w:val="18"/>
          <w:szCs w:val="18"/>
          <w:color w:val="auto"/>
        </w:rPr>
        <w:t>. The rights, preferences and privileges of holders of common stock are subject to, and may be adversely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rights of holders of any series of our authorized and issued preferred stock or of any series of preferred stock that we may issue in the future. See “Employees’ Subordinated Convertible Preferred Stock” and “Other Preferred Stock” below.</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Trading Market for Our Common Stock</w:t>
      </w:r>
      <w:r>
        <w:rPr>
          <w:rFonts w:ascii="Times New Roman" w:cs="Times New Roman" w:eastAsia="Times New Roman" w:hAnsi="Times New Roman"/>
          <w:sz w:val="18"/>
          <w:szCs w:val="18"/>
          <w:color w:val="auto"/>
        </w:rPr>
        <w:t>. Our common stock is listed on the New York Stock Exchange under the symbol “GCO.”</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Subordinated Convertible Preferred Stock</w:t>
      </w:r>
    </w:p>
    <w:p>
      <w:pPr>
        <w:spacing w:after="0" w:line="119"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Employees’ Subordinated Convertible Preferred Stock are entitled to one vote per share on all matters to be voted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by shareholders.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Employees’ Subordinated Convertible Preferred Stock are not entitled to receive dividends.</w:t>
      </w:r>
    </w:p>
    <w:p>
      <w:pPr>
        <w:spacing w:after="0" w:line="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our liquidation, dissolution, or winding up, the holders of Employees' Preferred Stock shall be entitled to be paid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assets (whether capital or surplus) of the Company, before any payment or distribution shall be made to the holders of the Common Stock, but subject to and after prior payment of the amounts payable with respect to the Cumulative Convertible Preferred Stock, Subordinated Cumulative Convertible Preference Stock, Subordinated Serial Preferred Stock and Subordinated Cumulative Preferred Stock, an amount per share equal to 88 times the average quarterly per share dividend paid on our Common Stock for the previous eight quarters (if any), but in no event less than $30 per share; provided, however, that in the event that the Company shall (i) issue shares of Common Stock as a stock dividend, in a stock split, or otherwise subdivide its outstanding shares of Common Stock; or (ii) combine its outstanding shares of Common Stock into a smaller number of shares, the amount payable shall be based upon the aggregate dividends paid on the Common Stock divided by the number of shares of Common Stock which would have been outstanding had such subdivision or combination not taken place. After payment in full of all amounts payable to the holders of the Employees' Preferred Stock, such shareholders, as such, shall have no right or claim to any of the remaining assets of the Corporation, and the same shall be distributed among the holders of the Common Stock.</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Other Rights and Preferences</w:t>
      </w:r>
      <w:r>
        <w:rPr>
          <w:rFonts w:ascii="Times New Roman" w:cs="Times New Roman" w:eastAsia="Times New Roman" w:hAnsi="Times New Roman"/>
          <w:sz w:val="18"/>
          <w:szCs w:val="18"/>
          <w:color w:val="auto"/>
        </w:rPr>
        <w:t>. Holders of our Employees’ Subordinated Convertible Preferred Stock do not have any preemptive or similar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 for shares of our capital stock, and Employees’ Subordinated Convertible Preferred Stock are not subject to redemption by the Company. At the option of the holder thereof, each share of Employees' Preferred Stock may be converted into one fully paid and non-assessable share of either (i) the Subordinated Cumulative Preferred Stock, or (ii) Common Stock. Such option to convert may be exercised at any time, provided, however, that in the event that any share of Employees' Preferred Stock shall be issued partly paid, such share shall not be convertible into either Subordinated Cumulative Preferred Stock or Common Stock until it is fully paid. All of our outstanding shares of Employees’ Subordinated Convertible Preferred Stock are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Exhibit (4)b.</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Preferred Stock</w:t>
      </w:r>
    </w:p>
    <w:p>
      <w:pPr>
        <w:spacing w:after="0" w:line="3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Series of Preferred Stock. </w:t>
      </w:r>
      <w:r>
        <w:rPr>
          <w:rFonts w:ascii="Times New Roman" w:cs="Times New Roman" w:eastAsia="Times New Roman" w:hAnsi="Times New Roman"/>
          <w:sz w:val="18"/>
          <w:szCs w:val="18"/>
          <w:color w:val="auto"/>
        </w:rPr>
        <w:t>Our Charter permits our board of directors to issue our Subordinated Serial Preferred Stock in as many series,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 many shares and such rights and preferences, as the board may designate. Additionally, our Charter permits our board of directors to issue our Subordinated Cumulative Convertible Preference Stock in three separate classes, Subordinated Cumulative Convertible Preference Stock, Series A, Subordinated Cumulative Convertible Preference Stock, Series B, and Subordinated Cumulative Convertible Preference Stock, Series C.</w:t>
      </w:r>
    </w:p>
    <w:p>
      <w:pPr>
        <w:spacing w:after="0" w:line="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The Company has the right to redeem shares of Cumulative Convertible Preferred Stock, Subordinated Cumulative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Preference Stock, Subordinated Serial Preferred Stock and Subordinated Cumulative Preferred Stock (collectively, the “Unregistered Preferred Stock”). Each class of our Unregistered Preferred Stock entitles the holder to receive dividends, participate in distributions and to have the benefit of all other rights of holders of such classes of Unregistered Preferred Stock. Voting rights and other terms of our Unregistered Preferred Stock are governed by our Charter.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9"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provisions of our Charter and Bylaws described in this section may delay or make it difficult to effect acquisitions or changes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us that are not approved by our board of directors. We have implemented these provisions to help develop our business in a manner that will foster our long-term growth without the disruptive threat of a takeover that our board of directors believes is not in our best interests or in the best interests of our shareholders.</w:t>
      </w:r>
    </w:p>
    <w:p>
      <w:pPr>
        <w:spacing w:after="0" w:line="21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Prohibition of Certain Transactions with Interested Shareholders. </w:t>
      </w:r>
      <w:r>
        <w:rPr>
          <w:rFonts w:ascii="Times New Roman" w:cs="Times New Roman" w:eastAsia="Times New Roman" w:hAnsi="Times New Roman"/>
          <w:sz w:val="18"/>
          <w:szCs w:val="18"/>
          <w:color w:val="auto"/>
        </w:rPr>
        <w:t>Our Charter provides that, in order to effect certain mergers or other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with a beneficial owner of 10% or more of our voting securities (who we refer to as an “interested shareholder”), the proposed transaction must receive affirmative votes at least equal in number to the sum of the votes entitled to be cast by holders of shares beneficially owned by the interested shareholder plus 67% of the votes entitled to be cast by all other holders of voting stock, voting together as one class. This shareholder approval requirement applies unless:</w:t>
      </w:r>
    </w:p>
    <w:p>
      <w:pPr>
        <w:spacing w:after="0" w:line="4" w:lineRule="exact"/>
        <w:rPr>
          <w:sz w:val="20"/>
          <w:szCs w:val="20"/>
          <w:color w:val="auto"/>
        </w:rPr>
      </w:pPr>
    </w:p>
    <w:p>
      <w:pPr>
        <w:ind w:left="760" w:hanging="378"/>
        <w:spacing w:after="0" w:line="26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a majority of directors who are not affiliated with the interested shareholder and who either were directors before such person became an interested shareholder or were chosen by a majority of such directors; or</w:t>
      </w:r>
    </w:p>
    <w:p>
      <w:pPr>
        <w:spacing w:after="0" w:line="2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fair price, form of consideration and procedural requirements are met.</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for Shareholder Proposals or Nominations of Directors. </w:t>
      </w:r>
      <w:r>
        <w:rPr>
          <w:rFonts w:ascii="Times New Roman" w:cs="Times New Roman" w:eastAsia="Times New Roman" w:hAnsi="Times New Roman"/>
          <w:sz w:val="18"/>
          <w:szCs w:val="18"/>
          <w:color w:val="auto"/>
        </w:rPr>
        <w:t>Our Bylaws provide that shareholders who want to bring business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before an annual meeting of our shareholders or who want to nominate candidates for election as directors at an annual meeting or special meeting at which directors are to be elected must provide timely notice in writing. Subject to any other applicable requirements, only business that has been brought before the annual meeting by or at the direction of the board of directors or by a shareholder who has given timely written notice of an intention to bring that business before the meeting, in proper form, to our corporate secretary, may be conducted at an annual meeting of shareholders. In addition, the nomination of a person for election as a director at a meeting of shareholders can only be made by the board of directors (or an authorized committee of the board) or by a shareholder who has timely complied with the notice provisions set forth in our bylaws. Our Bylaws also specify requirements as to the content of the notice of a shareholder proposal or shareholder nomination of a director. The presiding officer at a shareholders’ meeting has the authority to make determinations in regard to whether a shareholder has complied with the requisite notice provisions.</w:t>
      </w:r>
    </w:p>
    <w:p>
      <w:pPr>
        <w:spacing w:after="0" w:line="2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The Bylaws provide for a board of directors of not less than five nor more than twenty members, the exact number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from time to time by resolution adopted by the affirmative vote of a majority of the total number of directors then in office. The Bylaws provide that directors will be elected to hold office for a term expiring at the next annual meeting of shareholders and until a successor is duly elected and qualified or until his or her earlier resignation or removal. Subject to the provisions of the Charter, the board of directors may fill any vacancy occurring on the board of directors, including any vacancy resulting from an increase in the number of directors or from the resignation or removal of a director. If the directors remaining in office constitute fewer than a quorum, the board of directors may fill the vacancy by the affirmative vote of a majority of all the directors remaining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Exhibit (4)b.</w:t>
      </w:r>
    </w:p>
    <w:p>
      <w:pPr>
        <w:spacing w:after="0" w:line="200" w:lineRule="exact"/>
        <w:rPr>
          <w:sz w:val="20"/>
          <w:szCs w:val="20"/>
          <w:color w:val="auto"/>
        </w:rPr>
      </w:pPr>
    </w:p>
    <w:p>
      <w:pPr>
        <w:spacing w:after="0" w:line="36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to Bylaws. </w:t>
      </w:r>
      <w:r>
        <w:rPr>
          <w:rFonts w:ascii="Times New Roman" w:cs="Times New Roman" w:eastAsia="Times New Roman" w:hAnsi="Times New Roman"/>
          <w:sz w:val="18"/>
          <w:szCs w:val="18"/>
          <w:color w:val="auto"/>
        </w:rPr>
        <w:t>The Bylaws provide that the board of directors may amend or repeal the Bylaws, unless (i) the Charter or the TBCA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reserves this power exclusively to shareholders or (ii) the shareholders, in amending or repealing a particular bylaw, provide expressly that the board of directors may not amend or repeal that bylaw. Shareholders may amend or repeal any bylaw, even though the bylaws may also be amended or repealed by the board of directors. Action by the board of directors with respect to the Bylaws shall be taken by an affirmative vote of a majority of all directors then holding office.</w:t>
      </w:r>
    </w:p>
    <w:p>
      <w:pPr>
        <w:spacing w:after="0" w:line="29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Meetings of Shareholders. </w:t>
      </w:r>
      <w:r>
        <w:rPr>
          <w:rFonts w:ascii="Times New Roman" w:cs="Times New Roman" w:eastAsia="Times New Roman" w:hAnsi="Times New Roman"/>
          <w:sz w:val="18"/>
          <w:szCs w:val="18"/>
          <w:color w:val="auto"/>
        </w:rPr>
        <w:t>The Bylaws provide that special meetings of the shareholders, for any purpose or purposes,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by law, may be called by the chairman of the Board or the board of directors pursuant to a resolution adopted by a majority of the entire board of directors and shall be called by the chairman of the board of directors or the secretary at the written request of persons holding of record at least 10% of all of the votes entitled to be cast on any issues proposed to be considered at the proposed special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Tennessee Anti-Takeover Law Provisions</w:t>
      </w: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Provisions in Tennessee law could also make it harder for someone to acquire us through a tender offer, proxy contest or otherwise.</w:t>
      </w:r>
    </w:p>
    <w:p>
      <w:pPr>
        <w:spacing w:after="0" w:line="2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i w:val="1"/>
          <w:iCs w:val="1"/>
          <w:color w:val="auto"/>
        </w:rPr>
        <w:t>The Tennessee Business Combination Act</w:t>
      </w:r>
      <w:r>
        <w:rPr>
          <w:rFonts w:ascii="Times New Roman" w:cs="Times New Roman" w:eastAsia="Times New Roman" w:hAnsi="Times New Roman"/>
          <w:sz w:val="18"/>
          <w:szCs w:val="18"/>
          <w:color w:val="auto"/>
        </w:rPr>
        <w:t>. The Tennessee Business Combination Act, or the “Combination Act,” provides that any person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or associate of a “resident domestic corporation,” or the beneficial owner, directly or indirectly, of 10% or more of the voting power of any class or series of the then outstanding voting shares of a “resident domestic corporation” is an “interested shareholder.” The Company is currently a resident domestic corporation within the meaning of the Combination Act. For purposes of the Combination Act, a “business combination” includes mergers, share exchanges, sales and leases of assets, issuances of securities, and similar transactions. Under the Combination Act, an interested shareholder cannot engage in a business combination with a resident domestic corporation unless the combination:</w:t>
      </w:r>
    </w:p>
    <w:p>
      <w:pPr>
        <w:spacing w:after="0" w:line="1" w:lineRule="exact"/>
        <w:rPr>
          <w:sz w:val="20"/>
          <w:szCs w:val="20"/>
          <w:color w:val="auto"/>
        </w:rPr>
      </w:pPr>
    </w:p>
    <w:p>
      <w:pPr>
        <w:ind w:left="820" w:right="20" w:hanging="462"/>
        <w:spacing w:after="0" w:line="275"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place at least five years after the interested shareholder first acquired 10% or more of the voting power of any class or series of the then outstanding voting shares of the resident domestic corporation; and</w:t>
      </w:r>
    </w:p>
    <w:p>
      <w:pPr>
        <w:spacing w:after="0" w:line="221" w:lineRule="exact"/>
        <w:rPr>
          <w:rFonts w:ascii="Times New Roman" w:cs="Times New Roman" w:eastAsia="Times New Roman" w:hAnsi="Times New Roman"/>
          <w:sz w:val="18"/>
          <w:szCs w:val="18"/>
          <w:color w:val="auto"/>
        </w:rPr>
      </w:pPr>
    </w:p>
    <w:p>
      <w:pPr>
        <w:ind w:left="820" w:right="20" w:hanging="462"/>
        <w:spacing w:after="0" w:line="281"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is approved by at least two-thirds of the non-interested voting shares of the resident domestic corporation or satisfies fairness conditions specified in the Combination Act.</w:t>
      </w:r>
    </w:p>
    <w:p>
      <w:pPr>
        <w:spacing w:after="0" w:line="21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apply unless one of two events occurs:</w:t>
      </w:r>
    </w:p>
    <w:p>
      <w:pPr>
        <w:spacing w:after="0" w:line="278" w:lineRule="exact"/>
        <w:rPr>
          <w:rFonts w:ascii="Times New Roman" w:cs="Times New Roman" w:eastAsia="Times New Roman" w:hAnsi="Times New Roman"/>
          <w:sz w:val="18"/>
          <w:szCs w:val="18"/>
          <w:color w:val="auto"/>
        </w:rPr>
      </w:pPr>
    </w:p>
    <w:p>
      <w:pPr>
        <w:jc w:val="both"/>
        <w:ind w:left="820" w:right="20" w:hanging="462"/>
        <w:spacing w:after="0" w:line="265"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that resulted in the acquiring shareholder becoming an interested shareholder is approved by the board of directors of the resident domestic corporation prior to the date that the acquiring shareholder becomes an interested shareholder of the resident domestic corporation; or</w:t>
      </w:r>
    </w:p>
    <w:p>
      <w:pPr>
        <w:spacing w:after="0" w:line="231"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exempt from the Combination Act because, among other things:</w:t>
      </w:r>
    </w:p>
    <w:p>
      <w:pPr>
        <w:spacing w:after="0" w:line="278"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original charter or original bylaws, the resident domestic corporation expressly elects not to be governed by the Combination Act; or</w:t>
      </w:r>
    </w:p>
    <w:p>
      <w:pPr>
        <w:spacing w:after="0" w:line="278" w:lineRule="exact"/>
        <w:rPr>
          <w:rFonts w:ascii="Times New Roman" w:cs="Times New Roman" w:eastAsia="Times New Roman" w:hAnsi="Times New Roman"/>
          <w:sz w:val="18"/>
          <w:szCs w:val="18"/>
          <w:color w:val="auto"/>
        </w:rPr>
      </w:pPr>
    </w:p>
    <w:p>
      <w:pPr>
        <w:jc w:val="both"/>
        <w:ind w:left="820" w:right="20" w:hanging="462"/>
        <w:spacing w:after="0" w:line="257"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resident corporation enacts a charter amendment or bylaw to remove itself entirely from the Combination Act. This charter or bylaw amendment must be approved by a majority of the shareholders who have held shares for more than one year before the vote. In addition, the charter amendment or bylaw cannot become operative until two years after the vote.</w:t>
      </w:r>
    </w:p>
    <w:p>
      <w:pPr>
        <w:spacing w:after="0" w:line="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Combination Act further provides an exemption from liability for officers and directors of resident corporations who do not approve proposed business combinations or charter or bylaw amendments removing their corporations from the Combination Act’s coverage as long as the officers and directors act with the “good faith belief” that the proposed business combination would adversely affect their corporation’s employees, customers, suppliers or the communities in which their corporation operates and such factors are permitted to be considered by the board of directors under the charter.</w:t>
      </w: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We have not adopted a provision in our Charter or Bylaws or any amendment to our Charter or Bylaws removing us from coverage under the Combination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Exhibit (4)b.</w:t>
      </w:r>
    </w:p>
    <w:p>
      <w:pPr>
        <w:spacing w:after="0" w:line="348"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The Tennessee Investor Protection Act. </w:t>
      </w:r>
      <w:r>
        <w:rPr>
          <w:rFonts w:ascii="Times New Roman" w:cs="Times New Roman" w:eastAsia="Times New Roman" w:hAnsi="Times New Roman"/>
          <w:sz w:val="17"/>
          <w:szCs w:val="17"/>
          <w:color w:val="auto"/>
        </w:rPr>
        <w:t>The Tennessee Investor Protection Act, or TIPA, provides that unless a Tennessee corporation’s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has recommended a takeover offer to shareholders, no offeror beneficially owning 5% or more of any class of equity securities of the offeree company, any of which was purchased within the preceding year, may make a takeover offer for any class of equity security of the offeree company if after completion the offeror would be a beneficial owner of more than 10% of any class of outstanding equity securities of the company unless the offeror, before making such purchase: (1) makes a public announcement of his or her intention with respect to changing or influencing the management or control of the offeree company; (2) makes a full, fair and effective disclosure of such intention to the person from whom he or she intends to acquire such securities; and</w:t>
      </w:r>
    </w:p>
    <w:p>
      <w:pPr>
        <w:ind w:firstLine="8"/>
        <w:spacing w:after="0" w:line="260" w:lineRule="auto"/>
        <w:tabs>
          <w:tab w:leader="none" w:pos="2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with the Tennessee Commissioner of Commerce and Insurance, or the Commissioner, and the offeree company a statement signifying such intentions and containing such additional information as may be prescribed by the Commissioner.</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offeror must provide that any equity securities of an offeree company deposited or tendered pursuant to a takeover offer may be withdrawn by an offeree at any time within seven days from the date the offer has become effective following filing with the Commissioner and the offeree company and public announcement of the terms or after 60 days from the date the offer has become effective. If the takeover offer is for less than all the outstanding equity securities of any class, such an offer must also provide for acceptance of securities pro rata if the number of securities tendered is greater than the number the offeror has offered to accept and pay for. If such an offeror varies the terms of the takeover offer before its expiration date by increasing the consideration offered to offerees, the offeror must pay the increased consideration for all equity securities accepted, whether accepted before or after the variation in the terms of the offer.</w:t>
      </w:r>
    </w:p>
    <w:p>
      <w:pPr>
        <w:spacing w:after="0" w:line="18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TIPA does not apply to any offer involving a vote by holders of equity securities of the offeree company, pursuant to its charter or articles of incorporation or the applicable corporation statute, on a merger, consolidation or sale of corporate assets in consideration of the issuance of securities of another corporation, or on a sale of its securities in exchange for cash or securities of another corporation.</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Tennessee Greenmail Act</w:t>
      </w:r>
      <w:r>
        <w:rPr>
          <w:rFonts w:ascii="Times New Roman" w:cs="Times New Roman" w:eastAsia="Times New Roman" w:hAnsi="Times New Roman"/>
          <w:sz w:val="18"/>
          <w:szCs w:val="18"/>
          <w:color w:val="auto"/>
        </w:rPr>
        <w:t>. The Tennessee Greenmail Act applies to a Tennessee corporation that has a class of voting stock registered or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national securities exchange or registered with the SEC pursuant to Section 12(g) of the Exchange Act. Under the Tennessee Greenmail Act, we may not purchase any of our shares at a price above the market value of such shares from any person who holds more than 3% of the class of securities to be purchased if such person has held such shares for less than two years, unless the purchase has been approved by the affirmative vote of a majority of the outstanding shares of each class of voting stock issued by us or we make an offer, of at least equal value per share, to all shareholders of such class.</w:t>
      </w:r>
    </w:p>
    <w:p>
      <w:pPr>
        <w:spacing w:after="0" w:line="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i w:val="1"/>
          <w:iCs w:val="1"/>
          <w:color w:val="auto"/>
        </w:rPr>
        <w:t>The Tennessee Control Share Acquisition Act</w:t>
      </w:r>
      <w:r>
        <w:rPr>
          <w:rFonts w:ascii="Times New Roman" w:cs="Times New Roman" w:eastAsia="Times New Roman" w:hAnsi="Times New Roman"/>
          <w:sz w:val="18"/>
          <w:szCs w:val="18"/>
          <w:color w:val="auto"/>
        </w:rPr>
        <w:t>. The Tennessee Control Share Acquisition Act strips a purchaser’s shares of voting rights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acquisition of shares in a Tennessee corporation that has elected to be covered by the Tennessee Control Share Acquisition Act (as we have pursuant to our Bylaws) brings the purchaser’s voting power to one-fifth, one-third or a majority of all voting power. The purchaser’s voting rights can be restored only by a majority vote of the other shareholders. The purchaser may demand a meeting of shareholders to conduct such a vote. The purchaser can demand a meeting for this purpose before acquiring shares in excess of the thresholds described above, which we refer to as a control share acquisition, only if it holds at least 10% of the outstanding shares and announces a good faith intention to make the acquisition of shares having voting power in excess of the thresholds stated above. If a target corporation so elects prior to the date on which a purchaser makes a control share acquisition, a target corporation may redeem the purchaser’s shares if the shares are not granted voting rights.</w:t>
      </w:r>
    </w:p>
    <w:p>
      <w:pPr>
        <w:spacing w:after="0" w:line="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effect of these provisions may make a change of control of the Company more difficult by delaying, deferring or preventing a tender offer or takeover attempt that shareholders might consider to be in their best interest, including those attempts that might result in the payment of a premium over the market price for the Company’s shares.</w:t>
      </w: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TBCA provides that a corporation may indemnify any of its directors and officers against liability incurred in connection with a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9" w:lineRule="exact"/>
        <w:rPr>
          <w:sz w:val="20"/>
          <w:szCs w:val="20"/>
          <w:color w:val="auto"/>
        </w:rPr>
      </w:pPr>
    </w:p>
    <w:p>
      <w:pPr>
        <w:ind w:left="820" w:hanging="462"/>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acted in good faith;</w:t>
      </w:r>
    </w:p>
    <w:p>
      <w:pPr>
        <w:spacing w:after="0" w:line="273" w:lineRule="exact"/>
        <w:rPr>
          <w:rFonts w:ascii="Times New Roman" w:cs="Times New Roman" w:eastAsia="Times New Roman" w:hAnsi="Times New Roman"/>
          <w:sz w:val="18"/>
          <w:szCs w:val="18"/>
          <w:color w:val="auto"/>
        </w:rPr>
      </w:pPr>
    </w:p>
    <w:p>
      <w:pPr>
        <w:ind w:left="820" w:right="380" w:hanging="462"/>
        <w:spacing w:after="0" w:line="281"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conduct in his or her official capacity with the corporation, the director or officer reasonably believed such conduct was in the corporation’s best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Exhibit (4)b.</w:t>
      </w:r>
    </w:p>
    <w:p>
      <w:pPr>
        <w:spacing w:after="0" w:line="256" w:lineRule="exact"/>
        <w:rPr>
          <w:sz w:val="20"/>
          <w:szCs w:val="20"/>
          <w:color w:val="auto"/>
        </w:rPr>
      </w:pPr>
    </w:p>
    <w:p>
      <w:pPr>
        <w:ind w:left="820" w:hanging="462"/>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director or officer reasonably believed that his or her conduct was not opposed to the best interest of the corporation; and</w:t>
      </w:r>
    </w:p>
    <w:p>
      <w:pPr>
        <w:spacing w:after="0" w:line="278"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criminal proceeding, the director or officer had no reasonable cause to believe that his or her conduct was unlawful.</w:t>
      </w:r>
    </w:p>
    <w:p>
      <w:pPr>
        <w:spacing w:after="0" w:line="2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In actions brought by or in the right of the corporation, however, the TBCA provides that no indemnification may be made if the director or officer was adjudged to be liable to the corporation. In cases where the director or officer is wholly successful, on the merits or otherwise, in the defense of any proceeding instituted because of his or her status as an officer or director of a corporation, the TBCA mandates that the corporation indemnify the director or officer against reasonable expenses incurred in the proceeding. The TBCA also provides that in connection with any proceeding charging improper personal benefit to an officer or director, no indemnification may be made if the officer or director is adjudged liable on the basis that the personal benefit was improperly received. Notwithstanding the foregoing, the TBCA provides that a court of competent jurisdiction, upon application, may order that an officer or director be indemnified for reasonable expenses if, in consideration of all relevant circumstances, the court determines that the individual is fairly and reasonably entitled to indemnification, notwithstanding the fact that:</w:t>
      </w:r>
    </w:p>
    <w:p>
      <w:pPr>
        <w:spacing w:after="0" w:line="1" w:lineRule="exact"/>
        <w:rPr>
          <w:sz w:val="20"/>
          <w:szCs w:val="20"/>
          <w:color w:val="auto"/>
        </w:rPr>
      </w:pPr>
    </w:p>
    <w:p>
      <w:pPr>
        <w:ind w:left="820" w:hanging="462"/>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 or director was adjudged liable to the corporation in a proceeding by or in the right of the corporation;</w:t>
      </w:r>
    </w:p>
    <w:p>
      <w:pPr>
        <w:spacing w:after="0" w:line="273"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 or director was adjudged liable on the basis that personal benefit was improperly received by him or her; or</w:t>
      </w:r>
    </w:p>
    <w:p>
      <w:pPr>
        <w:spacing w:after="0" w:line="278"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 or director breached his or her duty of care to the corporation.</w:t>
      </w:r>
    </w:p>
    <w:p>
      <w:pPr>
        <w:spacing w:after="0" w:line="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Charter provides that no director shall be liable to us or our shareholders for monetary damages for breach of any fiduciary duty as a director, except to the extent provided by the TBCA. Under the TBCA, this provision relieves our directors from personal liability to us or our shareholders for monetary damages for breach of fiduciary duty as a director, except for liability arising from a judgment or other final adjudication establishing:</w:t>
      </w:r>
    </w:p>
    <w:p>
      <w:pPr>
        <w:spacing w:after="0" w:line="1" w:lineRule="exact"/>
        <w:rPr>
          <w:sz w:val="20"/>
          <w:szCs w:val="20"/>
          <w:color w:val="auto"/>
        </w:rPr>
      </w:pPr>
    </w:p>
    <w:p>
      <w:pPr>
        <w:ind w:left="820" w:hanging="462"/>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w:t>
      </w:r>
    </w:p>
    <w:p>
      <w:pPr>
        <w:spacing w:after="0" w:line="273"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 or</w:t>
      </w:r>
    </w:p>
    <w:p>
      <w:pPr>
        <w:spacing w:after="0" w:line="278" w:lineRule="exact"/>
        <w:rPr>
          <w:rFonts w:ascii="Times New Roman" w:cs="Times New Roman" w:eastAsia="Times New Roman" w:hAnsi="Times New Roman"/>
          <w:sz w:val="18"/>
          <w:szCs w:val="18"/>
          <w:color w:val="auto"/>
        </w:rPr>
      </w:pPr>
    </w:p>
    <w:p>
      <w:pPr>
        <w:ind w:left="820" w:hanging="462"/>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distributions.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currently have in effect an executive liability insurance policy which provides coverage for our directors and officers.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Computershare is the transfer agent and registrar for our Common Stock and our Employees’ Subordinated Convertible Preferred Stock.</w:t>
      </w: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DOCPROPERTY "CUS_DocIDChunk0" 35352015.1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83"/>
        </w:trPr>
        <w:tc>
          <w:tcPr>
            <w:tcW w:w="27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21</w:t>
            </w:r>
          </w:p>
        </w:tc>
      </w:tr>
      <w:tr>
        <w:trPr>
          <w:trHeight w:val="485"/>
        </w:trPr>
        <w:tc>
          <w:tcPr>
            <w:tcW w:w="7620" w:type="dxa"/>
            <w:vAlign w:val="bottom"/>
            <w:gridSpan w:val="2"/>
          </w:tcPr>
          <w:p>
            <w:pPr>
              <w:ind w:left="2480"/>
              <w:spacing w:after="0"/>
              <w:rPr>
                <w:sz w:val="20"/>
                <w:szCs w:val="20"/>
                <w:color w:val="auto"/>
              </w:rPr>
            </w:pPr>
            <w:r>
              <w:rPr>
                <w:rFonts w:ascii="Times New Roman" w:cs="Times New Roman" w:eastAsia="Times New Roman" w:hAnsi="Times New Roman"/>
                <w:sz w:val="22"/>
                <w:szCs w:val="22"/>
                <w:color w:val="auto"/>
              </w:rPr>
              <w:t>SUBSIDIARIES OF THE REGISTRANT</w:t>
            </w:r>
          </w:p>
        </w:tc>
        <w:tc>
          <w:tcPr>
            <w:tcW w:w="3620" w:type="dxa"/>
            <w:vAlign w:val="bottom"/>
          </w:tcPr>
          <w:p>
            <w:pPr>
              <w:spacing w:after="0"/>
              <w:rPr>
                <w:sz w:val="24"/>
                <w:szCs w:val="24"/>
                <w:color w:val="auto"/>
              </w:rPr>
            </w:pPr>
          </w:p>
        </w:tc>
      </w:tr>
      <w:tr>
        <w:trPr>
          <w:trHeight w:val="676"/>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Subsidiaries of the Company:</w:t>
            </w:r>
          </w:p>
        </w:tc>
        <w:tc>
          <w:tcPr>
            <w:tcW w:w="48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32"/>
        </w:trPr>
        <w:tc>
          <w:tcPr>
            <w:tcW w:w="7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Names of Subsidiary</w:t>
            </w:r>
            <w:r>
              <w:rPr>
                <w:rFonts w:ascii="Times New Roman" w:cs="Times New Roman" w:eastAsia="Times New Roman" w:hAnsi="Times New Roman"/>
                <w:sz w:val="9"/>
                <w:szCs w:val="9"/>
                <w:b w:val="1"/>
                <w:bCs w:val="1"/>
                <w:color w:val="auto"/>
              </w:rPr>
              <w:t>(1)</w:t>
            </w: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Place of Incorporation</w:t>
            </w:r>
          </w:p>
        </w:tc>
      </w:tr>
      <w:tr>
        <w:trPr>
          <w:trHeight w:val="385"/>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Flagg Bros. of Puerto Rico, Inc.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Brands,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Brands NY,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GVI, Inc.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Hat World Corporation</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GCO Canada ULC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Footwear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Tennessee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Services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Tennessee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Lids Properties,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(Quanzhou) Footwear Co., Ltd.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China</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(UK)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Group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(Holdings)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(ROI)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Republic of Ireland</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GP, LLC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Genesco Scot LP</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83"/>
        </w:trPr>
        <w:tc>
          <w:tcPr>
            <w:tcW w:w="7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Genesco (Jersey) Limited</w:t>
            </w: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Jersey</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100% of the equity of each listed subsidiary is owned either by the registrant or by a wholly-owned subsidiary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1109980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undersigned directors of Genesco Inc., a Tennessee corporation (“Genesco”), do hereby constitute and appoint Scott E. Becker and Parag D. Desai, and any one of them, to act severally as attorneys-in-fact for and in their respective names, places and steads, with full power of substitution, to execute, sign and file with the Securities and Exchange Commission the Annual Report on Form 10-K of Genesco for the fiscal year ended January 28, 2023,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this 22nd day of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/s/Joanna Barsh</w:t>
            </w:r>
          </w:p>
        </w:tc>
        <w:tc>
          <w:tcPr>
            <w:tcW w:w="1240" w:type="dxa"/>
            <w:vAlign w:val="bottom"/>
            <w:gridSpan w:val="5"/>
          </w:tcPr>
          <w:p>
            <w:pPr>
              <w:spacing w:after="0"/>
              <w:rPr>
                <w:sz w:val="19"/>
                <w:szCs w:val="19"/>
                <w:color w:val="auto"/>
              </w:rPr>
            </w:pPr>
          </w:p>
        </w:tc>
        <w:tc>
          <w:tcPr>
            <w:tcW w:w="200" w:type="dxa"/>
            <w:vAlign w:val="bottom"/>
          </w:tcPr>
          <w:p>
            <w:pPr>
              <w:spacing w:after="0"/>
              <w:rPr>
                <w:sz w:val="19"/>
                <w:szCs w:val="19"/>
                <w:color w:val="auto"/>
              </w:rPr>
            </w:pPr>
          </w:p>
        </w:tc>
        <w:tc>
          <w:tcPr>
            <w:tcW w:w="8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/s/Angel R. Martinez</w:t>
            </w:r>
          </w:p>
        </w:tc>
      </w:tr>
      <w:tr>
        <w:trPr>
          <w:trHeight w:val="20"/>
        </w:trPr>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56"/>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Joanna Barsh, Director</w:t>
            </w:r>
          </w:p>
        </w:tc>
        <w:tc>
          <w:tcPr>
            <w:tcW w:w="200" w:type="dxa"/>
            <w:vAlign w:val="bottom"/>
          </w:tcPr>
          <w:p>
            <w:pPr>
              <w:spacing w:after="0"/>
              <w:rPr>
                <w:sz w:val="22"/>
                <w:szCs w:val="22"/>
                <w:color w:val="auto"/>
              </w:rPr>
            </w:pPr>
          </w:p>
        </w:tc>
        <w:tc>
          <w:tcPr>
            <w:tcW w:w="8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Angel R. Martinez, Director</w:t>
            </w:r>
          </w:p>
        </w:tc>
      </w:tr>
      <w:tr>
        <w:trPr>
          <w:trHeight w:val="412"/>
        </w:trPr>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/s/Matthew M. Bilunas</w:t>
            </w:r>
          </w:p>
        </w:tc>
        <w:tc>
          <w:tcPr>
            <w:tcW w:w="6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5"/>
              </w:rPr>
              <w:t>/s/Kevin P. McDermott</w:t>
            </w:r>
          </w:p>
        </w:tc>
        <w:tc>
          <w:tcPr>
            <w:tcW w:w="6540" w:type="dxa"/>
            <w:vAlign w:val="bottom"/>
            <w:gridSpan w:val="2"/>
          </w:tcPr>
          <w:p>
            <w:pPr>
              <w:spacing w:after="0"/>
              <w:rPr>
                <w:sz w:val="24"/>
                <w:szCs w:val="24"/>
                <w:color w:val="auto"/>
              </w:rPr>
            </w:pPr>
          </w:p>
        </w:tc>
      </w:tr>
      <w:tr>
        <w:trPr>
          <w:trHeight w:val="256"/>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Matthew M. Bilunas, Director</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Kevin P. McDermott, Director</w:t>
            </w:r>
          </w:p>
        </w:tc>
      </w:tr>
      <w:tr>
        <w:trPr>
          <w:trHeight w:val="412"/>
        </w:trPr>
        <w:tc>
          <w:tcPr>
            <w:tcW w:w="2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/s/Carolyn Bojanowski</w:t>
            </w:r>
          </w:p>
        </w:tc>
        <w:tc>
          <w:tcPr>
            <w:tcW w:w="6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/s/Mary Meixelsperger</w:t>
            </w: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56"/>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Carolyn Bojanowski, Director</w:t>
            </w:r>
          </w:p>
        </w:tc>
        <w:tc>
          <w:tcPr>
            <w:tcW w:w="200" w:type="dxa"/>
            <w:vAlign w:val="bottom"/>
          </w:tcPr>
          <w:p>
            <w:pPr>
              <w:spacing w:after="0"/>
              <w:rPr>
                <w:sz w:val="22"/>
                <w:szCs w:val="22"/>
                <w:color w:val="auto"/>
              </w:rPr>
            </w:pPr>
          </w:p>
        </w:tc>
        <w:tc>
          <w:tcPr>
            <w:tcW w:w="8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Mary Meixelsperger, Director</w:t>
            </w:r>
          </w:p>
        </w:tc>
      </w:tr>
      <w:tr>
        <w:trPr>
          <w:trHeight w:val="412"/>
        </w:trPr>
        <w:tc>
          <w:tcPr>
            <w:tcW w:w="2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/s/Matthew C. Diamond</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7"/>
              </w:rPr>
              <w:t>/s/Gregory A. Sandfort</w:t>
            </w:r>
          </w:p>
        </w:tc>
        <w:tc>
          <w:tcPr>
            <w:tcW w:w="6520" w:type="dxa"/>
            <w:vAlign w:val="bottom"/>
          </w:tcPr>
          <w:p>
            <w:pPr>
              <w:spacing w:after="0"/>
              <w:rPr>
                <w:sz w:val="24"/>
                <w:szCs w:val="24"/>
                <w:color w:val="auto"/>
              </w:rPr>
            </w:pPr>
          </w:p>
        </w:tc>
      </w:tr>
      <w:tr>
        <w:trPr>
          <w:trHeight w:val="256"/>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Matthew C. Diamond, Director</w:t>
            </w:r>
          </w:p>
        </w:tc>
        <w:tc>
          <w:tcPr>
            <w:tcW w:w="200" w:type="dxa"/>
            <w:vAlign w:val="bottom"/>
          </w:tcPr>
          <w:p>
            <w:pPr>
              <w:spacing w:after="0"/>
              <w:rPr>
                <w:sz w:val="22"/>
                <w:szCs w:val="22"/>
                <w:color w:val="auto"/>
              </w:rPr>
            </w:pPr>
          </w:p>
        </w:tc>
        <w:tc>
          <w:tcPr>
            <w:tcW w:w="8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Gregory A. Sandfort, Director</w:t>
            </w:r>
          </w:p>
        </w:tc>
      </w:tr>
      <w:tr>
        <w:trPr>
          <w:trHeight w:val="412"/>
        </w:trPr>
        <w:tc>
          <w:tcPr>
            <w:tcW w:w="1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s/John F. Lambros</w:t>
            </w:r>
          </w:p>
        </w:tc>
        <w:tc>
          <w:tcPr>
            <w:tcW w:w="104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8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/s/Mimi E. Vaughn</w:t>
            </w: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r>
      <w:tr>
        <w:trPr>
          <w:trHeight w:val="256"/>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John F. Lambros, Director</w:t>
            </w:r>
          </w:p>
        </w:tc>
        <w:tc>
          <w:tcPr>
            <w:tcW w:w="200" w:type="dxa"/>
            <w:vAlign w:val="bottom"/>
          </w:tcPr>
          <w:p>
            <w:pPr>
              <w:spacing w:after="0"/>
              <w:rPr>
                <w:sz w:val="22"/>
                <w:szCs w:val="22"/>
                <w:color w:val="auto"/>
              </w:rPr>
            </w:pPr>
          </w:p>
        </w:tc>
        <w:tc>
          <w:tcPr>
            <w:tcW w:w="8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Mimi E. Vaughn, Director</w:t>
            </w:r>
          </w:p>
        </w:tc>
      </w:tr>
      <w:tr>
        <w:trPr>
          <w:trHeight w:val="412"/>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s/Thurgood Marshall, Jr.</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0"/>
        </w:trPr>
        <w:tc>
          <w:tcPr>
            <w:tcW w:w="1940" w:type="dxa"/>
            <w:vAlign w:val="bottom"/>
            <w:gridSpan w:val="3"/>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56"/>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Thurgood Marshall, Jr., Director</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520" w:type="dxa"/>
            <w:vAlign w:val="bottom"/>
          </w:tcPr>
          <w:p>
            <w:pPr>
              <w:spacing w:after="0"/>
              <w:rPr>
                <w:sz w:val="22"/>
                <w:szCs w:val="22"/>
                <w:color w:val="auto"/>
              </w:rPr>
            </w:pPr>
          </w:p>
        </w:tc>
      </w:tr>
      <w:tr>
        <w:trPr>
          <w:trHeight w:val="554"/>
        </w:trPr>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Mimi E. Vaughn, certify that:</w:t>
      </w:r>
    </w:p>
    <w:p>
      <w:pPr>
        <w:spacing w:after="0" w:line="117"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16"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100" w:firstLine="8"/>
        <w:spacing w:after="0" w:line="265"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right="360" w:firstLine="507"/>
        <w:spacing w:after="0" w:line="265" w:lineRule="auto"/>
        <w:tabs>
          <w:tab w:leader="none" w:pos="6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00" w:hanging="193"/>
        <w:spacing w:after="0"/>
        <w:tabs>
          <w:tab w:leader="none" w:pos="7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8"/>
          <w:szCs w:val="18"/>
          <w:color w:val="auto"/>
        </w:rPr>
      </w:pPr>
    </w:p>
    <w:p>
      <w:pPr>
        <w:ind w:right="880" w:firstLine="507"/>
        <w:spacing w:after="0" w:line="281" w:lineRule="auto"/>
        <w:tabs>
          <w:tab w:leader="none" w:pos="6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firstLine="507"/>
        <w:spacing w:after="0" w:line="265" w:lineRule="auto"/>
        <w:tabs>
          <w:tab w:leader="none" w:pos="69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320" w:firstLine="8"/>
        <w:spacing w:after="0" w:line="281"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right="260" w:firstLine="507"/>
        <w:spacing w:after="0" w:line="281" w:lineRule="auto"/>
        <w:tabs>
          <w:tab w:leader="none" w:pos="6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right="220" w:firstLine="507"/>
        <w:spacing w:after="0" w:line="281" w:lineRule="auto"/>
        <w:tabs>
          <w:tab w:leader="none" w:pos="69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22860</wp:posOffset>
            </wp:positionV>
            <wp:extent cx="35617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Mimi E. Vaughn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George, certify that:</w:t>
      </w:r>
    </w:p>
    <w:p>
      <w:pPr>
        <w:spacing w:after="0" w:line="117"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16"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100" w:firstLine="8"/>
        <w:spacing w:after="0" w:line="265"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right="360" w:firstLine="507"/>
        <w:spacing w:after="0" w:line="265" w:lineRule="auto"/>
        <w:tabs>
          <w:tab w:leader="none" w:pos="6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00" w:hanging="193"/>
        <w:spacing w:after="0"/>
        <w:tabs>
          <w:tab w:leader="none" w:pos="7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8"/>
          <w:szCs w:val="18"/>
          <w:color w:val="auto"/>
        </w:rPr>
      </w:pPr>
    </w:p>
    <w:p>
      <w:pPr>
        <w:ind w:right="880" w:firstLine="507"/>
        <w:spacing w:after="0" w:line="281" w:lineRule="auto"/>
        <w:tabs>
          <w:tab w:leader="none" w:pos="6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firstLine="507"/>
        <w:spacing w:after="0" w:line="265" w:lineRule="auto"/>
        <w:tabs>
          <w:tab w:leader="none" w:pos="69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320" w:firstLine="8"/>
        <w:spacing w:after="0" w:line="281"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right="260" w:firstLine="507"/>
        <w:spacing w:after="0" w:line="281" w:lineRule="auto"/>
        <w:tabs>
          <w:tab w:leader="none" w:pos="6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right="220" w:firstLine="507"/>
        <w:spacing w:after="0" w:line="281" w:lineRule="auto"/>
        <w:tabs>
          <w:tab w:leader="none" w:pos="69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A. George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January 28, 2023, as filed with the Securities and Exchange Commission on the date hereof (the “Report”), I, Mimi E. Vaughn, Chief Executive Officer of the Company, certify, pursuant to 18 U.S.C. Section 1350, as adopted pursuant to Section 906 of the Sarbanes-Oxley Act of 2002, that:</w:t>
      </w:r>
    </w:p>
    <w:p>
      <w:pPr>
        <w:spacing w:after="0" w:line="123" w:lineRule="exact"/>
        <w:rPr>
          <w:sz w:val="20"/>
          <w:szCs w:val="20"/>
          <w:color w:val="auto"/>
        </w:rPr>
      </w:pPr>
    </w:p>
    <w:p>
      <w:pPr>
        <w:ind w:left="760" w:hanging="25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Mimi E. Vaughn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January 28, 2023, as filed with the Securities and Exchange Commission on the date hereof (the “Report”), I, Thomas A. George, Senior Vice President and Chief Financial Officer of the Company, certify, pursuant to 18 U.S.C. Section 1350, as adopted pursuant to Section 906 of the Sarbanes-Oxley Act of 2002, that:</w:t>
      </w:r>
    </w:p>
    <w:p>
      <w:pPr>
        <w:spacing w:after="0" w:line="123" w:lineRule="exact"/>
        <w:rPr>
          <w:sz w:val="20"/>
          <w:szCs w:val="20"/>
          <w:color w:val="auto"/>
        </w:rPr>
      </w:pPr>
    </w:p>
    <w:p>
      <w:pPr>
        <w:ind w:left="760" w:hanging="253"/>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A. George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lvl w:ilvl="1">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amp;"/>
      <w:numFmt w:val="bullet"/>
      <w:start w:val="1"/>
    </w:lvl>
  </w:abstractNum>
  <w:abstractNum w:abstractNumId="12">
    <w:nsid w:val="54E49EB4"/>
    <w:multiLevelType w:val="hybridMultilevel"/>
    <w:lvl w:ilvl="0">
      <w:lvlJc w:val="left"/>
      <w:lvlText w:val="&amp;"/>
      <w:numFmt w:val="bullet"/>
      <w:start w:val="1"/>
    </w:lvl>
  </w:abstractNum>
  <w:abstractNum w:abstractNumId="13">
    <w:nsid w:val="71F32454"/>
    <w:multiLevelType w:val="hybridMultilevel"/>
    <w:lvl w:ilvl="0">
      <w:lvlJc w:val="left"/>
      <w:lvlText w:val="&amp;"/>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2"/>
    </w:lvl>
    <w:lvl w:ilvl="1">
      <w:lvlJc w:val="left"/>
      <w:lvlText w:val="%2."/>
      <w:numFmt w:val="lowerLetter"/>
      <w:start w:val="2"/>
    </w:lvl>
  </w:abstractNum>
  <w:abstractNum w:abstractNumId="23">
    <w:nsid w:val="22221A70"/>
    <w:multiLevelType w:val="hybridMultilevel"/>
    <w:lvl w:ilvl="0">
      <w:lvlJc w:val="left"/>
      <w:lvlText w:val="(%1)"/>
      <w:numFmt w:val="decimal"/>
      <w:start w:val="10"/>
    </w:lvl>
    <w:lvl w:ilvl="1">
      <w:lvlJc w:val="left"/>
      <w:lvlText w:val="%2."/>
      <w:numFmt w:val="lowerLetter"/>
      <w:start w:val="2"/>
    </w:lvl>
  </w:abstractNum>
  <w:abstractNum w:abstractNumId="24">
    <w:nsid w:val="4516DDE9"/>
    <w:multiLevelType w:val="hybridMultilevel"/>
    <w:lvl w:ilvl="0">
      <w:lvlJc w:val="left"/>
      <w:lvlText w:val="%1."/>
      <w:numFmt w:val="lowerLetter"/>
      <w:start w:val="19"/>
    </w:lvl>
  </w:abstractNum>
  <w:abstractNum w:abstractNumId="25">
    <w:nsid w:val="3006C83E"/>
    <w:multiLevelType w:val="hybridMultilevel"/>
    <w:lvl w:ilvl="0">
      <w:lvlJc w:val="left"/>
      <w:lvlText w:val="w"/>
      <w:numFmt w:val="bullet"/>
      <w:start w:val="1"/>
    </w:lvl>
  </w:abstractNum>
  <w:abstractNum w:abstractNumId="26">
    <w:nsid w:val="614FD4A1"/>
    <w:multiLevelType w:val="hybridMultilevel"/>
    <w:lvl w:ilvl="0">
      <w:lvlJc w:val="left"/>
      <w:lvlText w:val="%1."/>
      <w:numFmt w:val="lowerLetter"/>
      <w:start w:val="24"/>
    </w:lvl>
  </w:abstractNum>
  <w:abstractNum w:abstractNumId="27">
    <w:nsid w:val="419AC241"/>
    <w:multiLevelType w:val="hybridMultilevel"/>
    <w:lvl w:ilvl="0">
      <w:lvlJc w:val="left"/>
      <w:lvlText w:val="%1."/>
      <w:numFmt w:val="lowerLetter"/>
      <w:start w:val="27"/>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3"/>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113" Type="http://schemas.openxmlformats.org/officeDocument/2006/relationships/hyperlink" Target="https://www.sec.gov/Archives/edgar/data/18498/000001849818000050/ex21121418lids.htm" TargetMode="External"/><Relationship Id="rId114" Type="http://schemas.openxmlformats.org/officeDocument/2006/relationships/hyperlink" Target="https://www.sec.gov/Archives/edgar/data/18498/000001849819000058/ex21togast.htm" TargetMode="External"/><Relationship Id="rId115" Type="http://schemas.openxmlformats.org/officeDocument/2006/relationships/hyperlink" Target="https://www.sec.gov/Archives/edgar/data/18498/000156459021016951/gco-ex2c_202.htm" TargetMode="External"/><Relationship Id="rId116" Type="http://schemas.openxmlformats.org/officeDocument/2006/relationships/hyperlink" Target="https://www.sec.gov/Archives/edgar/data/18498/000095017022020877/gco-ex3_1.htm" TargetMode="External"/><Relationship Id="rId117" Type="http://schemas.openxmlformats.org/officeDocument/2006/relationships/hyperlink" Target="https://www.sec.gov/Archives/edgar/data/18498/000095017022026199/gco-ex3_3.htm" TargetMode="External"/><Relationship Id="rId118" Type="http://schemas.openxmlformats.org/officeDocument/2006/relationships/hyperlink" Target="https://www.sec.gov/Archives/edgar/data/18498/000095014403005944/g82475exv3.txt" TargetMode="External"/><Relationship Id="rId138" Type="http://schemas.openxmlformats.org/officeDocument/2006/relationships/hyperlink" Target="https://www.sec.gov/Archives/edgar/data/18498/000001849818000008/genesco-bamlx2018x4tharcre.htm" TargetMode="External"/><Relationship Id="rId139" Type="http://schemas.openxmlformats.org/officeDocument/2006/relationships/hyperlink" Target="https://www.sec.gov/Archives/edgar/data/18498/000001849819000006/ex101lidssale020419.htm" TargetMode="External"/><Relationship Id="rId140" Type="http://schemas.openxmlformats.org/officeDocument/2006/relationships/hyperlink" Target="https://www.sec.gov/Archives/edgar/data/18498/000156459020028679/gco-8k_20200609.htm" TargetMode="External"/><Relationship Id="rId141" Type="http://schemas.openxmlformats.org/officeDocument/2006/relationships/hyperlink" Target="https://www.sec.gov/Archives/edgar/data/18498/000095017022000748/gco-ex10_1.htm" TargetMode="External"/><Relationship Id="rId142" Type="http://schemas.openxmlformats.org/officeDocument/2006/relationships/hyperlink" Target="https://www.sec.gov/Archives/edgar/data/18498/0000950144-97-005030.txt" TargetMode="External"/><Relationship Id="rId143" Type="http://schemas.openxmlformats.org/officeDocument/2006/relationships/hyperlink" Target="https://www.sec.gov/Archives/edgar/data/18498/000001849816000083/ex101annmtg062316.htm" TargetMode="External"/><Relationship Id="rId144" Type="http://schemas.openxmlformats.org/officeDocument/2006/relationships/hyperlink" Target="https://www.sec.gov/Archives/edgar/data/0000018498/000001849820000016/gcofy202010-kq4.htm" TargetMode="External"/><Relationship Id="rId145" Type="http://schemas.openxmlformats.org/officeDocument/2006/relationships/hyperlink" Target="https://www.sec.gov/Archives/edgar/data/18498/000156459021032370/gco-ex10_114.htm" TargetMode="External"/><Relationship Id="rId146" Type="http://schemas.openxmlformats.org/officeDocument/2006/relationships/hyperlink" Target="https://www.sec.gov/Archives/edgar/data/18498/000156459021059838/gco-ex10a_29.htm" TargetMode="External"/><Relationship Id="rId147" Type="http://schemas.openxmlformats.org/officeDocument/2006/relationships/hyperlink" Target="https://www.sec.gov/Archives/edgar/data/18498/000119312520143234/d896613ddef14a.htm" TargetMode="External"/><Relationship Id="rId148" Type="http://schemas.openxmlformats.org/officeDocument/2006/relationships/hyperlink" Target="https://www.sec.gov/Archives/edgar/data/18498/000095014405012586/g98695exv10wc.txt" TargetMode="External"/><Relationship Id="rId149" Type="http://schemas.openxmlformats.org/officeDocument/2006/relationships/hyperlink" Target="https://www.sec.gov/Archives/edgar/data/18498/000095014405012586/g98695exv10wd.txt" TargetMode="External"/><Relationship Id="rId150" Type="http://schemas.openxmlformats.org/officeDocument/2006/relationships/hyperlink" Target="https://www.sec.gov/Archives/edgar/data/18498/000095014405012586/g98695exv10we.txt" TargetMode="External"/><Relationship Id="rId151" Type="http://schemas.openxmlformats.org/officeDocument/2006/relationships/hyperlink" Target="https://www.sec.gov/Archives/edgar/data/18498/000095014405012586/g98695exv10wf.txt" TargetMode="External"/><Relationship Id="rId152" Type="http://schemas.openxmlformats.org/officeDocument/2006/relationships/hyperlink" Target="https://www.sec.gov/Archives/edgar/data/18498/000095012309042323/g20467exv10wa.htm" TargetMode="External"/><Relationship Id="rId153" Type="http://schemas.openxmlformats.org/officeDocument/2006/relationships/hyperlink" Target="https://www.sec.gov/Archives/edgar/data/18498/000095014408008032/g16357exv10w1.htm" TargetMode="External"/><Relationship Id="rId154" Type="http://schemas.openxmlformats.org/officeDocument/2006/relationships/hyperlink" Target="https://www.sec.gov/Archives/edgar/data/18498/000095014408009201/g16954qexv10w2.htm" TargetMode="External"/><Relationship Id="rId200" Type="http://schemas.openxmlformats.org/officeDocument/2006/relationships/hyperlink" Target="https://www.sec.gov/Archives/edgar/data/18498/000095012310030948/g22711exv10ws.htm" TargetMode="External"/><Relationship Id="rId201" Type="http://schemas.openxmlformats.org/officeDocument/2006/relationships/hyperlink" Target="https://www.sec.gov/Archives/edgar/data/18498/000001849819000047/ex101epa.htm" TargetMode="External"/><Relationship Id="rId202" Type="http://schemas.openxmlformats.org/officeDocument/2006/relationships/hyperlink" Target="https://www.sec.gov/Archives/edgar/data/18498/000095014408002576/g12595exv10wr.htm" TargetMode="External"/><Relationship Id="rId215" Type="http://schemas.openxmlformats.org/officeDocument/2006/relationships/hyperlink" Target="https://www.sec.gov/Archives/edgar/data/18498/000095012311083483/g25506exv10wa.htm" TargetMode="External"/><Relationship Id="rId218" Type="http://schemas.openxmlformats.org/officeDocument/2006/relationships/hyperlink" Target="https://www.sec.gov/Archives/edgar/data/18498/000095014409003670/g18837exv10w1.htm" TargetMode="External"/><Relationship Id="rId219" Type="http://schemas.openxmlformats.org/officeDocument/2006/relationships/hyperlink" Target="https://www.sec.gov/Archives/edgar/data/18498/000095014409003670/g18837exv10w2.htm" TargetMode="External"/><Relationship Id="rId220" Type="http://schemas.openxmlformats.org/officeDocument/2006/relationships/hyperlink" Target="https://www.sec.gov/Archives/edgar/data/18498/000095012309056341/g21041exv10w1.htm" TargetMode="External"/><Relationship Id="rId227" Type="http://schemas.openxmlformats.org/officeDocument/2006/relationships/hyperlink" Target="https://www.sec.gov/Archives/edgar/data/18498/000095012309059073/g21130exv10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2023-03-22T12:38:03Z</dcterms:created>
  <dcterms:modified xsi:type="dcterms:W3CDTF">2023-03-22T12:38:03Z</dcterms:modified>
</cp:coreProperties>
</file>